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9210A" w14:textId="20924D86" w:rsidR="00733DCA" w:rsidRPr="00D457E8" w:rsidRDefault="00494B37" w:rsidP="00494B37">
      <w:pPr>
        <w:pStyle w:val="Pagedecouverture"/>
        <w:rPr>
          <w:noProof/>
        </w:rPr>
      </w:pPr>
      <w:bookmarkStart w:id="0" w:name="LW_BM_COVERPAGE"/>
      <w:r>
        <w:rPr>
          <w:noProof/>
        </w:rPr>
        <w:pict w14:anchorId="50AA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40D849C-4757-40B2-81CE-4A6EBBC92591" style="width:455.25pt;height:396.75pt">
            <v:imagedata r:id="rId11" o:title=""/>
          </v:shape>
        </w:pict>
      </w:r>
    </w:p>
    <w:bookmarkEnd w:id="0"/>
    <w:p w14:paraId="473F9CFE" w14:textId="77777777" w:rsidR="00982114" w:rsidRDefault="00982114" w:rsidP="00982114">
      <w:pPr>
        <w:rPr>
          <w:noProof/>
          <w:lang w:val="en-GB"/>
        </w:rPr>
        <w:sectPr w:rsidR="00982114" w:rsidSect="00494B3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89BF4FC" w14:textId="5D6522A5" w:rsidR="00982114" w:rsidRDefault="00982114" w:rsidP="00982114">
      <w:pPr>
        <w:spacing w:before="120" w:after="120" w:line="240" w:lineRule="auto"/>
        <w:jc w:val="center"/>
        <w:rPr>
          <w:rFonts w:ascii="Times New Roman" w:eastAsia="Calibri" w:hAnsi="Times New Roman" w:cs="Times New Roman"/>
          <w:b/>
          <w:bCs/>
          <w:noProof/>
          <w:sz w:val="24"/>
          <w:szCs w:val="24"/>
        </w:rPr>
      </w:pPr>
      <w:bookmarkStart w:id="1" w:name="_GoBack"/>
      <w:bookmarkEnd w:id="1"/>
      <w:r>
        <w:rPr>
          <w:rFonts w:ascii="Times New Roman" w:hAnsi="Times New Roman"/>
          <w:b/>
          <w:noProof/>
          <w:sz w:val="24"/>
        </w:rPr>
        <w:lastRenderedPageBreak/>
        <w:t>PRILOG</w:t>
      </w:r>
    </w:p>
    <w:p w14:paraId="40830EB9" w14:textId="77777777" w:rsidR="00982114" w:rsidRDefault="00982114" w:rsidP="0001477B">
      <w:pPr>
        <w:spacing w:before="120" w:after="120" w:line="240" w:lineRule="auto"/>
        <w:jc w:val="both"/>
        <w:rPr>
          <w:rFonts w:ascii="Times New Roman" w:eastAsia="Calibri" w:hAnsi="Times New Roman" w:cs="Times New Roman"/>
          <w:b/>
          <w:bCs/>
          <w:noProof/>
          <w:sz w:val="24"/>
          <w:szCs w:val="24"/>
          <w:lang w:val="en-GB"/>
        </w:rPr>
      </w:pPr>
    </w:p>
    <w:p w14:paraId="03D566A9" w14:textId="72123B8A" w:rsidR="00733DCA" w:rsidRPr="008F2258" w:rsidRDefault="00733DCA" w:rsidP="0001477B">
      <w:pPr>
        <w:spacing w:before="120" w:after="120" w:line="240" w:lineRule="auto"/>
        <w:jc w:val="both"/>
        <w:rPr>
          <w:rFonts w:ascii="Times New Roman" w:eastAsia="Calibri" w:hAnsi="Times New Roman" w:cs="Times New Roman"/>
          <w:b/>
          <w:bCs/>
          <w:noProof/>
          <w:sz w:val="24"/>
          <w:szCs w:val="24"/>
        </w:rPr>
      </w:pPr>
      <w:r>
        <w:rPr>
          <w:rFonts w:ascii="Times New Roman" w:hAnsi="Times New Roman"/>
          <w:b/>
          <w:noProof/>
          <w:sz w:val="24"/>
        </w:rPr>
        <w:t>DIO 1.: REFORME I ULAGANJA U OKVIRU PLANA ZA OPORAVAK I OTPORNOST</w:t>
      </w:r>
    </w:p>
    <w:p w14:paraId="2CD015C5" w14:textId="77777777" w:rsidR="00733DCA" w:rsidRPr="008F2258" w:rsidRDefault="00733DCA" w:rsidP="0001477B">
      <w:pPr>
        <w:spacing w:before="120" w:after="120" w:line="240" w:lineRule="auto"/>
        <w:jc w:val="both"/>
        <w:rPr>
          <w:rFonts w:ascii="Times New Roman" w:eastAsia="Calibri" w:hAnsi="Times New Roman" w:cs="Times New Roman"/>
          <w:noProof/>
          <w:sz w:val="24"/>
          <w:lang w:val="en-GB"/>
        </w:rPr>
      </w:pPr>
    </w:p>
    <w:p w14:paraId="45DFFF22" w14:textId="77777777" w:rsidR="00733DCA" w:rsidRPr="008F2258" w:rsidRDefault="00733DCA" w:rsidP="00733DCA">
      <w:pPr>
        <w:numPr>
          <w:ilvl w:val="0"/>
          <w:numId w:val="2"/>
        </w:numPr>
        <w:spacing w:before="120" w:after="120" w:line="240" w:lineRule="auto"/>
        <w:jc w:val="both"/>
        <w:rPr>
          <w:rFonts w:ascii="Times New Roman" w:eastAsia="Calibri" w:hAnsi="Times New Roman" w:cs="Times New Roman"/>
          <w:b/>
          <w:bCs/>
          <w:noProof/>
          <w:sz w:val="24"/>
          <w:szCs w:val="24"/>
        </w:rPr>
      </w:pPr>
      <w:r>
        <w:rPr>
          <w:rFonts w:ascii="Times New Roman" w:hAnsi="Times New Roman"/>
          <w:b/>
          <w:noProof/>
          <w:sz w:val="24"/>
        </w:rPr>
        <w:t xml:space="preserve">Opis reformi i ulaganja </w:t>
      </w:r>
    </w:p>
    <w:p w14:paraId="3D4B89A7" w14:textId="77777777" w:rsidR="00733DCA" w:rsidRPr="008F2258" w:rsidRDefault="00733DCA" w:rsidP="0001477B">
      <w:pPr>
        <w:keepNext/>
        <w:tabs>
          <w:tab w:val="left" w:pos="850"/>
        </w:tabs>
        <w:spacing w:before="360" w:after="120" w:line="240" w:lineRule="auto"/>
        <w:ind w:left="850" w:hanging="850"/>
        <w:jc w:val="both"/>
        <w:outlineLvl w:val="0"/>
        <w:rPr>
          <w:rFonts w:ascii="Times New Roman" w:eastAsia="Calibri" w:hAnsi="Times New Roman" w:cs="Times New Roman"/>
          <w:b/>
          <w:bCs/>
          <w:smallCaps/>
          <w:noProof/>
          <w:sz w:val="24"/>
          <w:szCs w:val="24"/>
        </w:rPr>
      </w:pPr>
      <w:r>
        <w:rPr>
          <w:rFonts w:ascii="Times New Roman" w:hAnsi="Times New Roman"/>
          <w:b/>
          <w:smallCaps/>
          <w:noProof/>
          <w:sz w:val="24"/>
        </w:rPr>
        <w:tab/>
        <w:t>A. KOMPONENTA 1.1.: OTPORNO, ZELENO I DIGITALNO GOSPODARSTVO</w:t>
      </w:r>
    </w:p>
    <w:p w14:paraId="15EC9E64"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Ova komponenta hrvatskog plana za oporavak i otpornost (NPOO) primjenjuje širok, horizontalni pristup u rješavanju određenih strukturnih slabosti hrvatskoga gospodarstva. Gospodarski rast Hrvatske i konvergencija s ostatkom Unije otežani su zbog slabe produktivnosti, razmjerno niskih ulaganja privatnog sektora, ograničenog pristupa financiranju za najinovativnija društva te općenito poslovnog okruženja s razmjerno velikim administrativnim i parafiskalnim opterećenjem te prekomjernom regulacijom profesija. Pored toga, udio industrijske proizvodnje u Hrvatskoj nizak je u usporedbi s državama članica srednje i istočne Europe, a Hrvatska zaostaje za sličnim zemljama i u ulaganjima u inovacije, proizvode na višim tehnološkim razinama i zelenu i digitalnu tranziciju.</w:t>
      </w:r>
    </w:p>
    <w:p w14:paraId="31852A30"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Komponenta ima tri cilja: </w:t>
      </w:r>
    </w:p>
    <w:p w14:paraId="5CB02E54" w14:textId="77777777" w:rsidR="00733DCA" w:rsidRPr="008F2258" w:rsidRDefault="00733DCA" w:rsidP="00733DCA">
      <w:pPr>
        <w:numPr>
          <w:ilvl w:val="0"/>
          <w:numId w:val="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unapređenje poslovnog okruženja daljnjom provedbom reformi namijenjenih smanjenju administrativnog i parafiskalnog opterećenja i daljnjom liberalizacijom reguliranih profesija, </w:t>
      </w:r>
    </w:p>
    <w:p w14:paraId="6DEE43E0" w14:textId="77777777" w:rsidR="00733DCA" w:rsidRPr="008F2258" w:rsidRDefault="00733DCA" w:rsidP="00733DCA">
      <w:pPr>
        <w:numPr>
          <w:ilvl w:val="0"/>
          <w:numId w:val="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bolja raspodjela kapitalnih resursa unutar gospodarstva osmišljavanjem promjena regulatornog okvira kako bi se potaknula ulaganja privatnog sektora, potpora produktivnim ulaganjima poduzeća putem bespovratnih sredstava i povlaštenih financijskih instrumenata, posebno za uvođenje zelenih tehnologija, te poboljšanje pristupa alternativnim i inovativnim načinima financiranja, </w:t>
      </w:r>
    </w:p>
    <w:p w14:paraId="68AECFC6" w14:textId="77777777" w:rsidR="00733DCA" w:rsidRPr="008F2258" w:rsidRDefault="00733DCA" w:rsidP="00733DCA">
      <w:pPr>
        <w:numPr>
          <w:ilvl w:val="0"/>
          <w:numId w:val="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pružanje potpore poduzećima u prilagodbi njihova poslovanja novom digitalnom okruženju s posebnim naglaskom na kulturni i kreativni sektor koji su posebno teško pogođeni mjerama ograničavanja kretanja i pružanja usluga koje zahtijevaju fizičku prisutnost.</w:t>
      </w:r>
    </w:p>
    <w:p w14:paraId="1565D23F"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Komponentom se osigurava likvidnost malim i srednjim poduzećima, smanjuju parafiskalni nameti i regulatorna ograničenja tržišta roba i usluga, promiču privatna ulaganja i usmjeravaju ulaganja u zelenu i digitalnu tranziciju, čime se ispunjuje preporuka za Hrvatsku (3. preporuka za Hrvatsku iz 2020.). Doprinosi i ispunjenju preporuke o smanjenju najvećih parafiskalnih nameta i pretjeranu regulaciju tržišta proizvoda i usluga (4. preporuka za Hrvatsku iz 2019.).</w:t>
      </w:r>
    </w:p>
    <w:p w14:paraId="7E3F8344"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Komponenta je podijeljena u dvije potkomponente, C1.1.1. (Jačanje konkurentnosti i zelena tranzicija gospodarstva) i C.1.1.2 (Poticanje inovacija i digitalizacija gospodarstva).</w:t>
      </w:r>
    </w:p>
    <w:p w14:paraId="659BB360" w14:textId="77777777" w:rsidR="00733DCA" w:rsidRPr="008F2258" w:rsidRDefault="00733DCA" w:rsidP="0001477B">
      <w:pPr>
        <w:spacing w:after="200" w:line="276" w:lineRule="auto"/>
        <w:rPr>
          <w:rFonts w:ascii="Times New Roman" w:eastAsia="Calibri" w:hAnsi="Times New Roman" w:cs="Times New Roman"/>
          <w:noProof/>
          <w:sz w:val="24"/>
        </w:rPr>
      </w:pPr>
      <w:r>
        <w:rPr>
          <w:noProof/>
        </w:rPr>
        <w:br w:type="page"/>
      </w:r>
    </w:p>
    <w:p w14:paraId="213D4477" w14:textId="77777777" w:rsidR="00733DCA" w:rsidRPr="008F2258"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A.1. </w:t>
      </w:r>
      <w:r>
        <w:rPr>
          <w:rFonts w:ascii="Times New Roman" w:hAnsi="Times New Roman"/>
          <w:b/>
          <w:noProof/>
          <w:sz w:val="24"/>
          <w:u w:val="single"/>
        </w:rPr>
        <w:tab/>
        <w:t>Opis reformi i ulaganja za programe bespovratne financijske potpore</w:t>
      </w:r>
    </w:p>
    <w:p w14:paraId="467853DC"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Potkomponenta C1.1.1. – Jačanje konkurentnosti i zelena tranzicija gospodarstva</w:t>
      </w:r>
    </w:p>
    <w:p w14:paraId="1135F578" w14:textId="77777777" w:rsidR="00733DCA" w:rsidRPr="008F2258" w:rsidRDefault="00733DCA" w:rsidP="0001477B">
      <w:pPr>
        <w:keepNext/>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potkomponente promicati gospodarsku aktivnost, konkurentnost i ulaganja daljnjim smanjenjem administrativnog i parafiskalnog opterećenja za poduzeća, daljnjom liberalizacijom reguliranih profesija, povećanjem pristupa kreditima putem bespovratnih sredstava, koncesijskih zajmova i vlasničkih instrumenata, privlačenje izravnih stranih ulaganja i potporu kulturnom i kreativnom sektoru u digitalnoj tranziciji.</w:t>
      </w:r>
    </w:p>
    <w:p w14:paraId="5E16A833" w14:textId="77777777" w:rsidR="00733DCA" w:rsidRPr="008F2258" w:rsidRDefault="00733DCA" w:rsidP="0001477B">
      <w:pPr>
        <w:keepNext/>
        <w:spacing w:before="120" w:after="120" w:line="240" w:lineRule="auto"/>
        <w:ind w:left="720" w:hanging="11"/>
        <w:jc w:val="both"/>
        <w:rPr>
          <w:rFonts w:ascii="Times New Roman" w:eastAsia="Calibri" w:hAnsi="Times New Roman" w:cs="Times New Roman"/>
          <w:noProof/>
          <w:sz w:val="24"/>
          <w:szCs w:val="24"/>
          <w:u w:val="single"/>
        </w:rPr>
      </w:pPr>
      <w:r>
        <w:rPr>
          <w:rFonts w:ascii="Times New Roman" w:hAnsi="Times New Roman"/>
          <w:noProof/>
          <w:sz w:val="24"/>
          <w:u w:val="single"/>
        </w:rPr>
        <w:t xml:space="preserve">Reforma C1.1.1. R1 – Nastavak reforme poslovnog i regulatornog okruženja </w:t>
      </w:r>
    </w:p>
    <w:p w14:paraId="263FA1CB"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reforme dodatno poboljšati hrvatsko poslovno okruženje:</w:t>
      </w:r>
    </w:p>
    <w:p w14:paraId="722EA67C"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digitalizacijom usluga koje državna i javna uprava pruža poduzećima,</w:t>
      </w:r>
    </w:p>
    <w:p w14:paraId="02B5D6AA"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unapređenjem regulatornih uvjeta za poslovanje te nastavkom administrativnog i fiskalnog rasterećenja,</w:t>
      </w:r>
    </w:p>
    <w:p w14:paraId="14F8F5BA" w14:textId="77777777" w:rsidR="00733DCA" w:rsidRPr="008F2258" w:rsidRDefault="00733DCA" w:rsidP="00733DCA">
      <w:pPr>
        <w:numPr>
          <w:ilvl w:val="0"/>
          <w:numId w:val="3"/>
        </w:numPr>
        <w:suppressAutoHyphens/>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donošenjem strategije i akcijskog plana za poboljšanje procjene učinka na gospodarstvo.</w:t>
      </w:r>
    </w:p>
    <w:p w14:paraId="2DF79C5E"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uključuje donošenje 5. Akcijskog plana za administrativno rasterećenje i smanjenje parafiskalnih i neporeznih davanja te uspostavu informatičkog sustava za praćenje provedbe mjera i za ažuriranje i digitalizaciju Registra neporeznih davanja.</w:t>
      </w:r>
    </w:p>
    <w:p w14:paraId="0F368AAF"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Donošenje strategije i akcijskog plana za poboljšanje postupaka procjene učinka na gospodarstvo koji se primjenjuju u javnoj upravi, radi unapređenja potpore inovacijama i donošenju novih poslovnih modela U tom kontekstu test procjene učinka na MSP-ove prenosi se na digitalnu platformu kako bi se olakšala suradnja u javnoj upravi i poduprlo internetsko osposobljavanje i komunikacija. Kontinuirano osposobljavanje državnih službenika u određenim područjima dio je ulaganja. Mjere u okviru ovog ulaganja uključuju provedbu regulatornog sigurnog testnog okruženja (eng. </w:t>
      </w:r>
      <w:r>
        <w:rPr>
          <w:rFonts w:ascii="Times New Roman" w:hAnsi="Times New Roman"/>
          <w:i/>
          <w:noProof/>
          <w:sz w:val="24"/>
        </w:rPr>
        <w:t>regulatory sandbox</w:t>
      </w:r>
      <w:r>
        <w:rPr>
          <w:rFonts w:ascii="Times New Roman" w:hAnsi="Times New Roman"/>
          <w:noProof/>
          <w:sz w:val="24"/>
        </w:rPr>
        <w:t>) koje omogućava kontrolirano testiranje novih poslovnih modela.</w:t>
      </w:r>
    </w:p>
    <w:p w14:paraId="3A730875"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prosinca 2024.</w:t>
      </w:r>
    </w:p>
    <w:p w14:paraId="6A1842C6"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Reforma C1.1.1. R2 – Nastavak reforme reguliranih profesija</w:t>
      </w:r>
    </w:p>
    <w:p w14:paraId="3FC690B4"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reforme pomoći rastu produktivnosti hrvatskoga gospodarstva nastavkom liberalizacije tržišta usluga. Reforma uključuje pojednostavnjenje ili potpuno uklanjanje najmanje 50 regulatornih zahtjeva za profesionalne usluge, na temelju provedbe drugog i trećeg Akcijskog plana za liberalizaciju tržišta usluga, uključujući profesije odvjetnika, bilježnika, poreznih savjetnika, revizora, farmaceuta i ljekarni, fizioterapeuta, arhitekata, inženjera i turističkih vodiča, te uzimajući u obzir preporuke Svjetske banke o registraciji i članstva u strukovnim komorama, fragmentirana ekskluzivna prava pojedinih profesija (npr. arhitekti i inženjeri), provođenje stručnog ispita nakon završenog fakultetskog obrazovanja (npr. arhitekti i inženjeri) i ograničenja u pogledu vlasništva i upravljanja za porezne savjetnike.</w:t>
      </w:r>
    </w:p>
    <w:p w14:paraId="3FAA1D03"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prosinca 2024.</w:t>
      </w:r>
    </w:p>
    <w:p w14:paraId="7C27CAD6"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Reforma C1.1.1. R3 – Unapređenje strateškog okvira za promociju privatnih ulaganja</w:t>
      </w:r>
    </w:p>
    <w:p w14:paraId="1D9D7047"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reforme povećati atraktivnost Hrvatske za ulaganja izradom i donošenjem Strateškog okvira za promicanje i olakšavanje izravnih stranih ulaganja. Reforma uključuje tri analitičke studije: pružanje: i. pregleda institucionalnog krajobraza, ii. procjene utjecaja stranih ulaganja i iii. preporuka za regulatorne i institucionalne promjene te osmišljavanje poreznih poticaja; donošenje strateškog okvira uključujući akcijski plan i uspostavu digitalne platforme za potrebe provedbe. Očekuje se da će taj strateški okvir osigurati koherentnost i koordinaciju politika u različitim ministarstvima i institucijama koja se bave promicanjem i olakšavanjem ulaganja, maksimalizirati utjecaj ulaganja na produktivnost, stvaranje radnih mjesta i regionalni razvoj i poduprijeti digitalnu i klimatsku tranziciju Hrvatske. </w:t>
      </w:r>
    </w:p>
    <w:p w14:paraId="3BE90313" w14:textId="77777777" w:rsidR="00733DCA" w:rsidRPr="008F2258" w:rsidRDefault="00733DCA" w:rsidP="0001477B">
      <w:pPr>
        <w:keepNext/>
        <w:spacing w:before="120" w:after="120" w:line="240" w:lineRule="auto"/>
        <w:jc w:val="both"/>
        <w:rPr>
          <w:rFonts w:ascii="Times New Roman" w:eastAsia="Calibri" w:hAnsi="Times New Roman" w:cs="Times New Roman"/>
          <w:noProof/>
          <w:sz w:val="24"/>
          <w:szCs w:val="24"/>
          <w:u w:val="single"/>
        </w:rPr>
      </w:pPr>
      <w:r>
        <w:rPr>
          <w:rFonts w:ascii="Times New Roman" w:hAnsi="Times New Roman"/>
          <w:noProof/>
          <w:sz w:val="24"/>
        </w:rPr>
        <w:t>Reforma će biti dovršena do 31. prosinca 2024.</w:t>
      </w:r>
    </w:p>
    <w:p w14:paraId="7527BAFA" w14:textId="77777777" w:rsidR="00733DCA" w:rsidRPr="008F2258" w:rsidRDefault="00733DCA" w:rsidP="0001477B">
      <w:pPr>
        <w:keepNext/>
        <w:spacing w:before="120" w:after="120" w:line="240" w:lineRule="auto"/>
        <w:ind w:firstLine="720"/>
        <w:jc w:val="both"/>
        <w:rPr>
          <w:rFonts w:ascii="Times New Roman" w:eastAsia="Calibri" w:hAnsi="Times New Roman" w:cs="Times New Roman"/>
          <w:noProof/>
          <w:sz w:val="24"/>
          <w:szCs w:val="24"/>
          <w:u w:val="single"/>
        </w:rPr>
      </w:pPr>
      <w:r>
        <w:rPr>
          <w:rFonts w:ascii="Times New Roman" w:hAnsi="Times New Roman"/>
          <w:noProof/>
          <w:sz w:val="24"/>
          <w:u w:val="single"/>
        </w:rPr>
        <w:t>Reforma C1.1.1. R6 – Razvoj otpornog kulturnog i kreativnog sektora</w:t>
      </w:r>
    </w:p>
    <w:p w14:paraId="103D092D"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Reforma uključuje stupanje na snagu izmjena Zakona o elektroničkim medijima i Zakona o autorskom pravu i srodnim pravima kojima se uvodi djelotvorna pravna zaštita za stvaratelje kreativnih, kulturnih i medijskih sadržaja na internetu, uzimajući u obzir potrebu uklanjanja prepreka uspješnoj komercijalizaciji zaštićenog sadržaja na internetu. Očekuje se da će novi pravni okvir potaknuti poduzeća na prilagodbu poslovnih procesa industrijskim standardima na jedinstvenom digitalnom tržištu, razvijanjem novih i inovativnih modela poslovanja na internetu i novih i inovativnih proizvoda i usluga. </w:t>
      </w:r>
    </w:p>
    <w:p w14:paraId="1095BCAC"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Očekuje se da će reformirani autorskopravni okvir potaknuti kulturni i kreativni sektor tako što će pružiti stabilan pravni okvir za kreiranje internetskih platformi i aplikacija, olakšati licenciranje kreativnih, kulturnih i medijskih sadržaja na internetu i time promicati kulturnu, jezičnu i medijsku raznolikost. Očekuje se da će izmjene pravnog okvira za medije i autorska prava olakšati prekograničnu distribuciju televizijskih i radijskih programa pružanjem jasnih pravila o tzv. izravnom protoku signala i olakšavanjem ponovne uporabe javnog sadržaja za kreiranje novih inovativnih proizvoda i usluga na jedinstvenom digitalnom tržištu. Nadalje, zakonodavnom reformom osigurat će se transparentnost u objavi vlasničkih struktura koje će se povezati s Registrom stvarnih vlasnika i objavom tih podataka na internetskim stranicama pružatelja, a veća transparentnost uvest će se i kod podataka vezanih za iznose i izvore financiranja.</w:t>
      </w:r>
    </w:p>
    <w:p w14:paraId="5B73C43C"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30. lipnja 2022.</w:t>
      </w:r>
    </w:p>
    <w:p w14:paraId="033C2304"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C1.1.1. R1-I1 – Digitalizacija usluga državne i javne administracija prema poslovnom sektoru (G2B)</w:t>
      </w:r>
    </w:p>
    <w:p w14:paraId="3518158A"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ulaganja poboljšati pristupačnost, transparentnost i učinkovitost javnih usluga koje se pružaju poduzećima njihovom digitalizacijom u odabranim prioritetnim područjima kao što su registracija poduzeća i licenciranje. Očekuje se da će se time omogućiti daljnje integriranje informacija o ulasku na tržištu i ulaganjima u Hrvatsku, čime će se poboljšati točnost i dostupnost podataka, a posljedično i dizajn i provedba politike na više razina državne uprave. Konačno, cilj je poboljšati razmjenu informacija i konsolidaciju podataka u tijelima državne uprave kako bi se omogućila primjena principa „samo jednom”.</w:t>
      </w:r>
    </w:p>
    <w:p w14:paraId="77FF14BE"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uključivati sljedeće mjere:</w:t>
      </w:r>
    </w:p>
    <w:p w14:paraId="0FCBA40E"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Prva mjera uključuje ulaganja koja će se temeljiti na postojećoj digitalnoj platformi START za osnivanje društava s ograničenom odgovornošću i omogućiti korisnicima da registriraju nova društva na internetu. Tom će se mjerom proširiti funkcionalnosti platforme START kako bi se povećao opseg usluga, poboljšao pristup i dostupnost sustava te osigurala integriranost svih novih poslovnih podataka u jedinstvenu bazu podataka. U okviru te mjere provest će se tri ulagačka projekta. Prvo, kako bi se povećala upotreba platforme START i bolje integrirali procesi pokrenuti digitalnim ili nedigitalnim putem, uspostavit će se, opremiti i staviti u funkciju 20 novih fizičkih pristupnih točaka za platformu START u poslovnicama Financijske agencije. Drugo, nadogradnjom i povezivanjem platforme START s različitim registrima uvest će se nove funkcionalnosti te omogućiti pristup administrativnom postupku s pomoću digitalne autentifikacije. Treće, uspostavit će se digitalna platforma za licenciranje (START Plus) kako bi se povećala transparentnost uvjeta ulaska na tržište i transparentnosti propisa o poslovanju.</w:t>
      </w:r>
    </w:p>
    <w:p w14:paraId="12615746"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Druga mjera uključuje konsolidaciju plaćanja obveznih naknada poduzećima i jedan je od preduvjeta za pristupanje Hrvatske europskom tečajnom mehanizmu II. (ERM II.) i bankovnoj uniji. Mjerom će se uspostaviti jedinstvena platforma za digitalne naknade kojom će se omogućiti internetsko plaćanje sedam najčešćih i troškovno intenzivnih obveznih naknada za poduzeća i doprinijeti optimizaciji postojećeg administrativnog postupka ponudom sljedećih funkcionalnosti: i. popisa naknada koje poslovni subjekt treba platiti; ii. održavanja kalendara plaćanja s rokovima za namiru; iii. mogućnosti ispunjenja i podnošenja potrebnih obrazaca nadležnim ustanovama u elektroničkom obliku, iv. mogućnosti izravnog internetskog plaćanja naknada i v. pružanja pregleda plaćenih naknada.</w:t>
      </w:r>
    </w:p>
    <w:p w14:paraId="3B5DD605"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Trećom mjerom pojednostavnit će se i digitalizirati postupci povezani sa Zakonom o strateškim ulagačkim projektima, Zakonom o poticanju ulaganja i Zakonom o državnoj potpori za istraživačko-razvojne projekte te se će se dalje razviti i nadograditi elektronička baza podataka o poduzećima, uspostavljena Zakonom o unapređenju poduzetničke infrastrukture. Digitalizacija navedenih postupaka podrazumijeva uvođenje digitalne platforme za podnošenje i pristup aplikacijama.</w:t>
      </w:r>
    </w:p>
    <w:p w14:paraId="19E8637F"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Prva i treća mjera bit će dovršene do 31. prosinca 2024., a druga će mjera biti dovršena do 30. lipnja 2022.</w:t>
      </w:r>
    </w:p>
    <w:p w14:paraId="033DC546"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C1.1.1. R1-I2 – Nastavak administrativnog i fiskalnog rasterećenja</w:t>
      </w:r>
    </w:p>
    <w:p w14:paraId="73C5C281"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je sastavni dio tekuće reforme poslovnog okruženja koja je usmjerena na daljnje smanjenje administrativnog i fiskalnog opterećenja poduzeća i uključuje mjere za provedbu četiriju akcijskih planova za koje se očekuje da će znatno poboljšati poslovno okruženje u Hrvatskoj. </w:t>
      </w:r>
    </w:p>
    <w:p w14:paraId="04C3B1ED"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je podijeljeno na dvije podskupine mjera koje uključuju:</w:t>
      </w:r>
    </w:p>
    <w:p w14:paraId="628D7A3B"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provedbu akcijskih planova za 2017., 2018., 2019. i 2020. za administrativno rasterećenje u područjima ribarstva, fitosanitarne i veterinarske kontrole, turizma i ugostiteljstva, gospodarenja otpadom, socijalne skrbi, znanstvenih aktivnosti i sudskih postupaka, optimizacijom i digitalizacijom najsloženijih administrativnih postupaka. Podulaganjem se podupire i potpuna provedba Akcijskog plana za smanjenje neporeznih i parafiskalnih davanja u područjima energetike, poljoprivrede i katastra.</w:t>
      </w:r>
    </w:p>
    <w:p w14:paraId="68971EEB"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provedbu petog Akcijskog plana za administrativno rasterećenje za dodatnih 265 445 617 EUR (2 000 000 000 HRK) radi smanjenja parafiskalnih i neporeznih davanja za 132 722 808 EUR (1 000 000 000 HRK) te uspostave informatičkog sustava za praćenje provedbe mjera i ažuriranje i digitalizaciju Registra neporeznih davanja.</w:t>
      </w:r>
    </w:p>
    <w:p w14:paraId="088A1662"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Prva podskupina mjera bit će dovršena do 31. prosinca 2022. Druga podskupina mjera bit će dovršena do 31. prosinca 2025. </w:t>
      </w:r>
    </w:p>
    <w:p w14:paraId="34896E7E"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C1.1.1. R4-I1 – Potpora poduzećima za prelazak na energetski i resursno učinkovito gospodarstvo</w:t>
      </w:r>
    </w:p>
    <w:p w14:paraId="176096CA"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Ulaganjem se financiraju, bespovratnim sredstvima, produktivna ulaganja malih i srednjih te poduzeća srednje tržišne kapitalizacije u zelene tehnologije koje doprinose energetski i resursno učinkovitom gospodarstvu u energetski intenzivnim industrijama, uključujući metaloprerađivačku, tekstilnu, prehrambenu, kemijsku, građevinsku i drvoprerađivačku industriju. Te energetski intenzivne industrije zapošljavaju velik broj ljudi i proces dekarbonizacije zahtijeva znatna ulaganja. Bespovratna sredstva dodjeljivat će se samo financijski održivim poduzećima iz navedenih prihvatljivih sektora koja dokažu da planirana ulaganja doprinose barem jednom od ovih ciljeva:</w:t>
      </w:r>
    </w:p>
    <w:p w14:paraId="6F859401"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promicanju kružnog gospodarstva uvođenjem resursne učinkovitosti u proizvodni ciklus i životni vijek proizvoda, uključujući održivu opskrbu primarnim i sekundarnim sirovinama,</w:t>
      </w:r>
    </w:p>
    <w:p w14:paraId="728BD548"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dekarbonizaciji i smanjenju emisija energetski intenzivnih industrija, uključujući demonstraciju i uvođenje inovativnih tehnologija s niskom razinom emisija.</w:t>
      </w:r>
    </w:p>
    <w:p w14:paraId="79823326"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Doprinos navedenih ciljeva dokazuje se upućivanje na interventna polja iz priloga VI. i VII. Uredbe (EU) 2021/241. Očekivani učinak ulaganja koja se financiraju ovom mjerom jest smanjenje štetnih emisija za najmanje 20 % u usporedbi s ulaganjima koja nisu usmjerena na energetsku učinkovitost, korištenje obnovljivih izvora energije; korištenje reciklata i oporabljivih materijala u ukupnom volumenu materijala u proizvodnji iznosit će najmanje 20 %.</w:t>
      </w:r>
    </w:p>
    <w:p w14:paraId="12F12CB9" w14:textId="1B290972"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Kako bi se osigurala usklađenost mjere s Tehničkim smjernicama </w:t>
      </w:r>
      <w:r w:rsidR="001F483E">
        <w:rPr>
          <w:rFonts w:ascii="Times New Roman" w:hAnsi="Times New Roman"/>
          <w:noProof/>
          <w:sz w:val="24"/>
        </w:rPr>
        <w:t>o</w:t>
      </w:r>
      <w:r>
        <w:rPr>
          <w:rFonts w:ascii="Times New Roman" w:hAnsi="Times New Roman"/>
          <w:noProof/>
          <w:sz w:val="24"/>
        </w:rPr>
        <w:t xml:space="preserve"> primjen</w:t>
      </w:r>
      <w:r w:rsidR="001F483E">
        <w:rPr>
          <w:rFonts w:ascii="Times New Roman" w:hAnsi="Times New Roman"/>
          <w:noProof/>
          <w:sz w:val="24"/>
        </w:rPr>
        <w:t>i</w:t>
      </w:r>
      <w:r>
        <w:rPr>
          <w:rFonts w:ascii="Times New Roman" w:hAnsi="Times New Roman"/>
          <w:noProof/>
          <w:sz w:val="24"/>
        </w:rPr>
        <w:t xml:space="preserve"> načela nenanošenja bitne štete (2021/C58/01), kriterijima prihvatljivosti navedenima u opisu poslova budućih poziva na podnošenje projekata: </w:t>
      </w:r>
    </w:p>
    <w:p w14:paraId="494D68AF" w14:textId="77777777" w:rsidR="00733DCA" w:rsidRPr="008F2258" w:rsidRDefault="00733DCA" w:rsidP="00733DCA">
      <w:pPr>
        <w:numPr>
          <w:ilvl w:val="0"/>
          <w:numId w:val="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zahtijevat će se primjena Komisijinih Tehničkih smjernica za provjeru održivosti u kontekstu fonda InvestEU</w:t>
      </w:r>
      <w:r w:rsidRPr="008F2258">
        <w:rPr>
          <w:rFonts w:ascii="Times New Roman" w:eastAsia="Calibri" w:hAnsi="Times New Roman" w:cs="Times New Roman"/>
          <w:noProof/>
          <w:sz w:val="24"/>
          <w:szCs w:val="24"/>
          <w:vertAlign w:val="superscript"/>
          <w:lang w:val="en-IE"/>
        </w:rPr>
        <w:footnoteReference w:id="2"/>
      </w:r>
      <w:r>
        <w:rPr>
          <w:rFonts w:ascii="Times New Roman" w:hAnsi="Times New Roman"/>
          <w:noProof/>
          <w:sz w:val="24"/>
        </w:rPr>
        <w:t>; i</w:t>
      </w:r>
    </w:p>
    <w:p w14:paraId="39B5D33F" w14:textId="77777777" w:rsidR="00733DCA" w:rsidRPr="008F2258" w:rsidRDefault="00733DCA" w:rsidP="00733DCA">
      <w:pPr>
        <w:numPr>
          <w:ilvl w:val="0"/>
          <w:numId w:val="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iz kriterija prihvatljivosti bit će isključene sljedeće aktivnosti i imovina: i. aktivnosti i imovina koje se odnose na fosilna goriva, uključujući daljnju upotrebu</w:t>
      </w:r>
      <w:r w:rsidRPr="008F2258">
        <w:rPr>
          <w:rFonts w:ascii="Times New Roman" w:eastAsia="Calibri" w:hAnsi="Times New Roman" w:cs="Times New Roman"/>
          <w:noProof/>
          <w:sz w:val="24"/>
          <w:szCs w:val="24"/>
          <w:vertAlign w:val="superscript"/>
          <w:lang w:val="en-IE"/>
        </w:rPr>
        <w:footnoteReference w:id="3"/>
      </w:r>
      <w:r>
        <w:rPr>
          <w:rFonts w:ascii="Times New Roman" w:hAnsi="Times New Roman"/>
          <w:noProof/>
          <w:sz w:val="24"/>
        </w:rPr>
        <w:t>; ii. aktivnosti i imovina u okviru EU-ova sustava za trgovanje emisijama (ETS) kojima se postižu predviđene emisije stakleničkih plinova koje nisu znatno niže od relevantnih referentnih vrijednosti</w:t>
      </w:r>
      <w:r w:rsidRPr="008F2258">
        <w:rPr>
          <w:rFonts w:ascii="Times New Roman" w:eastAsia="Calibri" w:hAnsi="Times New Roman" w:cs="Times New Roman"/>
          <w:noProof/>
          <w:sz w:val="24"/>
          <w:szCs w:val="24"/>
          <w:vertAlign w:val="superscript"/>
          <w:lang w:val="en-IE"/>
        </w:rPr>
        <w:footnoteReference w:id="4"/>
      </w:r>
      <w:r>
        <w:rPr>
          <w:rFonts w:ascii="Times New Roman" w:hAnsi="Times New Roman"/>
          <w:noProof/>
          <w:sz w:val="24"/>
        </w:rPr>
        <w:t>; iii. aktivnosti i imovina povezane s odlaganjem otpada na odlagališta otpada, spalionice</w:t>
      </w:r>
      <w:r w:rsidRPr="008F2258">
        <w:rPr>
          <w:rFonts w:ascii="Times New Roman" w:eastAsia="Calibri" w:hAnsi="Times New Roman" w:cs="Times New Roman"/>
          <w:noProof/>
          <w:sz w:val="24"/>
          <w:szCs w:val="24"/>
          <w:vertAlign w:val="superscript"/>
          <w:lang w:val="en-IE"/>
        </w:rPr>
        <w:footnoteReference w:id="5"/>
      </w:r>
      <w:r>
        <w:rPr>
          <w:rFonts w:ascii="Times New Roman" w:hAnsi="Times New Roman"/>
          <w:noProof/>
          <w:sz w:val="24"/>
        </w:rPr>
        <w:t xml:space="preserve"> i postrojenja za mehaničku biološku obradu</w:t>
      </w:r>
      <w:r w:rsidRPr="008F2258">
        <w:rPr>
          <w:rFonts w:ascii="Times New Roman" w:eastAsia="Calibri" w:hAnsi="Times New Roman" w:cs="Times New Roman"/>
          <w:noProof/>
          <w:sz w:val="24"/>
          <w:szCs w:val="24"/>
          <w:vertAlign w:val="superscript"/>
          <w:lang w:val="en-IE"/>
        </w:rPr>
        <w:footnoteReference w:id="6"/>
      </w:r>
      <w:r>
        <w:rPr>
          <w:rFonts w:ascii="Times New Roman" w:hAnsi="Times New Roman"/>
          <w:noProof/>
          <w:sz w:val="24"/>
        </w:rPr>
        <w:t>; i iv. aktivnosti i imovina kod kojih dugotrajno odlaganje otpada može naštetiti okolišu; i</w:t>
      </w:r>
    </w:p>
    <w:p w14:paraId="0F75F148" w14:textId="77777777" w:rsidR="00733DCA" w:rsidRPr="008F2258" w:rsidRDefault="00733DCA" w:rsidP="00733DCA">
      <w:pPr>
        <w:numPr>
          <w:ilvl w:val="0"/>
          <w:numId w:val="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zahtijevati provjeru pravne usklađenosti projekata s relevantnim EU-ovim i nacionalnim propisima o okolišu za sve transakcije, uključujući one izuzete od testa održivosti.</w:t>
      </w:r>
    </w:p>
    <w:p w14:paraId="3AB5FF05" w14:textId="2563B451"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rujna 2025.</w:t>
      </w:r>
    </w:p>
    <w:p w14:paraId="73052E91"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C1.1.1. R4-I2 – Financijski instrument za mikro, mala i srednja poduzeća</w:t>
      </w:r>
    </w:p>
    <w:p w14:paraId="28D86305"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ulaganja dalje poticati ulagačku aktivnost na hrvatskom tržištu pružanjem pogodnijih uvjeta financiranja MSP-ovima u fazi rasta i razvoja (subjekti koji imaju pristup financiranju) i podržavati pristup financiranju specifičnim ciljnim skupinama koje uobičajeno nemaju takav pristup (kao što su mikro poduzeća, poduzeća početnici, ulaganja u istraživanje, razvoj i inovacije te gospodarski subjekti koji ulažu u manje razvijena područja). Financijski instrumenti za koje se očekuje da će se koristiti u okviru ovog ulaganja jesu: i. izravni krediti Hrvatske agencije za malo gospodarstvo, inovacije i investicije (HAMAG BICRO) i Hrvatske banke za obnovu i razvitak (HBOR) mikro, malim i srednjim poduzećima koji zbog svoje veličine, nepostojanja povijesti poslovanja i općenito viših rizika financiranja uobičajeno imaju otežan pristup ili uopće nemaju pristup kreditima banaka; i ii. subvencije kamatnih stopa po kreditima mikro, malim i srednjim poduzećima, u fazi rasta i razvoja, a koje HAMAG BICRO i HBOR odobravaju u okviru svoji redovnih jamstvenih i kreditnih programa i koje se provode u suradnji s financijskim posrednicima ili izravnim kreditiranjem iz HBOR-a.</w:t>
      </w:r>
    </w:p>
    <w:p w14:paraId="105B717D"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sljedeće financijske instrumente:</w:t>
      </w:r>
    </w:p>
    <w:p w14:paraId="1F1D8481"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HAMAG BICRO će izravno pružiti mikro-zajmove u iznosu do 100 000 EUR mikro, malim i srednjim poduzećima, koja zbog svoje veličine i veličine zajma uobičajeno imaju otežan pristup financiranju, na razdoblje od najviše 10 godina uz koncesijske kamatne stope i niže zahtjeve u pogledu kolaterala. Očekuje se da će se tim financijskim instrumentom osigurati financiranje u iznosu od 39 816 843 EUR (300 000 000 HRK). Minimalno 7 608 756 EUR (57 328 173 HRK) bit će namijenjeno za potporu ekološki prihvatljivim proizvodnim procesima i poboljšanju resursne učinkovitosti u MSP-ovima, 6 327 139 EUR (47 671 827 HRK) upotrijebit će se za pomoć MSP-ovima u digitalizaciji njihova poslovanja, a preostalih 25 880 948 EUR (195 000 000 HRK) bit će namijenjeno ulaganjima u jačanje konkurentnosti i otpornosti. tim se financijskim instrumentom upravlja odvojeno od drugih instrumenata HAMAG BICRO-a kako bi se osiguralo da se sva neiskorištena sredstva ili povrat sredstava iz tog instrumenta, putem povrata kapitala, upotrijebe u slične svrhe i pod istim uvjetima prihvatljivosti u pogledu utjecaja na okoliš;</w:t>
      </w:r>
    </w:p>
    <w:p w14:paraId="4A711644"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HBOR će izravno pružiti zajmove u iznosu od preko 100 000 EUR mikro, malim i srednjim poduzećima, koja zbog višeg stupnja rizičnosti uobičajeno imaju otežan pristup financiranju, uz koncesijske kamatne stope i niže zahtjeve u pogledu kolaterala. Očekuje se da će mjera biti prvenstveno usmjerena prema financiranju projekata poduzeća početnika, mladih poduzeća, žena poduzetnica, ulaganja u istraživanje, razvoj i inovacije i ulaganja u gospodarski slabije razvijena područja. Očekuje se da će se tim financijskim instrumentom osigurati financiranje u iznosu od 66 361 404 EUR (500 000 000 HRK). Minimalno 12 681 260 EUR (95 546 955 HRK) bit će namijenjeno za potporu ekološki prihvatljivim proizvodnim procesima i poboljšanju resursne učinkovitosti u MSP-ovima, 10 545 231 EUR (79 453 045 HRK) upotrijebit će se za pomoć MSP-ovima u digitalizaciji njihova poslovanja, a preostalih 43 134 913 EUR (325 000 000 HRK) bit će namijenjeno ulaganjima u jačanje konkurentnosti i otpornosti. Tim se financijskim instrumentom upravlja odvojeno od drugih instrumenata HBOR-a kako bi se osiguralo da se sva neiskorištena sredstva ili povrat sredstava iz tog instrumenta, putem povrata kapitala, upotrijebe u slične svrhe i pod istim uvjetima prihvatljivosti u pogledu utjecaja na okoliš.</w:t>
      </w:r>
    </w:p>
    <w:p w14:paraId="6F6FFA87"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Osnivanje fonda za subvencioniranje kamata radi olakšavanja uvjeta kreditiranja za bankarske kredite odobrene u okviru postojećih programa jamstva HAMAG BICRO-a mikro, malim i srednjim poduzećima. Očekuje se da će se tim financijskim instrumentom osigurati financiranje u iznosu od 13 272 281 EUR (100 000 000 HRK). Minimalno 2 536 252 EUR (19 109 391 HRK) bit će namijenjeno za potporu ekološki prihvatljivim proizvodnim procesima i poboljšanju resursne učinkovitosti u MSP-ovima, 2 109 046 EUR (15 890 609 HRK) upotrijebit će se za pomoć MSP-ovima u digitalizaciji njihova poslovanja, a preostalih 8 626 983 EUR (65 000 000 HRK) bit će namijenjeno ulaganjima u jačanje konkurentnosti i otpornosti.</w:t>
      </w:r>
    </w:p>
    <w:p w14:paraId="35EB065A"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Osnivanje fonda za subvencioniranje kamata za olakšavanja uvjeta kreditiranja za bankarske kredite odobrene u okviru postojećih kreditnih instrumenata HBOR-a dodijeljenih mikro, malim i srednjim poduzećima. Očekuje se da će se tim financijskim instrumentom osigurati financiranje u iznosu od 26 544 562 milijuna EUR (200 000 000 HRK). Minimalno 5 072 504 EUR (38 218 782 HRK) bit će namijenjeno za potporu ekološki prihvatljivim proizvodnim procesima i poboljšanju resursne učinkovitosti u MSP-ovima, 4 218 093 milijuna EUR (31 781 218 HRK) upotrijebit će se za pomoć MSP-ovima u digitalizaciji njihova poslovanja, a preostalih 17 253 965 EUR milijuna (130 000 000 HRK) bit će namijenjeno ulaganjima u jačanje konkurentnosti i otpornosti.</w:t>
      </w:r>
    </w:p>
    <w:p w14:paraId="145F8789" w14:textId="5B478319"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Kako bi se osigurala usklađenost mjere s Tehničkim smjernicama </w:t>
      </w:r>
      <w:r w:rsidR="001F483E">
        <w:rPr>
          <w:rFonts w:ascii="Times New Roman" w:hAnsi="Times New Roman"/>
          <w:noProof/>
          <w:sz w:val="24"/>
        </w:rPr>
        <w:t>o</w:t>
      </w:r>
      <w:r>
        <w:rPr>
          <w:rFonts w:ascii="Times New Roman" w:hAnsi="Times New Roman"/>
          <w:noProof/>
          <w:sz w:val="24"/>
        </w:rPr>
        <w:t xml:space="preserve"> primjen</w:t>
      </w:r>
      <w:r w:rsidR="001F483E">
        <w:rPr>
          <w:rFonts w:ascii="Times New Roman" w:hAnsi="Times New Roman"/>
          <w:noProof/>
          <w:sz w:val="24"/>
        </w:rPr>
        <w:t>i</w:t>
      </w:r>
      <w:r>
        <w:rPr>
          <w:rFonts w:ascii="Times New Roman" w:hAnsi="Times New Roman"/>
          <w:noProof/>
          <w:sz w:val="24"/>
        </w:rPr>
        <w:t xml:space="preserve"> načela nenanošenja bitne štete (2021/C58/01), pravnim sporazumom između Ministarstva gospodarstva i održivog razvoja (MINGOR) i HAMAG BICRO-a ili HBOR-a i daljnjom ulagačkom politikom financijskog instrumenta: </w:t>
      </w:r>
    </w:p>
    <w:p w14:paraId="2FDF4845" w14:textId="77777777" w:rsidR="00733DCA" w:rsidRPr="008F2258" w:rsidRDefault="00733DCA" w:rsidP="00733DCA">
      <w:pPr>
        <w:numPr>
          <w:ilvl w:val="0"/>
          <w:numId w:val="4"/>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zahtijevat će se primjena Komisijinih Tehničkih smjernica za provjeru održivosti u kontekstu fonda InvestEU; i</w:t>
      </w:r>
    </w:p>
    <w:p w14:paraId="23E44D12" w14:textId="77777777" w:rsidR="00733DCA" w:rsidRPr="008F2258" w:rsidRDefault="00733DCA" w:rsidP="00733DCA">
      <w:pPr>
        <w:numPr>
          <w:ilvl w:val="0"/>
          <w:numId w:val="4"/>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iz kriterija prihvatljivosti bit će isključene sljedeće aktivnosti i imovina: i. aktivnosti i imovina koje se odnose na fosilna goriva, uključujući daljnju upotrebu</w:t>
      </w:r>
      <w:r w:rsidRPr="008F2258">
        <w:rPr>
          <w:rFonts w:ascii="Times New Roman" w:eastAsia="Calibri" w:hAnsi="Times New Roman" w:cs="Times New Roman"/>
          <w:noProof/>
          <w:sz w:val="24"/>
          <w:szCs w:val="24"/>
          <w:vertAlign w:val="superscript"/>
          <w:lang w:val="en-IE"/>
        </w:rPr>
        <w:footnoteReference w:id="7"/>
      </w:r>
      <w:r>
        <w:rPr>
          <w:rFonts w:ascii="Times New Roman" w:hAnsi="Times New Roman"/>
          <w:noProof/>
          <w:sz w:val="24"/>
        </w:rPr>
        <w:t>; ii. aktivnosti i imovina u okviru EU-ova sustava za trgovanje emisijama (ETS) kojima se postižu predviđene emisije stakleničkih plinova koje nisu znatno niže od relevantnih referentnih vrijednosti</w:t>
      </w:r>
      <w:r w:rsidRPr="008F2258">
        <w:rPr>
          <w:rFonts w:ascii="Times New Roman" w:eastAsia="Calibri" w:hAnsi="Times New Roman" w:cs="Times New Roman"/>
          <w:noProof/>
          <w:sz w:val="24"/>
          <w:szCs w:val="24"/>
          <w:vertAlign w:val="superscript"/>
          <w:lang w:val="en-IE"/>
        </w:rPr>
        <w:footnoteReference w:id="8"/>
      </w:r>
      <w:r>
        <w:rPr>
          <w:rFonts w:ascii="Times New Roman" w:hAnsi="Times New Roman"/>
          <w:noProof/>
          <w:sz w:val="24"/>
        </w:rPr>
        <w:t>; iii. aktivnosti i imovina povezane s odlaganjem otpada na odlagališta otpada, spalionice</w:t>
      </w:r>
      <w:r w:rsidRPr="008F2258">
        <w:rPr>
          <w:rFonts w:ascii="Times New Roman" w:eastAsia="Calibri" w:hAnsi="Times New Roman" w:cs="Times New Roman"/>
          <w:noProof/>
          <w:sz w:val="24"/>
          <w:szCs w:val="24"/>
          <w:vertAlign w:val="superscript"/>
          <w:lang w:val="en-IE"/>
        </w:rPr>
        <w:footnoteReference w:id="9"/>
      </w:r>
      <w:r>
        <w:rPr>
          <w:rFonts w:ascii="Times New Roman" w:hAnsi="Times New Roman"/>
          <w:noProof/>
          <w:sz w:val="24"/>
        </w:rPr>
        <w:t xml:space="preserve"> i postrojenja za mehaničku biološku obradu</w:t>
      </w:r>
      <w:r w:rsidRPr="008F2258">
        <w:rPr>
          <w:rFonts w:ascii="Times New Roman" w:eastAsia="Calibri" w:hAnsi="Times New Roman" w:cs="Times New Roman"/>
          <w:noProof/>
          <w:sz w:val="24"/>
          <w:szCs w:val="24"/>
          <w:vertAlign w:val="superscript"/>
          <w:lang w:val="en-IE"/>
        </w:rPr>
        <w:footnoteReference w:id="10"/>
      </w:r>
      <w:r>
        <w:rPr>
          <w:rFonts w:ascii="Times New Roman" w:hAnsi="Times New Roman"/>
          <w:noProof/>
          <w:sz w:val="24"/>
        </w:rPr>
        <w:t>; i iv. aktivnosti i imovina kod kojih dugotrajno odlaganje otpada može naštetiti okolišu; i</w:t>
      </w:r>
    </w:p>
    <w:p w14:paraId="086D6264" w14:textId="77777777" w:rsidR="00733DCA" w:rsidRPr="008F2258" w:rsidRDefault="00733DCA" w:rsidP="00733DCA">
      <w:pPr>
        <w:numPr>
          <w:ilvl w:val="0"/>
          <w:numId w:val="4"/>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zahtijevati provjeru pravne usklađenosti projekata, od strane HAMAG BICRO-a, HBOR-a ili financijskih posrednika, s relevantnim EU-ovim i nacionalnim propisima o okolišu za sve transakcije, uključujući one izuzete od testa održivosti.</w:t>
      </w:r>
    </w:p>
    <w:p w14:paraId="6764484E"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0D36B819"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C1.1.1. R4-I3 – Financijski instrument za poduzeća srednje tržišne kapitalizacije i velika poduzeća</w:t>
      </w:r>
    </w:p>
    <w:p w14:paraId="07414FCE"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promicati konkurentnost i zelenu i digitalnu tranziciju poduzeća srednje tržišne kapitalizacije i velikih poduzeća osiguravanjem povoljnijih uvjeta financiranja kao glavnog preduvjeta za kratkoročni i srednjoročni rast ulaganja. Očekuje da će se za to ulaganje koristiti sljedeći financijski instrumenti: </w:t>
      </w:r>
    </w:p>
    <w:p w14:paraId="6F9F5891"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novi krovni jamstveni fond namijenjen izdavanju pojedinačnih ili portfeljnih jamstava za zajmove za ulaganja i zajmove za obrtni kapital poduzećima srednje tržišne kapitalizacije i velikim poduzećima s planiranom dodjelom od 79 633 685 EUR (600 000 000 HRK); sva neiskorištena sredstva ili povrat sredstava iz tog instrumenta, putem povrata kapitala, upotrebljavaju se u slične svrhe i pod istim uvjetima prihvatljivosti u pogledu utjecaja na okoliš, </w:t>
      </w:r>
    </w:p>
    <w:p w14:paraId="4F159E7F"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 fond za subvencioniranje kamata radi smanjenja troškova financiranja (kao što su plaćanja kamata, naknade i premije) zajmova poduzećima srednje tržišne kapitalizacije i velikim poduzećima s planiranom dodjelom od 26 544 562 EUR (200 000 000 HRK).</w:t>
      </w:r>
    </w:p>
    <w:p w14:paraId="0B6E56AA"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Financijski instrumenti upotrebljavaju se za ulaganja u nove, suvremene i napredne tehnologije (strojevi i oprema), u širenje i jačanje poslovnih kapaciteta (proširenje proizvodnih i uslužnih objekata i kapaciteta), uz davanje prednosti projektima u području energije iz obnovljivih izvora, energetske učinkovitosti, kružnoga gospodarstva, zaštite okoliša, digitalizacije proizvodnje, nabave i prodajnih postupaka. </w:t>
      </w:r>
    </w:p>
    <w:p w14:paraId="22FF7A25"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Kako bi se osigurala usklađenost mjere s Tehničkim smjernicama za primjenu načela nenanošenja bitne štete (2021/C58/01), pravni sporazum između MINGOR-a i HBOR-a i daljnja ulagačka politika financijskog instrumenta: </w:t>
      </w:r>
    </w:p>
    <w:p w14:paraId="3DFDB4BC" w14:textId="77777777" w:rsidR="00733DCA" w:rsidRPr="008F2258" w:rsidRDefault="00733DCA" w:rsidP="00733DCA">
      <w:pPr>
        <w:numPr>
          <w:ilvl w:val="0"/>
          <w:numId w:val="7"/>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zahtijevat će se primjena Komisijinih Tehničkih smjernica za provjeru održivosti u kontekstu fonda InvestEU; i</w:t>
      </w:r>
    </w:p>
    <w:p w14:paraId="490B5B3A" w14:textId="77777777" w:rsidR="00733DCA" w:rsidRPr="008F2258" w:rsidRDefault="00733DCA" w:rsidP="00733DCA">
      <w:pPr>
        <w:numPr>
          <w:ilvl w:val="0"/>
          <w:numId w:val="7"/>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 kriterija prihvatljivosti bit će isključene sljedeće aktivnosti i imovina: i. aktivnosti i imovina koje se odnose na fosilna goriva, uključujući daljnju upotrebu</w:t>
      </w:r>
      <w:r w:rsidRPr="008F2258">
        <w:rPr>
          <w:rFonts w:ascii="Times New Roman" w:eastAsia="Calibri" w:hAnsi="Times New Roman" w:cs="Times New Roman"/>
          <w:noProof/>
          <w:sz w:val="24"/>
          <w:vertAlign w:val="superscript"/>
          <w:lang w:val="en-IE"/>
        </w:rPr>
        <w:footnoteReference w:id="11"/>
      </w:r>
      <w:r>
        <w:rPr>
          <w:rFonts w:ascii="Times New Roman" w:hAnsi="Times New Roman"/>
          <w:noProof/>
          <w:sz w:val="24"/>
        </w:rPr>
        <w:t>; ii. aktivnosti i imovina u okviru EU-ova sustava za trgovanje emisijama (ETS) kojima se postižu predviđene emisije stakleničkih plinova koje nisu znatno niže od relevantnih referentnih vrijednosti</w:t>
      </w:r>
      <w:r w:rsidRPr="008F2258">
        <w:rPr>
          <w:rFonts w:ascii="Times New Roman" w:eastAsia="Calibri" w:hAnsi="Times New Roman" w:cs="Times New Roman"/>
          <w:noProof/>
          <w:sz w:val="24"/>
          <w:vertAlign w:val="superscript"/>
          <w:lang w:val="en-IE"/>
        </w:rPr>
        <w:footnoteReference w:id="12"/>
      </w:r>
      <w:r>
        <w:rPr>
          <w:rFonts w:ascii="Times New Roman" w:hAnsi="Times New Roman"/>
          <w:noProof/>
          <w:sz w:val="24"/>
        </w:rPr>
        <w:t>; iii. aktivnosti i imovina povezane s odlaganjem otpada na odlagališta otpada, spalionice</w:t>
      </w:r>
      <w:r w:rsidRPr="008F2258">
        <w:rPr>
          <w:rFonts w:ascii="Times New Roman" w:eastAsia="Calibri" w:hAnsi="Times New Roman" w:cs="Times New Roman"/>
          <w:noProof/>
          <w:sz w:val="24"/>
          <w:vertAlign w:val="superscript"/>
          <w:lang w:val="en-IE"/>
        </w:rPr>
        <w:footnoteReference w:id="13"/>
      </w:r>
      <w:r>
        <w:rPr>
          <w:rFonts w:ascii="Times New Roman" w:hAnsi="Times New Roman"/>
          <w:noProof/>
          <w:sz w:val="24"/>
        </w:rPr>
        <w:t xml:space="preserve"> i postrojenja za mehaničku biološku obradu</w:t>
      </w:r>
      <w:r w:rsidRPr="008F2258">
        <w:rPr>
          <w:rFonts w:ascii="Times New Roman" w:eastAsia="Calibri" w:hAnsi="Times New Roman" w:cs="Times New Roman"/>
          <w:noProof/>
          <w:sz w:val="24"/>
          <w:vertAlign w:val="superscript"/>
          <w:lang w:val="en-IE"/>
        </w:rPr>
        <w:footnoteReference w:id="14"/>
      </w:r>
      <w:r>
        <w:rPr>
          <w:rFonts w:ascii="Times New Roman" w:hAnsi="Times New Roman"/>
          <w:noProof/>
          <w:sz w:val="24"/>
        </w:rPr>
        <w:t>; i iv. aktivnosti i imovina kod kojih dugotrajno odlaganje otpada može naštetiti okolišu; i</w:t>
      </w:r>
    </w:p>
    <w:p w14:paraId="53B78C1F" w14:textId="77777777" w:rsidR="00733DCA" w:rsidRPr="008F2258" w:rsidRDefault="00733DCA" w:rsidP="00733DCA">
      <w:pPr>
        <w:numPr>
          <w:ilvl w:val="0"/>
          <w:numId w:val="7"/>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zahtijevati provjeru pravne usklađenosti projekata, od strane HBOR-a ili financijskih posrednika, s relevantnim EU-ovim i nacionalnim propisima o okolišu za sve transakcije, uključujući one izuzete od testa održivosti.</w:t>
      </w:r>
    </w:p>
    <w:p w14:paraId="4387691D"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3CD84DEF"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C1.1.1. R4-I4 – Financijski instrument za subjekte javnog sektora</w:t>
      </w:r>
    </w:p>
    <w:p w14:paraId="51329FD7"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javnim subjektima pružiti koncesijsko financiranje u gospodarsku, komunalnu, prometnu i socijalnu infrastrukturu te u projekte u području tehnologije koji doprinose zelenoj i digitalnoj tradiciji javnog sektora, u planiranom iznosu od 26 544 562 EUR (200 000 000 HRK). Očekuje se da će minimalno 30 % sredstava odnosno 7 963 368 EUR (60 000 000 HRK) u okviru tog ulaganja podržati ekološki prihvatljive proizvodne procese i resursnu učinkovitost u javnom sektoru.</w:t>
      </w:r>
    </w:p>
    <w:p w14:paraId="1E2AE907"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Kako bi se osigurala usklađenost mjere s Tehničkim smjernicama za primjenu načela nenanošenja bitne štete (2021/C58/01), pravni sporazum između MINGOR-a i HBOR-a i daljnja ulagačka politika financijskog instrumenta: </w:t>
      </w:r>
    </w:p>
    <w:p w14:paraId="6F3A76ED" w14:textId="77777777" w:rsidR="00733DCA" w:rsidRPr="008F2258" w:rsidRDefault="00733DCA" w:rsidP="00733DCA">
      <w:pPr>
        <w:numPr>
          <w:ilvl w:val="0"/>
          <w:numId w:val="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zahtijevat će se primjena Komisijinih Tehničkih smjernica za provjeru održivosti u kontekstu fonda InvestEU; i</w:t>
      </w:r>
    </w:p>
    <w:p w14:paraId="30F14395" w14:textId="77777777" w:rsidR="00733DCA" w:rsidRPr="008F2258" w:rsidRDefault="00733DCA" w:rsidP="00733DCA">
      <w:pPr>
        <w:numPr>
          <w:ilvl w:val="0"/>
          <w:numId w:val="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 kriterija prihvatljivosti bit će isključene sljedeće aktivnosti i imovina: i. aktivnosti i imovina koje se odnose na fosilna goriva, uključujući daljnju upotrebu</w:t>
      </w:r>
      <w:r w:rsidRPr="008F2258">
        <w:rPr>
          <w:rFonts w:ascii="Times New Roman" w:eastAsia="Calibri" w:hAnsi="Times New Roman" w:cs="Times New Roman"/>
          <w:noProof/>
          <w:sz w:val="24"/>
          <w:vertAlign w:val="superscript"/>
          <w:lang w:val="en-IE"/>
        </w:rPr>
        <w:footnoteReference w:id="15"/>
      </w:r>
      <w:r>
        <w:rPr>
          <w:rFonts w:ascii="Times New Roman" w:hAnsi="Times New Roman"/>
          <w:noProof/>
          <w:sz w:val="24"/>
        </w:rPr>
        <w:t>; ii. aktivnosti i imovina u okviru EU-ova sustava za trgovanje emisijama (ETS) kojima se postižu predviđene emisije stakleničkih plinova koje nisu znatno niže od relevantnih referentnih vrijednosti</w:t>
      </w:r>
      <w:r w:rsidRPr="008F2258">
        <w:rPr>
          <w:rFonts w:ascii="Times New Roman" w:eastAsia="Calibri" w:hAnsi="Times New Roman" w:cs="Times New Roman"/>
          <w:noProof/>
          <w:sz w:val="24"/>
          <w:vertAlign w:val="superscript"/>
          <w:lang w:val="en-IE"/>
        </w:rPr>
        <w:footnoteReference w:id="16"/>
      </w:r>
      <w:r>
        <w:rPr>
          <w:rFonts w:ascii="Times New Roman" w:hAnsi="Times New Roman"/>
          <w:noProof/>
          <w:sz w:val="24"/>
        </w:rPr>
        <w:t>; iii. aktivnosti i imovina povezane s odlaganjem otpada na odlagališta otpada, spalionice</w:t>
      </w:r>
      <w:r w:rsidRPr="008F2258">
        <w:rPr>
          <w:rFonts w:ascii="Times New Roman" w:eastAsia="Calibri" w:hAnsi="Times New Roman" w:cs="Times New Roman"/>
          <w:noProof/>
          <w:sz w:val="24"/>
          <w:vertAlign w:val="superscript"/>
          <w:lang w:val="en-IE"/>
        </w:rPr>
        <w:footnoteReference w:id="17"/>
      </w:r>
      <w:r>
        <w:rPr>
          <w:rFonts w:ascii="Times New Roman" w:hAnsi="Times New Roman"/>
          <w:noProof/>
          <w:sz w:val="24"/>
        </w:rPr>
        <w:t xml:space="preserve"> i postrojenja za mehaničku biološku obradu</w:t>
      </w:r>
      <w:r w:rsidRPr="008F2258">
        <w:rPr>
          <w:rFonts w:ascii="Times New Roman" w:eastAsia="Calibri" w:hAnsi="Times New Roman" w:cs="Times New Roman"/>
          <w:noProof/>
          <w:sz w:val="24"/>
          <w:vertAlign w:val="superscript"/>
          <w:lang w:val="en-IE"/>
        </w:rPr>
        <w:footnoteReference w:id="18"/>
      </w:r>
      <w:r>
        <w:rPr>
          <w:rFonts w:ascii="Times New Roman" w:hAnsi="Times New Roman"/>
          <w:noProof/>
          <w:sz w:val="24"/>
        </w:rPr>
        <w:t>; i iv. aktivnosti i imovina kod kojih dugotrajno odlaganje otpada može naštetiti okolišu; i</w:t>
      </w:r>
    </w:p>
    <w:p w14:paraId="32BA6ABF" w14:textId="77777777" w:rsidR="00733DCA" w:rsidRPr="008F2258" w:rsidRDefault="00733DCA" w:rsidP="00733DCA">
      <w:pPr>
        <w:numPr>
          <w:ilvl w:val="0"/>
          <w:numId w:val="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zahtijevati provjeru pravne usklađenosti projekata, od strane HBOR-a ili financijskih posrednika, s relevantnim EU-ovim i nacionalnim propisima o okolišu za sve transakcije, uključujući one izuzete od testa održivosti.</w:t>
      </w:r>
    </w:p>
    <w:p w14:paraId="349DDD08"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73545DD"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C1.1.1. R5-I1 – Ulaganje u instrumente vlasničkog i kvazivlasničkog financiranja</w:t>
      </w:r>
    </w:p>
    <w:p w14:paraId="41C5ED7A"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osigurati brži razvoj privatnih društava koja ne mogu dobiti financijska sredstva tradicionalnih financijskih institucija, u planiranom iznosu od 29 862 632 EUR (225 000 000 HRK). Ulaganje uključuje ulaganja ili su-ulaganje u: i. aktivne ili buduće fondove rizičnog kapitala te ii. fondove vlastitog kapitala, s posebnim naglaskom na financiranje početne faze i faze rasta poslovanja inovativnih i rastućih MSP-ova. Fondovi u okviru ovog ulaganja uključuju sudjelovanje stručnih privatnih ulagača u najmanje 30 % očekivane veličine svakog fonda, a očekuje se da će biti razvijeni u suradnji s Europskim investicijskim fondom (EIF). Fondovi će primjenjivati Sustav upravljanja okolišnim i socijalnim aspektima kako bi osigurali da se iskorištavaju samo za projekte koji su u skladu s načelom nenanošenja bitne štete. Sva neiskorištena sredstva ili povrat sredstava iz tog instrumenta, putem povrata kapitala, upotrebljavaju se u slične svrhe i pod istim uvjetima prihvatljivosti u pogledu utjecaja na okoliš.</w:t>
      </w:r>
    </w:p>
    <w:p w14:paraId="61343204" w14:textId="77777777"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2A6FB559"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C1.1.1. R6-I1 – Transformacija i jačanje konkurentnosti kulturnih i kreativnih industrija</w:t>
      </w:r>
    </w:p>
    <w:p w14:paraId="1A8CCE68"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Ulaganjem se osigurava financiranje, putem bespovratnih sredstava, za izgradnju kapaciteta mikro, malih i srednjih poduzeća te drugih pravnih i fizičkih osoba aktivnih u područjima kulturnog i kreativnog sektora (kao što su arhitektura, audiovizualne djelatnosti, mediji, baština, dizajn, izvedbene umjetnosti, knjige i izdavaštvo, primijenjene i vizualne umjetnosti) radi prilagodbe novom regulatornom i zakonodavnom okviru jedinstvenog digitalnog tržišta.</w:t>
      </w:r>
    </w:p>
    <w:p w14:paraId="26D732AA"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8BF7728"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C1.1.1. R6-I2 – Uspostava provjere medijskih činjenica i sustava javne objave podataka</w:t>
      </w:r>
    </w:p>
    <w:p w14:paraId="544AF360"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podržati uspostavu sustava provjere medijskih činjenica od strane Agencije za elektroničke medije uključujući izradu procedura i pravila, izradu Registra stvarnih vlasnika te jačanje kapaciteta digitalnih kompetencija provjeravatelja činjenica, kao i razvoj tehnoloških programa, platforma i sustava komunikacije s medijima i stvaranja baze podataka. Ulaganje uključuje:</w:t>
      </w:r>
    </w:p>
    <w:p w14:paraId="5A678C68"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bespovratna sredstva Agenciji za elektroničke medije namijenjena uspostavi sustava za izgradnju kapaciteta za provjeru činjenica, uključujući razvoj postupaka i pravila, registara i baza podataka za potrebe provjere činjenica te razvoj tehnoloških programa i platformi te medijskih komunikacijskih sustava, jačanje kapaciteta digitalnih kompetencija provjeravatelja činjenica,</w:t>
      </w:r>
    </w:p>
    <w:p w14:paraId="51824626"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bespovratna sredstva za izradu baze podataka i uspostavu sustava za objavljivanje vlasničkih podataka i izvora financiranja.</w:t>
      </w:r>
    </w:p>
    <w:p w14:paraId="0DCA0DE1" w14:textId="77777777" w:rsidR="00733DCA" w:rsidRPr="00B12D6C"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1B831DB3"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Potkomponenta C1.1.2. – Poticanje inovacija i digitalizacija gospodarstva</w:t>
      </w:r>
    </w:p>
    <w:p w14:paraId="10170EE8" w14:textId="77777777" w:rsidR="00733DCA" w:rsidRPr="008F2258" w:rsidRDefault="00733DCA" w:rsidP="0001477B">
      <w:pPr>
        <w:keepNext/>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potkomponente poboljšati položaj hrvatskog gospodarstva u vrijednosnom lancu poticanjem inovacija i digitalizacije u privatnom sektoru. Mjere ove potkomponente uključuju donošenje pravnog okvira kojim se potiču ulaganja, pružanje administrativne i financijske potpore mladim i inovativnim poduzećima radi unapređenja razvoja i komercijalizacije inovativnih proizvoda i pružanje potpore za digitalnu transformaciju poduzeća.</w:t>
      </w:r>
    </w:p>
    <w:p w14:paraId="5FA39A91"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C1.1.2. R1 –Reforma sustava poticaja za istraživanje i razvoj</w:t>
      </w:r>
    </w:p>
    <w:p w14:paraId="226DA709"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povećati broj poduzeća ulagača i veličinu ulaganja u istraživanje i razvoj. Reforma će se sastojati od analize postojećeg sustava poreznih poticaja u području istraživanja i razvoja i izmjene pravnog okvira za porezne poticaje u području istraživanja i razvoja kako bi se potaknuo privatni sektor da poveća intenzitet ulaganja u istraživanje i razvoj, povećao broj korisnika poreznih poticaja za istraživanje i razvoj, pojednostavnili postupci i smanjilo administrativno opterećenje uz istovremeno povećanje transparentnosti i dostupnosti. Izmjene Zakona o državnoj potpori za istraživačko-razvojne projekte temeljit će se na analizi primjerenosti i učinkovitosti aktualnog sustava poreznih olakšica. </w:t>
      </w:r>
    </w:p>
    <w:p w14:paraId="63ADCF7F"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2024.</w:t>
      </w:r>
    </w:p>
    <w:p w14:paraId="1DFE2311"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C1.1.2. R2-I2 – Ulaganje u upravljačke kapacitete malih i srednjih poduzeća</w:t>
      </w:r>
    </w:p>
    <w:p w14:paraId="3993F42E"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poduzećima pomoći proširiti aktivnosti, povećati produktivnost i stvoriti radna mjesta pružanjem podrške poslovnog savjetovanja MSP-ovima radi povećanja njihova upravljačkog kapaciteta. Očekuje se da će potpora uključivati: i. evaluaciju poslovnog modela i izradu akcijskog plana, ii. skupno osposobljavanje zaposlenika i upravitelja, iii. posebnu savjetodavnu podršku i iv. podučavanje i mentorstvo usmjereno na rezultate.</w:t>
      </w:r>
    </w:p>
    <w:p w14:paraId="7C0B5A9B"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2025.</w:t>
      </w:r>
    </w:p>
    <w:p w14:paraId="5A9FDA9A"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C1.1.2. R2-I3 – Bespovratne potpore za novoosnovana poduzeća</w:t>
      </w:r>
    </w:p>
    <w:p w14:paraId="41922E2C"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potaknuti rast novoosnovanih poduzeća u visokotehnološkim sektorima i sektorima baziranim na znanju u predkomercijalnoj fazi kroz podršku za razvoj proizvoda, povećanje proizvodnih kapaciteta i spremnosti za ulaganja.</w:t>
      </w:r>
    </w:p>
    <w:p w14:paraId="20021ADD"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pružiti bespovratna sredstva za spremnost za ulaganja novoosnovanim poduzećima za projekte čija je zrelost izvan faze dokazivanja koncepta, ali koja još nisu spremna za tržište. To uključuje nadogradnju, osmišljavanje, provjeru izvedbe, validaciju tržišta, ispitivanje, razvoj pilot-linija, zaštitu intelektualnog vlasništva i vanjske usluge usmjerene na razvoj inovativne ideje, kao i obuku o ublažavanju i procjeni rizika potreba financiranja. Financirane aktivnosti također mogu uključivati dio troškova pristupa globalnim poslovnim mrežama ili klasterima, usvajanje novih marketinških alata i pristup novim tržištima.</w:t>
      </w:r>
    </w:p>
    <w:p w14:paraId="0BCD51B3"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Prihvatljivi korisnici uključuju inovativne MSP-ove, do pet godina od registracije, koji nisu nastali spajanjem i obuhvaćeni su Uredbom o općem skupnom izuzeću (GBER).</w:t>
      </w:r>
    </w:p>
    <w:p w14:paraId="5EC40975"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2025.</w:t>
      </w:r>
    </w:p>
    <w:p w14:paraId="21ABA7A5"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C1.1.2. R2-I4 – Jačanje akceleracijske aktivnosti</w:t>
      </w:r>
    </w:p>
    <w:p w14:paraId="514B2C1F"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pružiti financijsku potporu tijekom razdoblja od četiri godine kako bi se uspostavio program akceleracije u Hrvatskoj. Program akceleracije omogućit će mentorstvo, podršku spremnosti za ulaganja i pristup mrežama ulagača za skupine do 120 novoosnovanih poduzeća tijekom razdoblja od najmanje tri mjeseca. Očekuje se da će podrška spremnosti za ulaganja uključivati pristup mentorstvu i savjetovanju poslovnih voditelja i poduzeća, savjetovanje vezano uz strategije poslovanja i razvoja proizvoda, pristup stručnjacima u području tehnologije, stručnjacima za intelektualna prava, dobavljačima tehnologija, pristup potencijalnim klijentima i smjernice o početnim ulagačkim aktivnostima.</w:t>
      </w:r>
    </w:p>
    <w:p w14:paraId="4BE89088"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Očekuje se da će korisnici ulaganja obuhvaćati: i. novoosnovana poduzeća u ranoj fazi kojima je potrebna podrška u razvoju proizvoda i ii. zrelija novoosnovana poduzeća koja su spremnija za ulaganje. Korisnici u prvoj skupini prolaze osnovno osposobljavanje o spremnosti za ulaganje, usmjereno na predstavljanje i razumijevanje potreba klijenata, dok korisnici u drugoj skupini prolaze naprednije osposobljavanje, usmjereno na pregovaranje i na pretraživanje klijenata.</w:t>
      </w:r>
    </w:p>
    <w:p w14:paraId="33FD8122"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1F4FB305"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C1.1.2. R2-I5 – Komercijalizacija inovacijskih projekata</w:t>
      </w:r>
    </w:p>
    <w:p w14:paraId="4F938D19"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potaknuti komercijalizaciju inovacijskih projekata za zrele projekte koji su blizu izlaska na tržište i povećati izvoz inovativnih proizvoda, usluga i tehnologija MSP-ova podržavajući stvaranje kanala prodaje i distribucije na stranim tržištima i jačanju veza između znanstvenih ustanova i industrije, kao i između MSP-ova i većih društava. Očekuje se da će ulaganje pružiti priliku MSP-ovima da uđu u lanac vrijednosti na višoj razini. </w:t>
      </w:r>
    </w:p>
    <w:p w14:paraId="6A98E074"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Ulaganjem se podupire prilagodba razvijenog proizvoda ili usluge i priprema za njihovo stavljanje na tržište. Prihvatljive aktivnosti za prilagodbu razvijenog proizvoda uključuju dodatno ispitivanje i ugradnju rezultata ispitivanja u konačni proizvod, savjetodavne usluge, izgradnju kapaciteta, revizije studije izvodljivosti, dizajn proizvoda i zaštitu prava intelektualnog vlasništva. Prihvatljive aktivnosti za pripremu lansiranja proizvoda uključuju pripremu ili reviziju poslovnog plana ili marketinškog plana, istraživanje i ispitivanje tržišta, ispitivanje proizvoda s potencijalnim kupcima, pripremu proizvodnje i ulaganje u nulte serije proizvoda i operativne marketinške aktivnosti.</w:t>
      </w:r>
    </w:p>
    <w:p w14:paraId="05E7C352"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podržati MSP-ove sa zrelim inovacijskim projektima koji su blizu stavljanja na tržište te se očekuje da će dati prednost prijedlozima koji doprinose zelenoj tranziciji.</w:t>
      </w:r>
    </w:p>
    <w:p w14:paraId="273CD9F6"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2024.</w:t>
      </w:r>
    </w:p>
    <w:p w14:paraId="24A4E642"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C1.1.2. R3-I2 – Vaučeri za digitalizaciju</w:t>
      </w:r>
    </w:p>
    <w:p w14:paraId="652244D8"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podržati MSP-ove u razvoju digitalnog poslovnog modela, jačanju kapaciteta za digitalizaciju ili poboljšavanju kibersigurnosti uvođenjem sustava vaučera. Očekuje se da će sustav vaučera obuhvatiti osposobljavanje i usluge za poboljšanje digitalnih vještina (među ostalim onih povezanih s tehnologijama u oblaku), prilagodbu poslovnih modela digitalnoj transformaciji, digitalni marketing, kiberotpornost i primjenu složenih digitalnih proizvoda i usluga.</w:t>
      </w:r>
    </w:p>
    <w:p w14:paraId="6EB80E9F"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615E924"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C1.1.2. R3-I – Bespovratne potpore za digitalizaciju</w:t>
      </w:r>
    </w:p>
    <w:p w14:paraId="319DDBD3"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podržati digitalnu transformaciju hrvatskih poduzeća omogućavanjem financijske podrške za uvođenje digitalnih rješenja u poslovanje. Ulaganje će omogućiti bespovratna sredstva za nabavu digitalnih alata i opreme te jačanje digitalnih vještina, uključujući vještine povezane s tehnologijama u oblaku, radi razvoja i primjene novih proizvoda, usluga i procesa. </w:t>
      </w:r>
    </w:p>
    <w:p w14:paraId="10070E03"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Prihvatljive aktivnosti u okviru ulaganja obuhvaćaju uvođenje novog poslovnog modela ili vidljivo poboljšanje u pogledu novih proizvodnih sposobnosti ili mogućnosti isporuke ili poslovnih praksi. Bespovratna sredstva dodjeljivat će se samo financijski održivim društvima koja dokažu da su planirana ulaganja u skladu s načelom nenanošenja bitne štete.</w:t>
      </w:r>
    </w:p>
    <w:p w14:paraId="79B15331"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2D1714B" w14:textId="77777777" w:rsidR="00733DCA" w:rsidRPr="008F2258" w:rsidRDefault="00733DCA" w:rsidP="0001477B">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C1.1.2. R4-I1 – Potpora za digitalnoinovacijske centre</w:t>
      </w:r>
    </w:p>
    <w:p w14:paraId="57F412B3" w14:textId="77777777" w:rsidR="00733DCA" w:rsidRPr="008F2258"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Ulaganjem se pruža financijska potpora za uspostavu i rad europskih digitalnoinovacijskih centara. Ulaganje uključuje:</w:t>
      </w:r>
    </w:p>
    <w:p w14:paraId="497E4FAB"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financiranje tehničke pomoći za razvoj Nacionalnog okvira za uspostavu i praćenje sustava za digitalnoinovacijskih centara u Hrvatskoj, </w:t>
      </w:r>
    </w:p>
    <w:p w14:paraId="0DC32984"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nacionalno sufinanciranje za uspostavu i trogodišnji rad barem tri nacionalna centra u okviru mreže europskih digitalnoinovacijskih centara, i </w:t>
      </w:r>
    </w:p>
    <w:p w14:paraId="131C70FE" w14:textId="77777777" w:rsidR="00733DCA" w:rsidRPr="008F2258" w:rsidRDefault="00733DCA" w:rsidP="00733DCA">
      <w:pPr>
        <w:numPr>
          <w:ilvl w:val="0"/>
          <w:numId w:val="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uspostavu nacionalne kontaktne točke u okviru europskog digitalnoinovacijskog centra, razvoj napredne tehnologije i vještina te uspostavu mehanizma za razvoj i praćenje nacionalnog ekosustava digitalnoinovacijskih centara.</w:t>
      </w:r>
    </w:p>
    <w:p w14:paraId="4527710D" w14:textId="77777777" w:rsidR="00733DCA" w:rsidRPr="008F2258"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Očekuje se da će aktivnosti europskih digitalnoinovacijskih centara uključivati testiranje prije ulaganja, razvoj vještina i osposobljavanje, pristup financijskim sredstvima i razvoj inovacijske mreže. </w:t>
      </w:r>
    </w:p>
    <w:p w14:paraId="1528E315" w14:textId="77777777"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31. prosinca 2025.</w:t>
      </w:r>
    </w:p>
    <w:p w14:paraId="72E5370C" w14:textId="624A4A47" w:rsidR="00733DCA" w:rsidRDefault="00733DCA" w:rsidP="0001477B">
      <w:pPr>
        <w:spacing w:before="120" w:after="120" w:line="240" w:lineRule="auto"/>
        <w:jc w:val="both"/>
        <w:rPr>
          <w:rFonts w:ascii="Times New Roman" w:eastAsia="Calibri" w:hAnsi="Times New Roman" w:cs="Times New Roman"/>
          <w:noProof/>
          <w:sz w:val="24"/>
        </w:rPr>
        <w:sectPr w:rsidR="00733DCA" w:rsidSect="0098211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pPr>
      <w:r>
        <w:rPr>
          <w:noProof/>
        </w:rPr>
        <w:br w:type="page"/>
      </w:r>
    </w:p>
    <w:p w14:paraId="5E7DC52A" w14:textId="77777777" w:rsidR="00733DCA" w:rsidRPr="008F2258"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A.2. </w:t>
      </w:r>
      <w:r>
        <w:rPr>
          <w:rFonts w:ascii="Times New Roman" w:hAnsi="Times New Roman"/>
          <w:b/>
          <w:noProof/>
          <w:sz w:val="24"/>
          <w:u w:val="single"/>
        </w:rPr>
        <w:tab/>
        <w:t>Ključne etape, ciljne vrijednosti, pokazatelji i vremenski raspored za praćenje i provedbu programa bespovratne financijske potpore</w:t>
      </w:r>
    </w:p>
    <w:tbl>
      <w:tblPr>
        <w:tblW w:w="16380" w:type="dxa"/>
        <w:jc w:val="center"/>
        <w:tblCellMar>
          <w:top w:w="28" w:type="dxa"/>
          <w:left w:w="28" w:type="dxa"/>
          <w:bottom w:w="28" w:type="dxa"/>
          <w:right w:w="28" w:type="dxa"/>
        </w:tblCellMar>
        <w:tblLook w:val="04A0" w:firstRow="1" w:lastRow="0" w:firstColumn="1" w:lastColumn="0" w:noHBand="0" w:noVBand="1"/>
      </w:tblPr>
      <w:tblGrid>
        <w:gridCol w:w="1129"/>
        <w:gridCol w:w="833"/>
        <w:gridCol w:w="871"/>
        <w:gridCol w:w="1900"/>
        <w:gridCol w:w="1555"/>
        <w:gridCol w:w="1096"/>
        <w:gridCol w:w="1059"/>
        <w:gridCol w:w="1458"/>
        <w:gridCol w:w="868"/>
        <w:gridCol w:w="966"/>
        <w:gridCol w:w="4710"/>
      </w:tblGrid>
      <w:tr w:rsidR="005F53A7" w:rsidRPr="008F2258" w14:paraId="6C1C7C71" w14:textId="77777777" w:rsidTr="00982114">
        <w:trPr>
          <w:trHeight w:val="300"/>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1A01B533"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E91304E"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32F704D1"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9808FA8"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6413EFAE"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Calibri" w:hAnsi="Calibri"/>
                <w:noProof/>
              </w:rPr>
              <w:br/>
            </w:r>
            <w:r>
              <w:rPr>
                <w:rFonts w:ascii="Times New Roman" w:hAnsi="Times New Roman"/>
                <w:b/>
                <w:noProof/>
                <w:sz w:val="18"/>
              </w:rPr>
              <w:t>(za ključne etape)</w:t>
            </w:r>
          </w:p>
        </w:tc>
        <w:tc>
          <w:tcPr>
            <w:tcW w:w="3613"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BDEC345"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Calibri" w:hAnsi="Calibri"/>
                <w:noProof/>
              </w:rPr>
              <w:br/>
            </w:r>
            <w:r>
              <w:rPr>
                <w:rFonts w:ascii="Times New Roman" w:hAnsi="Times New Roman"/>
                <w:b/>
                <w:noProof/>
                <w:sz w:val="18"/>
              </w:rPr>
              <w:t>(za ciljne vrijednosti)</w:t>
            </w:r>
          </w:p>
        </w:tc>
        <w:tc>
          <w:tcPr>
            <w:tcW w:w="1834" w:type="dxa"/>
            <w:gridSpan w:val="2"/>
            <w:tcBorders>
              <w:top w:val="single" w:sz="4" w:space="0" w:color="auto"/>
              <w:left w:val="nil"/>
              <w:bottom w:val="single" w:sz="4" w:space="0" w:color="auto"/>
              <w:right w:val="single" w:sz="4" w:space="0" w:color="auto"/>
            </w:tcBorders>
            <w:shd w:val="clear" w:color="auto" w:fill="BDD7EE"/>
            <w:hideMark/>
          </w:tcPr>
          <w:p w14:paraId="5BF61ED5"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71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C09B975"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5F53A7" w:rsidRPr="008F2258" w14:paraId="0919A33A" w14:textId="77777777" w:rsidTr="00982114">
        <w:trPr>
          <w:trHeight w:val="300"/>
          <w:tblHeader/>
          <w:jc w:val="center"/>
        </w:trPr>
        <w:tc>
          <w:tcPr>
            <w:tcW w:w="1129" w:type="dxa"/>
            <w:vMerge/>
            <w:tcBorders>
              <w:top w:val="single" w:sz="4" w:space="0" w:color="auto"/>
              <w:left w:val="single" w:sz="4" w:space="0" w:color="auto"/>
              <w:bottom w:val="single" w:sz="4" w:space="0" w:color="auto"/>
              <w:right w:val="single" w:sz="4" w:space="0" w:color="auto"/>
            </w:tcBorders>
            <w:hideMark/>
          </w:tcPr>
          <w:p w14:paraId="1BDEEB12" w14:textId="77777777" w:rsidR="00733DCA" w:rsidRPr="00BC0323" w:rsidRDefault="00733DCA" w:rsidP="0001477B">
            <w:pPr>
              <w:spacing w:after="0" w:line="276" w:lineRule="auto"/>
              <w:jc w:val="center"/>
              <w:rPr>
                <w:rFonts w:ascii="Times New Roman" w:eastAsia="Times New Roman" w:hAnsi="Times New Roman" w:cs="Times New Roman"/>
                <w:b/>
                <w:noProof/>
                <w:sz w:val="24"/>
                <w:lang w:eastAsia="en-GB"/>
              </w:rPr>
            </w:pPr>
          </w:p>
        </w:tc>
        <w:tc>
          <w:tcPr>
            <w:tcW w:w="833" w:type="dxa"/>
            <w:vMerge/>
            <w:tcBorders>
              <w:top w:val="single" w:sz="4" w:space="0" w:color="auto"/>
              <w:left w:val="single" w:sz="4" w:space="0" w:color="auto"/>
              <w:bottom w:val="single" w:sz="4" w:space="0" w:color="auto"/>
              <w:right w:val="single" w:sz="4" w:space="0" w:color="auto"/>
            </w:tcBorders>
            <w:hideMark/>
          </w:tcPr>
          <w:p w14:paraId="51ECDA4B" w14:textId="77777777" w:rsidR="00733DCA" w:rsidRPr="00BC0323" w:rsidRDefault="00733DCA" w:rsidP="0001477B">
            <w:pPr>
              <w:spacing w:after="0" w:line="276" w:lineRule="auto"/>
              <w:rPr>
                <w:rFonts w:ascii="Times New Roman" w:eastAsia="Times New Roman" w:hAnsi="Times New Roman" w:cs="Times New Roman"/>
                <w:b/>
                <w:noProof/>
                <w:sz w:val="24"/>
                <w:lang w:eastAsia="en-GB"/>
              </w:rPr>
            </w:pPr>
          </w:p>
        </w:tc>
        <w:tc>
          <w:tcPr>
            <w:tcW w:w="806" w:type="dxa"/>
            <w:vMerge/>
            <w:tcBorders>
              <w:top w:val="single" w:sz="4" w:space="0" w:color="auto"/>
              <w:left w:val="single" w:sz="4" w:space="0" w:color="auto"/>
              <w:bottom w:val="single" w:sz="4" w:space="0" w:color="auto"/>
              <w:right w:val="single" w:sz="4" w:space="0" w:color="auto"/>
            </w:tcBorders>
            <w:hideMark/>
          </w:tcPr>
          <w:p w14:paraId="067F5766" w14:textId="77777777" w:rsidR="00733DCA" w:rsidRPr="00BC0323" w:rsidRDefault="00733DCA" w:rsidP="0001477B">
            <w:pPr>
              <w:spacing w:after="0" w:line="276" w:lineRule="auto"/>
              <w:jc w:val="center"/>
              <w:rPr>
                <w:rFonts w:ascii="Times New Roman" w:eastAsia="Times New Roman" w:hAnsi="Times New Roman" w:cs="Times New Roman"/>
                <w:b/>
                <w:noProof/>
                <w:sz w:val="24"/>
                <w:lang w:eastAsia="en-GB"/>
              </w:rPr>
            </w:pPr>
          </w:p>
        </w:tc>
        <w:tc>
          <w:tcPr>
            <w:tcW w:w="1900" w:type="dxa"/>
            <w:vMerge/>
            <w:tcBorders>
              <w:top w:val="single" w:sz="4" w:space="0" w:color="auto"/>
              <w:left w:val="single" w:sz="4" w:space="0" w:color="auto"/>
              <w:bottom w:val="single" w:sz="4" w:space="0" w:color="auto"/>
              <w:right w:val="single" w:sz="4" w:space="0" w:color="auto"/>
            </w:tcBorders>
            <w:hideMark/>
          </w:tcPr>
          <w:p w14:paraId="5E48A9F6" w14:textId="77777777" w:rsidR="00733DCA" w:rsidRPr="00BC0323" w:rsidRDefault="00733DCA" w:rsidP="0001477B">
            <w:pPr>
              <w:spacing w:after="0" w:line="276" w:lineRule="auto"/>
              <w:rPr>
                <w:rFonts w:ascii="Times New Roman" w:eastAsia="Times New Roman" w:hAnsi="Times New Roman" w:cs="Times New Roman"/>
                <w:b/>
                <w:noProof/>
                <w:sz w:val="24"/>
                <w:lang w:eastAsia="en-GB"/>
              </w:rPr>
            </w:pPr>
          </w:p>
        </w:tc>
        <w:tc>
          <w:tcPr>
            <w:tcW w:w="1555" w:type="dxa"/>
            <w:vMerge/>
            <w:tcBorders>
              <w:top w:val="single" w:sz="4" w:space="0" w:color="auto"/>
              <w:left w:val="single" w:sz="4" w:space="0" w:color="auto"/>
              <w:bottom w:val="single" w:sz="4" w:space="0" w:color="auto"/>
              <w:right w:val="single" w:sz="4" w:space="0" w:color="auto"/>
            </w:tcBorders>
            <w:hideMark/>
          </w:tcPr>
          <w:p w14:paraId="24AD2E44" w14:textId="77777777" w:rsidR="00733DCA" w:rsidRPr="00BC0323" w:rsidRDefault="00733DCA" w:rsidP="0001477B">
            <w:pPr>
              <w:spacing w:after="0" w:line="276" w:lineRule="auto"/>
              <w:jc w:val="center"/>
              <w:rPr>
                <w:rFonts w:ascii="Times New Roman" w:eastAsia="Times New Roman" w:hAnsi="Times New Roman" w:cs="Times New Roman"/>
                <w:b/>
                <w:noProof/>
                <w:sz w:val="24"/>
                <w:lang w:eastAsia="en-GB"/>
              </w:rPr>
            </w:pPr>
          </w:p>
        </w:tc>
        <w:tc>
          <w:tcPr>
            <w:tcW w:w="1096" w:type="dxa"/>
            <w:tcBorders>
              <w:top w:val="nil"/>
              <w:left w:val="single" w:sz="4" w:space="0" w:color="auto"/>
              <w:bottom w:val="single" w:sz="4" w:space="0" w:color="auto"/>
              <w:right w:val="single" w:sz="4" w:space="0" w:color="auto"/>
            </w:tcBorders>
            <w:shd w:val="clear" w:color="auto" w:fill="BDD7EE"/>
            <w:hideMark/>
          </w:tcPr>
          <w:p w14:paraId="22D4AFC3"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1059" w:type="dxa"/>
            <w:tcBorders>
              <w:top w:val="nil"/>
              <w:left w:val="nil"/>
              <w:bottom w:val="single" w:sz="4" w:space="0" w:color="auto"/>
              <w:right w:val="single" w:sz="4" w:space="0" w:color="auto"/>
            </w:tcBorders>
            <w:shd w:val="clear" w:color="auto" w:fill="BDD7EE"/>
            <w:hideMark/>
          </w:tcPr>
          <w:p w14:paraId="54678323"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1458" w:type="dxa"/>
            <w:tcBorders>
              <w:top w:val="nil"/>
              <w:left w:val="nil"/>
              <w:bottom w:val="single" w:sz="4" w:space="0" w:color="auto"/>
              <w:right w:val="single" w:sz="4" w:space="0" w:color="auto"/>
            </w:tcBorders>
            <w:shd w:val="clear" w:color="auto" w:fill="BDD7EE"/>
            <w:hideMark/>
          </w:tcPr>
          <w:p w14:paraId="221EB181"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868" w:type="dxa"/>
            <w:tcBorders>
              <w:top w:val="nil"/>
              <w:left w:val="nil"/>
              <w:bottom w:val="single" w:sz="4" w:space="0" w:color="auto"/>
              <w:right w:val="single" w:sz="4" w:space="0" w:color="auto"/>
            </w:tcBorders>
            <w:shd w:val="clear" w:color="auto" w:fill="BDD7EE"/>
            <w:hideMark/>
          </w:tcPr>
          <w:p w14:paraId="0E8C68E6"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966" w:type="dxa"/>
            <w:tcBorders>
              <w:top w:val="nil"/>
              <w:left w:val="nil"/>
              <w:bottom w:val="single" w:sz="4" w:space="0" w:color="auto"/>
              <w:right w:val="single" w:sz="4" w:space="0" w:color="auto"/>
            </w:tcBorders>
            <w:shd w:val="clear" w:color="auto" w:fill="BDD7EE"/>
            <w:hideMark/>
          </w:tcPr>
          <w:p w14:paraId="3BA0FA86" w14:textId="77777777" w:rsidR="00733DCA" w:rsidRPr="008F2258"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710" w:type="dxa"/>
            <w:vMerge/>
            <w:tcBorders>
              <w:top w:val="single" w:sz="4" w:space="0" w:color="auto"/>
              <w:bottom w:val="single" w:sz="4" w:space="0" w:color="auto"/>
              <w:right w:val="single" w:sz="4" w:space="0" w:color="auto"/>
            </w:tcBorders>
            <w:hideMark/>
          </w:tcPr>
          <w:p w14:paraId="29B7BEA6" w14:textId="77777777" w:rsidR="00733DCA" w:rsidRPr="008F2258" w:rsidRDefault="00733DCA" w:rsidP="0001477B">
            <w:pPr>
              <w:spacing w:after="0" w:line="276" w:lineRule="auto"/>
              <w:rPr>
                <w:rFonts w:ascii="Times New Roman" w:eastAsia="Times New Roman" w:hAnsi="Times New Roman" w:cs="Times New Roman"/>
                <w:b/>
                <w:noProof/>
                <w:sz w:val="24"/>
                <w:lang w:val="en-GB" w:eastAsia="en-GB"/>
              </w:rPr>
            </w:pPr>
          </w:p>
        </w:tc>
      </w:tr>
      <w:tr w:rsidR="00733DCA" w:rsidRPr="008F2258" w14:paraId="2A08068C"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7978F09" w14:textId="77777777" w:rsidR="00733DCA" w:rsidRPr="008F2258" w:rsidRDefault="00733DCA" w:rsidP="0001477B">
            <w:pPr>
              <w:spacing w:after="0" w:line="240"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33" w:type="dxa"/>
            <w:tcBorders>
              <w:top w:val="single" w:sz="4" w:space="0" w:color="auto"/>
              <w:left w:val="nil"/>
              <w:bottom w:val="single" w:sz="4" w:space="0" w:color="auto"/>
              <w:right w:val="single" w:sz="4" w:space="0" w:color="auto"/>
            </w:tcBorders>
            <w:shd w:val="clear" w:color="auto" w:fill="C6EFCE"/>
            <w:noWrap/>
          </w:tcPr>
          <w:p w14:paraId="4C571121"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w:t>
            </w:r>
          </w:p>
        </w:tc>
        <w:tc>
          <w:tcPr>
            <w:tcW w:w="806" w:type="dxa"/>
            <w:tcBorders>
              <w:top w:val="single" w:sz="4" w:space="0" w:color="auto"/>
              <w:left w:val="nil"/>
              <w:bottom w:val="single" w:sz="4" w:space="0" w:color="auto"/>
              <w:right w:val="single" w:sz="4" w:space="0" w:color="auto"/>
            </w:tcBorders>
            <w:shd w:val="clear" w:color="auto" w:fill="C6EFCE"/>
            <w:noWrap/>
          </w:tcPr>
          <w:p w14:paraId="4338F60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7B44537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Vlada Republike Hrvatske donosi Strategiju za procjenu ekonomskog učinka propisa na sektor MSP-ova i prateći akcijski plan </w:t>
            </w:r>
          </w:p>
        </w:tc>
        <w:tc>
          <w:tcPr>
            <w:tcW w:w="1555" w:type="dxa"/>
            <w:tcBorders>
              <w:top w:val="single" w:sz="4" w:space="0" w:color="auto"/>
              <w:left w:val="nil"/>
              <w:bottom w:val="single" w:sz="4" w:space="0" w:color="auto"/>
              <w:right w:val="single" w:sz="4" w:space="0" w:color="auto"/>
            </w:tcBorders>
            <w:shd w:val="clear" w:color="auto" w:fill="C6EFCE"/>
            <w:noWrap/>
          </w:tcPr>
          <w:p w14:paraId="0743216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Donošenje strategije i akcijskog plana  </w:t>
            </w:r>
          </w:p>
        </w:tc>
        <w:tc>
          <w:tcPr>
            <w:tcW w:w="1096" w:type="dxa"/>
            <w:tcBorders>
              <w:top w:val="single" w:sz="4" w:space="0" w:color="auto"/>
              <w:left w:val="nil"/>
              <w:bottom w:val="single" w:sz="4" w:space="0" w:color="auto"/>
              <w:right w:val="single" w:sz="4" w:space="0" w:color="auto"/>
            </w:tcBorders>
            <w:shd w:val="clear" w:color="auto" w:fill="C6EFCE"/>
            <w:noWrap/>
          </w:tcPr>
          <w:p w14:paraId="3564203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nil"/>
              <w:left w:val="nil"/>
              <w:bottom w:val="single" w:sz="4" w:space="0" w:color="auto"/>
              <w:right w:val="single" w:sz="4" w:space="0" w:color="auto"/>
            </w:tcBorders>
            <w:shd w:val="clear" w:color="auto" w:fill="C6EFCE"/>
            <w:noWrap/>
          </w:tcPr>
          <w:p w14:paraId="5D359F1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nil"/>
              <w:left w:val="nil"/>
              <w:bottom w:val="single" w:sz="4" w:space="0" w:color="auto"/>
              <w:right w:val="single" w:sz="4" w:space="0" w:color="auto"/>
            </w:tcBorders>
            <w:shd w:val="clear" w:color="auto" w:fill="C6EFCE"/>
            <w:noWrap/>
          </w:tcPr>
          <w:p w14:paraId="6D2655B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nil"/>
              <w:left w:val="nil"/>
              <w:bottom w:val="single" w:sz="4" w:space="0" w:color="auto"/>
              <w:right w:val="single" w:sz="4" w:space="0" w:color="auto"/>
            </w:tcBorders>
            <w:shd w:val="clear" w:color="auto" w:fill="C6EFCE"/>
            <w:noWrap/>
          </w:tcPr>
          <w:p w14:paraId="72B3CF3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nil"/>
              <w:left w:val="nil"/>
              <w:bottom w:val="single" w:sz="4" w:space="0" w:color="auto"/>
              <w:right w:val="single" w:sz="4" w:space="0" w:color="auto"/>
            </w:tcBorders>
            <w:shd w:val="clear" w:color="auto" w:fill="C6EFCE"/>
            <w:noWrap/>
          </w:tcPr>
          <w:p w14:paraId="772204A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6F18EB4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 prvom redu s obzirom na ekonomski učinak regulative na sektor MSP-ova, MINGOR će donijeti obvezujuću Strategiju regulatorne politike za ministarstva, u kojoj će se jasno dodijeliti upravljačke i operativne odgovornosti u fazama provedbe obveznog testa za MSP-ove tijekom regulatornog procesa. Na temelju Strategije regulatorne politike donosi se akcijski plan za organizaciju, planiranje, koordinaciju i praćenje provedbe relevantnih alata i metodologija u resornim ministarstvima (prvenstveno za test za MSP-ove i druge vrste gospodarske analize propisa ako se otkrije znatan gospodarski učinak).</w:t>
            </w:r>
          </w:p>
        </w:tc>
      </w:tr>
      <w:tr w:rsidR="00733DCA" w:rsidRPr="008F2258" w14:paraId="0B203287" w14:textId="77777777" w:rsidTr="00982114">
        <w:trPr>
          <w:trHeight w:val="300"/>
          <w:jc w:val="center"/>
        </w:trPr>
        <w:tc>
          <w:tcPr>
            <w:tcW w:w="1129" w:type="dxa"/>
            <w:tcBorders>
              <w:top w:val="nil"/>
              <w:left w:val="single" w:sz="4" w:space="0" w:color="auto"/>
              <w:bottom w:val="single" w:sz="4" w:space="0" w:color="auto"/>
              <w:right w:val="single" w:sz="4" w:space="0" w:color="auto"/>
            </w:tcBorders>
            <w:shd w:val="clear" w:color="auto" w:fill="C6EFCE"/>
            <w:noWrap/>
          </w:tcPr>
          <w:p w14:paraId="10F00267" w14:textId="77777777" w:rsidR="00733DCA" w:rsidRPr="008F2258" w:rsidRDefault="00733DCA" w:rsidP="0001477B">
            <w:pPr>
              <w:spacing w:after="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33" w:type="dxa"/>
            <w:tcBorders>
              <w:top w:val="nil"/>
              <w:left w:val="nil"/>
              <w:bottom w:val="single" w:sz="4" w:space="0" w:color="auto"/>
              <w:right w:val="single" w:sz="4" w:space="0" w:color="auto"/>
            </w:tcBorders>
            <w:shd w:val="clear" w:color="auto" w:fill="C6EFCE"/>
            <w:noWrap/>
          </w:tcPr>
          <w:p w14:paraId="6298DF3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R1-I1</w:t>
            </w:r>
          </w:p>
        </w:tc>
        <w:tc>
          <w:tcPr>
            <w:tcW w:w="806" w:type="dxa"/>
            <w:tcBorders>
              <w:top w:val="nil"/>
              <w:left w:val="nil"/>
              <w:bottom w:val="single" w:sz="4" w:space="0" w:color="auto"/>
              <w:right w:val="single" w:sz="4" w:space="0" w:color="auto"/>
            </w:tcBorders>
            <w:shd w:val="clear" w:color="auto" w:fill="C6EFCE"/>
            <w:noWrap/>
          </w:tcPr>
          <w:p w14:paraId="1DB82AD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nil"/>
              <w:left w:val="nil"/>
              <w:bottom w:val="single" w:sz="4" w:space="0" w:color="auto"/>
              <w:right w:val="single" w:sz="4" w:space="0" w:color="auto"/>
            </w:tcBorders>
            <w:shd w:val="clear" w:color="auto" w:fill="C6EFCE"/>
            <w:noWrap/>
          </w:tcPr>
          <w:p w14:paraId="3D50E04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Operativna digitalna platforma za plaćanje naknada </w:t>
            </w:r>
          </w:p>
        </w:tc>
        <w:tc>
          <w:tcPr>
            <w:tcW w:w="1555" w:type="dxa"/>
            <w:tcBorders>
              <w:top w:val="nil"/>
              <w:left w:val="nil"/>
              <w:bottom w:val="single" w:sz="4" w:space="0" w:color="auto"/>
              <w:right w:val="single" w:sz="4" w:space="0" w:color="auto"/>
            </w:tcBorders>
            <w:shd w:val="clear" w:color="auto" w:fill="C6EFCE"/>
            <w:noWrap/>
          </w:tcPr>
          <w:p w14:paraId="62B92A5B"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Digitalna platforma za plaćanje naknada u funkciji</w:t>
            </w:r>
          </w:p>
        </w:tc>
        <w:tc>
          <w:tcPr>
            <w:tcW w:w="1096" w:type="dxa"/>
            <w:tcBorders>
              <w:top w:val="nil"/>
              <w:left w:val="nil"/>
              <w:bottom w:val="single" w:sz="4" w:space="0" w:color="auto"/>
              <w:right w:val="single" w:sz="4" w:space="0" w:color="auto"/>
            </w:tcBorders>
            <w:shd w:val="clear" w:color="auto" w:fill="C6EFCE"/>
            <w:noWrap/>
          </w:tcPr>
          <w:p w14:paraId="749ADD1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nil"/>
              <w:left w:val="nil"/>
              <w:bottom w:val="single" w:sz="4" w:space="0" w:color="auto"/>
              <w:right w:val="single" w:sz="4" w:space="0" w:color="auto"/>
            </w:tcBorders>
            <w:shd w:val="clear" w:color="auto" w:fill="C6EFCE"/>
            <w:noWrap/>
          </w:tcPr>
          <w:p w14:paraId="7420BB1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nil"/>
              <w:left w:val="nil"/>
              <w:bottom w:val="single" w:sz="4" w:space="0" w:color="auto"/>
              <w:right w:val="single" w:sz="4" w:space="0" w:color="auto"/>
            </w:tcBorders>
            <w:shd w:val="clear" w:color="auto" w:fill="C6EFCE"/>
            <w:noWrap/>
          </w:tcPr>
          <w:p w14:paraId="26B6EF7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nil"/>
              <w:left w:val="nil"/>
              <w:bottom w:val="single" w:sz="4" w:space="0" w:color="auto"/>
              <w:right w:val="single" w:sz="4" w:space="0" w:color="auto"/>
            </w:tcBorders>
            <w:shd w:val="clear" w:color="auto" w:fill="C6EFCE"/>
            <w:noWrap/>
          </w:tcPr>
          <w:p w14:paraId="530DC7C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nil"/>
              <w:left w:val="nil"/>
              <w:bottom w:val="single" w:sz="4" w:space="0" w:color="auto"/>
              <w:right w:val="single" w:sz="4" w:space="0" w:color="auto"/>
            </w:tcBorders>
            <w:shd w:val="clear" w:color="auto" w:fill="C6EFCE"/>
            <w:noWrap/>
          </w:tcPr>
          <w:p w14:paraId="52B505F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nil"/>
              <w:left w:val="nil"/>
              <w:bottom w:val="single" w:sz="4" w:space="0" w:color="auto"/>
              <w:right w:val="single" w:sz="4" w:space="0" w:color="auto"/>
            </w:tcBorders>
            <w:shd w:val="clear" w:color="auto" w:fill="C6EFCE"/>
            <w:noWrap/>
          </w:tcPr>
          <w:p w14:paraId="05B1A554"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Uspostavit će se jedinstvena platforma za plaćanje obveznih naknada kao nova digitalna javna usluga kako bi se optimizirao postojeći administrativni postupak i ponudile sljedeće funkcionalnosti:</w:t>
            </w:r>
            <w:r>
              <w:rPr>
                <w:rFonts w:ascii="Calibri" w:hAnsi="Calibri"/>
                <w:noProof/>
                <w:color w:val="000000"/>
                <w:sz w:val="20"/>
              </w:rPr>
              <w:br/>
              <w:t>(1) popis naknada koje poslovni subjekt treba platiti</w:t>
            </w:r>
            <w:r>
              <w:rPr>
                <w:rFonts w:ascii="Calibri" w:hAnsi="Calibri"/>
                <w:noProof/>
                <w:color w:val="000000"/>
                <w:sz w:val="20"/>
              </w:rPr>
              <w:br/>
              <w:t>(2) kalendar plaćanja s rokovima za namiru</w:t>
            </w:r>
            <w:r>
              <w:rPr>
                <w:rFonts w:ascii="Calibri" w:hAnsi="Calibri"/>
                <w:noProof/>
                <w:color w:val="000000"/>
                <w:sz w:val="20"/>
              </w:rPr>
              <w:br/>
              <w:t>(3) mogućnost izravnog internetskog plaćanja naknada</w:t>
            </w:r>
            <w:r>
              <w:rPr>
                <w:rFonts w:ascii="Calibri" w:hAnsi="Calibri"/>
                <w:noProof/>
                <w:color w:val="000000"/>
                <w:sz w:val="20"/>
              </w:rPr>
              <w:br/>
              <w:t>(4) pregled plaćenih naknada.</w:t>
            </w:r>
          </w:p>
        </w:tc>
      </w:tr>
      <w:tr w:rsidR="00733DCA" w:rsidRPr="008F2258" w14:paraId="70D20125" w14:textId="77777777" w:rsidTr="00982114">
        <w:trPr>
          <w:trHeight w:val="300"/>
          <w:jc w:val="center"/>
        </w:trPr>
        <w:tc>
          <w:tcPr>
            <w:tcW w:w="1129" w:type="dxa"/>
            <w:tcBorders>
              <w:top w:val="nil"/>
              <w:left w:val="single" w:sz="4" w:space="0" w:color="auto"/>
              <w:bottom w:val="single" w:sz="4" w:space="0" w:color="auto"/>
              <w:right w:val="single" w:sz="4" w:space="0" w:color="auto"/>
            </w:tcBorders>
            <w:shd w:val="clear" w:color="auto" w:fill="C6EFCE"/>
            <w:noWrap/>
          </w:tcPr>
          <w:p w14:paraId="6D3F228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833" w:type="dxa"/>
            <w:tcBorders>
              <w:top w:val="nil"/>
              <w:left w:val="nil"/>
              <w:bottom w:val="single" w:sz="4" w:space="0" w:color="auto"/>
              <w:right w:val="single" w:sz="4" w:space="0" w:color="auto"/>
            </w:tcBorders>
            <w:shd w:val="clear" w:color="auto" w:fill="C6EFCE"/>
            <w:noWrap/>
          </w:tcPr>
          <w:p w14:paraId="2A1DA6A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R1-I1</w:t>
            </w:r>
          </w:p>
        </w:tc>
        <w:tc>
          <w:tcPr>
            <w:tcW w:w="806" w:type="dxa"/>
            <w:tcBorders>
              <w:top w:val="nil"/>
              <w:left w:val="nil"/>
              <w:bottom w:val="single" w:sz="4" w:space="0" w:color="auto"/>
              <w:right w:val="single" w:sz="4" w:space="0" w:color="auto"/>
            </w:tcBorders>
            <w:shd w:val="clear" w:color="auto" w:fill="C6EFCE"/>
            <w:noWrap/>
          </w:tcPr>
          <w:p w14:paraId="4E8F6BA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nil"/>
              <w:left w:val="nil"/>
              <w:bottom w:val="single" w:sz="4" w:space="0" w:color="auto"/>
              <w:right w:val="single" w:sz="4" w:space="0" w:color="auto"/>
            </w:tcBorders>
            <w:shd w:val="clear" w:color="auto" w:fill="C6EFCE"/>
            <w:noWrap/>
          </w:tcPr>
          <w:p w14:paraId="6F21995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Nadogradnja sustava START </w:t>
            </w:r>
          </w:p>
        </w:tc>
        <w:tc>
          <w:tcPr>
            <w:tcW w:w="1555" w:type="dxa"/>
            <w:tcBorders>
              <w:top w:val="nil"/>
              <w:left w:val="nil"/>
              <w:bottom w:val="single" w:sz="4" w:space="0" w:color="auto"/>
              <w:right w:val="single" w:sz="4" w:space="0" w:color="auto"/>
            </w:tcBorders>
            <w:shd w:val="clear" w:color="auto" w:fill="C6EFCE"/>
            <w:noWrap/>
          </w:tcPr>
          <w:p w14:paraId="770591B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Platforma START s nadograđenim dodatnim uslugama</w:t>
            </w:r>
          </w:p>
        </w:tc>
        <w:tc>
          <w:tcPr>
            <w:tcW w:w="1096" w:type="dxa"/>
            <w:tcBorders>
              <w:top w:val="nil"/>
              <w:left w:val="nil"/>
              <w:bottom w:val="single" w:sz="4" w:space="0" w:color="auto"/>
              <w:right w:val="single" w:sz="4" w:space="0" w:color="auto"/>
            </w:tcBorders>
            <w:shd w:val="clear" w:color="auto" w:fill="C6EFCE"/>
            <w:noWrap/>
          </w:tcPr>
          <w:p w14:paraId="2BB459A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nil"/>
              <w:left w:val="nil"/>
              <w:bottom w:val="single" w:sz="4" w:space="0" w:color="auto"/>
              <w:right w:val="single" w:sz="4" w:space="0" w:color="auto"/>
            </w:tcBorders>
            <w:shd w:val="clear" w:color="auto" w:fill="C6EFCE"/>
            <w:noWrap/>
          </w:tcPr>
          <w:p w14:paraId="40E0F1E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nil"/>
              <w:left w:val="nil"/>
              <w:bottom w:val="single" w:sz="4" w:space="0" w:color="auto"/>
              <w:right w:val="single" w:sz="4" w:space="0" w:color="auto"/>
            </w:tcBorders>
            <w:shd w:val="clear" w:color="auto" w:fill="C6EFCE"/>
            <w:noWrap/>
          </w:tcPr>
          <w:p w14:paraId="10AC08C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nil"/>
              <w:left w:val="nil"/>
              <w:bottom w:val="single" w:sz="4" w:space="0" w:color="auto"/>
              <w:right w:val="single" w:sz="4" w:space="0" w:color="auto"/>
            </w:tcBorders>
            <w:shd w:val="clear" w:color="auto" w:fill="C6EFCE"/>
            <w:noWrap/>
          </w:tcPr>
          <w:p w14:paraId="32D96B1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nil"/>
              <w:left w:val="nil"/>
              <w:bottom w:val="single" w:sz="4" w:space="0" w:color="auto"/>
              <w:right w:val="single" w:sz="4" w:space="0" w:color="auto"/>
            </w:tcBorders>
            <w:shd w:val="clear" w:color="auto" w:fill="C6EFCE"/>
            <w:noWrap/>
          </w:tcPr>
          <w:p w14:paraId="59ED74E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nil"/>
              <w:left w:val="nil"/>
              <w:bottom w:val="single" w:sz="4" w:space="0" w:color="auto"/>
              <w:right w:val="single" w:sz="4" w:space="0" w:color="auto"/>
            </w:tcBorders>
            <w:shd w:val="clear" w:color="auto" w:fill="C6EFCE"/>
            <w:noWrap/>
          </w:tcPr>
          <w:p w14:paraId="05AA497D"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Digitalna platforma START za osnivanje društava s ograničenom odgovornošću bit će nadograđena digitalizacijom dodatnih usluga za potrebe registracije i izvještavanja i integracije postojećih sustava za pokretanje poslovanja.</w:t>
            </w:r>
          </w:p>
        </w:tc>
      </w:tr>
      <w:tr w:rsidR="00733DCA" w:rsidRPr="008F2258" w14:paraId="2FDE431D" w14:textId="77777777" w:rsidTr="00982114">
        <w:trPr>
          <w:trHeight w:val="300"/>
          <w:jc w:val="center"/>
        </w:trPr>
        <w:tc>
          <w:tcPr>
            <w:tcW w:w="1129" w:type="dxa"/>
            <w:tcBorders>
              <w:top w:val="nil"/>
              <w:left w:val="single" w:sz="4" w:space="0" w:color="auto"/>
              <w:bottom w:val="single" w:sz="4" w:space="0" w:color="auto"/>
              <w:right w:val="single" w:sz="4" w:space="0" w:color="auto"/>
            </w:tcBorders>
            <w:shd w:val="clear" w:color="auto" w:fill="C6EFCE"/>
            <w:noWrap/>
          </w:tcPr>
          <w:p w14:paraId="4382E63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33" w:type="dxa"/>
            <w:tcBorders>
              <w:top w:val="nil"/>
              <w:left w:val="nil"/>
              <w:bottom w:val="single" w:sz="4" w:space="0" w:color="auto"/>
              <w:right w:val="single" w:sz="4" w:space="0" w:color="auto"/>
            </w:tcBorders>
            <w:shd w:val="clear" w:color="auto" w:fill="C6EFCE"/>
            <w:noWrap/>
          </w:tcPr>
          <w:p w14:paraId="0FC7D7D4"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R1-I1</w:t>
            </w:r>
          </w:p>
        </w:tc>
        <w:tc>
          <w:tcPr>
            <w:tcW w:w="806" w:type="dxa"/>
            <w:tcBorders>
              <w:top w:val="nil"/>
              <w:left w:val="nil"/>
              <w:bottom w:val="single" w:sz="4" w:space="0" w:color="auto"/>
              <w:right w:val="single" w:sz="4" w:space="0" w:color="auto"/>
            </w:tcBorders>
            <w:shd w:val="clear" w:color="auto" w:fill="C6EFCE"/>
            <w:noWrap/>
          </w:tcPr>
          <w:p w14:paraId="00AFAAC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nil"/>
              <w:left w:val="nil"/>
              <w:bottom w:val="single" w:sz="4" w:space="0" w:color="auto"/>
              <w:right w:val="single" w:sz="4" w:space="0" w:color="auto"/>
            </w:tcBorders>
            <w:shd w:val="clear" w:color="auto" w:fill="C6EFCE"/>
            <w:noWrap/>
          </w:tcPr>
          <w:p w14:paraId="6E38123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Uspostava fizičkih pristupnih točaka platformi START</w:t>
            </w:r>
          </w:p>
        </w:tc>
        <w:tc>
          <w:tcPr>
            <w:tcW w:w="1555" w:type="dxa"/>
            <w:tcBorders>
              <w:top w:val="nil"/>
              <w:left w:val="nil"/>
              <w:bottom w:val="single" w:sz="4" w:space="0" w:color="auto"/>
              <w:right w:val="single" w:sz="4" w:space="0" w:color="auto"/>
            </w:tcBorders>
            <w:shd w:val="clear" w:color="auto" w:fill="C6EFCE"/>
            <w:noWrap/>
          </w:tcPr>
          <w:p w14:paraId="782004C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w:t>
            </w:r>
          </w:p>
        </w:tc>
        <w:tc>
          <w:tcPr>
            <w:tcW w:w="1096" w:type="dxa"/>
            <w:tcBorders>
              <w:top w:val="nil"/>
              <w:left w:val="nil"/>
              <w:bottom w:val="single" w:sz="4" w:space="0" w:color="auto"/>
              <w:right w:val="single" w:sz="4" w:space="0" w:color="auto"/>
            </w:tcBorders>
            <w:shd w:val="clear" w:color="auto" w:fill="C6EFCE"/>
            <w:noWrap/>
          </w:tcPr>
          <w:p w14:paraId="7F6507A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nil"/>
              <w:left w:val="nil"/>
              <w:bottom w:val="single" w:sz="4" w:space="0" w:color="auto"/>
              <w:right w:val="single" w:sz="4" w:space="0" w:color="auto"/>
            </w:tcBorders>
            <w:shd w:val="clear" w:color="auto" w:fill="C6EFCE"/>
            <w:noWrap/>
          </w:tcPr>
          <w:p w14:paraId="61E3BA7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nil"/>
              <w:left w:val="nil"/>
              <w:bottom w:val="single" w:sz="4" w:space="0" w:color="auto"/>
              <w:right w:val="single" w:sz="4" w:space="0" w:color="auto"/>
            </w:tcBorders>
            <w:shd w:val="clear" w:color="auto" w:fill="C6EFCE"/>
            <w:noWrap/>
          </w:tcPr>
          <w:p w14:paraId="7875E3A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w:t>
            </w:r>
          </w:p>
        </w:tc>
        <w:tc>
          <w:tcPr>
            <w:tcW w:w="868" w:type="dxa"/>
            <w:tcBorders>
              <w:top w:val="nil"/>
              <w:left w:val="nil"/>
              <w:bottom w:val="single" w:sz="4" w:space="0" w:color="auto"/>
              <w:right w:val="single" w:sz="4" w:space="0" w:color="auto"/>
            </w:tcBorders>
            <w:shd w:val="clear" w:color="auto" w:fill="C6EFCE"/>
            <w:noWrap/>
          </w:tcPr>
          <w:p w14:paraId="5DABC89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nil"/>
              <w:left w:val="nil"/>
              <w:bottom w:val="single" w:sz="4" w:space="0" w:color="auto"/>
              <w:right w:val="single" w:sz="4" w:space="0" w:color="auto"/>
            </w:tcBorders>
            <w:shd w:val="clear" w:color="auto" w:fill="C6EFCE"/>
            <w:noWrap/>
          </w:tcPr>
          <w:p w14:paraId="223A84B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nil"/>
              <w:left w:val="nil"/>
              <w:bottom w:val="single" w:sz="4" w:space="0" w:color="auto"/>
              <w:right w:val="single" w:sz="4" w:space="0" w:color="auto"/>
            </w:tcBorders>
            <w:shd w:val="clear" w:color="auto" w:fill="C6EFCE"/>
            <w:noWrap/>
          </w:tcPr>
          <w:p w14:paraId="3A0368F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Uspostavit će se fizičke pristupne točke platformi START</w:t>
            </w:r>
          </w:p>
        </w:tc>
      </w:tr>
      <w:tr w:rsidR="00733DCA" w:rsidRPr="008F2258" w14:paraId="5D1895CF"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CC18DA4"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5</w:t>
            </w:r>
          </w:p>
        </w:tc>
        <w:tc>
          <w:tcPr>
            <w:tcW w:w="833" w:type="dxa"/>
            <w:tcBorders>
              <w:top w:val="single" w:sz="4" w:space="0" w:color="auto"/>
              <w:left w:val="nil"/>
              <w:bottom w:val="single" w:sz="4" w:space="0" w:color="auto"/>
              <w:right w:val="single" w:sz="4" w:space="0" w:color="auto"/>
            </w:tcBorders>
            <w:shd w:val="clear" w:color="auto" w:fill="C6EFCE"/>
            <w:noWrap/>
          </w:tcPr>
          <w:p w14:paraId="2863D22D"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R1-I1</w:t>
            </w:r>
          </w:p>
        </w:tc>
        <w:tc>
          <w:tcPr>
            <w:tcW w:w="806" w:type="dxa"/>
            <w:tcBorders>
              <w:top w:val="single" w:sz="4" w:space="0" w:color="auto"/>
              <w:left w:val="nil"/>
              <w:bottom w:val="single" w:sz="4" w:space="0" w:color="auto"/>
              <w:right w:val="single" w:sz="4" w:space="0" w:color="auto"/>
            </w:tcBorders>
            <w:shd w:val="clear" w:color="auto" w:fill="C6EFCE"/>
            <w:noWrap/>
          </w:tcPr>
          <w:p w14:paraId="1882DD1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6F68A5E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Digitalizacija ciljanih procesa MINGOR-a prema Zakonu o strateškim investicijskim projektima Republike Hrvatske, Zakonu o poticanju ulaganja i Zakonu o državnoj potpori za istraživačko-razvojne projekte te daljnja digitalizacija i umrežavanje sustava jedinstvenog registra poduzetničke infrastrukture (JRPI)</w:t>
            </w:r>
          </w:p>
        </w:tc>
        <w:tc>
          <w:tcPr>
            <w:tcW w:w="1555" w:type="dxa"/>
            <w:tcBorders>
              <w:top w:val="single" w:sz="4" w:space="0" w:color="auto"/>
              <w:left w:val="nil"/>
              <w:bottom w:val="single" w:sz="4" w:space="0" w:color="auto"/>
              <w:right w:val="single" w:sz="4" w:space="0" w:color="auto"/>
            </w:tcBorders>
            <w:shd w:val="clear" w:color="auto" w:fill="C6EFCE"/>
            <w:noWrap/>
          </w:tcPr>
          <w:p w14:paraId="1CB1740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Digitalizacija ciljanih procesa MINGOR-a </w:t>
            </w:r>
          </w:p>
        </w:tc>
        <w:tc>
          <w:tcPr>
            <w:tcW w:w="1096" w:type="dxa"/>
            <w:tcBorders>
              <w:top w:val="single" w:sz="4" w:space="0" w:color="auto"/>
              <w:left w:val="nil"/>
              <w:bottom w:val="single" w:sz="4" w:space="0" w:color="auto"/>
              <w:right w:val="single" w:sz="4" w:space="0" w:color="auto"/>
            </w:tcBorders>
            <w:shd w:val="clear" w:color="auto" w:fill="C6EFCE"/>
            <w:noWrap/>
          </w:tcPr>
          <w:p w14:paraId="5EBBD8D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6779F2A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4C5F3FB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7D1B64A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1EF073F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099CBD5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Digitalizacija procesa prema Zakonu o strateškim investicijskim projektima Republike Hrvatske, Zakonu o poticanju ulaganja i Zakonu o državnoj potpori za istraživačko-razvojne projekte te daljnja digitalizacija i umrežavanje sustava jedinstvenog registra poduzetničke infrastrukture (JRPI)  </w:t>
            </w:r>
          </w:p>
        </w:tc>
      </w:tr>
      <w:tr w:rsidR="00733DCA" w:rsidRPr="008F2258" w14:paraId="5BA7BE7D"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33812E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6</w:t>
            </w:r>
          </w:p>
        </w:tc>
        <w:tc>
          <w:tcPr>
            <w:tcW w:w="833" w:type="dxa"/>
            <w:tcBorders>
              <w:top w:val="single" w:sz="4" w:space="0" w:color="auto"/>
              <w:left w:val="nil"/>
              <w:bottom w:val="single" w:sz="4" w:space="0" w:color="auto"/>
              <w:right w:val="single" w:sz="4" w:space="0" w:color="auto"/>
            </w:tcBorders>
            <w:shd w:val="clear" w:color="auto" w:fill="C6EFCE"/>
            <w:noWrap/>
          </w:tcPr>
          <w:p w14:paraId="693AB0B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0B9A332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35A9FEE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Provedba Akcijskog plana za smanjenje neporeznih i parafiskalnih davanja za 2020.</w:t>
            </w:r>
          </w:p>
        </w:tc>
        <w:tc>
          <w:tcPr>
            <w:tcW w:w="1555" w:type="dxa"/>
            <w:tcBorders>
              <w:top w:val="single" w:sz="4" w:space="0" w:color="auto"/>
              <w:left w:val="nil"/>
              <w:bottom w:val="single" w:sz="4" w:space="0" w:color="auto"/>
              <w:right w:val="single" w:sz="4" w:space="0" w:color="auto"/>
            </w:tcBorders>
            <w:shd w:val="clear" w:color="auto" w:fill="C6EFCE"/>
            <w:noWrap/>
          </w:tcPr>
          <w:p w14:paraId="55A45DD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DB132B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1059" w:type="dxa"/>
            <w:tcBorders>
              <w:top w:val="single" w:sz="4" w:space="0" w:color="auto"/>
              <w:left w:val="nil"/>
              <w:bottom w:val="single" w:sz="4" w:space="0" w:color="auto"/>
              <w:right w:val="single" w:sz="4" w:space="0" w:color="auto"/>
            </w:tcBorders>
            <w:shd w:val="clear" w:color="auto" w:fill="C6EFCE"/>
            <w:noWrap/>
          </w:tcPr>
          <w:p w14:paraId="31F2502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37F97CD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868" w:type="dxa"/>
            <w:tcBorders>
              <w:top w:val="single" w:sz="4" w:space="0" w:color="auto"/>
              <w:left w:val="nil"/>
              <w:bottom w:val="single" w:sz="4" w:space="0" w:color="auto"/>
              <w:right w:val="single" w:sz="4" w:space="0" w:color="auto"/>
            </w:tcBorders>
            <w:shd w:val="clear" w:color="auto" w:fill="C6EFCE"/>
            <w:noWrap/>
          </w:tcPr>
          <w:p w14:paraId="79376FC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966" w:type="dxa"/>
            <w:tcBorders>
              <w:top w:val="single" w:sz="4" w:space="0" w:color="auto"/>
              <w:left w:val="nil"/>
              <w:bottom w:val="single" w:sz="4" w:space="0" w:color="auto"/>
              <w:right w:val="single" w:sz="4" w:space="0" w:color="auto"/>
            </w:tcBorders>
            <w:shd w:val="clear" w:color="auto" w:fill="C6EFCE"/>
            <w:noWrap/>
          </w:tcPr>
          <w:p w14:paraId="5EC7915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29206AA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Provedbom Akcijskog plana za smanjenje neporeznih i parafiskalnih davanja za 2020., koji je Vlada Republike Hrvatske donijela u svibnju 2020. i koji sadržava 33 mjere za smanjenje neporeznih i parafiskalnih davanja i 17 mjera za smanjenje naknada za stručne ispite, osigurat će se izravna troškovna olakšica za privatni sektor. </w:t>
            </w:r>
          </w:p>
        </w:tc>
      </w:tr>
      <w:tr w:rsidR="00733DCA" w:rsidRPr="008F2258" w14:paraId="0D771A29"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D43A1F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7</w:t>
            </w:r>
          </w:p>
        </w:tc>
        <w:tc>
          <w:tcPr>
            <w:tcW w:w="833" w:type="dxa"/>
            <w:tcBorders>
              <w:top w:val="single" w:sz="4" w:space="0" w:color="auto"/>
              <w:left w:val="nil"/>
              <w:bottom w:val="single" w:sz="4" w:space="0" w:color="auto"/>
              <w:right w:val="single" w:sz="4" w:space="0" w:color="auto"/>
            </w:tcBorders>
            <w:shd w:val="clear" w:color="auto" w:fill="C6EFCE"/>
            <w:noWrap/>
          </w:tcPr>
          <w:p w14:paraId="36AA6C4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4308EC4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485D761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Provedba mjera iz akcijskih planova za administrativno rasterećenje gospodarstva za 2018., 2019., 2020.</w:t>
            </w:r>
          </w:p>
        </w:tc>
        <w:tc>
          <w:tcPr>
            <w:tcW w:w="1555" w:type="dxa"/>
            <w:tcBorders>
              <w:top w:val="single" w:sz="4" w:space="0" w:color="auto"/>
              <w:left w:val="nil"/>
              <w:bottom w:val="single" w:sz="4" w:space="0" w:color="auto"/>
              <w:right w:val="single" w:sz="4" w:space="0" w:color="auto"/>
            </w:tcBorders>
            <w:shd w:val="clear" w:color="auto" w:fill="C6EFCE"/>
            <w:noWrap/>
          </w:tcPr>
          <w:p w14:paraId="4488852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446934D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1059" w:type="dxa"/>
            <w:tcBorders>
              <w:top w:val="single" w:sz="4" w:space="0" w:color="auto"/>
              <w:left w:val="nil"/>
              <w:bottom w:val="single" w:sz="4" w:space="0" w:color="auto"/>
              <w:right w:val="single" w:sz="4" w:space="0" w:color="auto"/>
            </w:tcBorders>
            <w:shd w:val="clear" w:color="auto" w:fill="C6EFCE"/>
            <w:noWrap/>
          </w:tcPr>
          <w:p w14:paraId="131CBF6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61,02</w:t>
            </w:r>
          </w:p>
        </w:tc>
        <w:tc>
          <w:tcPr>
            <w:tcW w:w="1458" w:type="dxa"/>
            <w:tcBorders>
              <w:top w:val="single" w:sz="4" w:space="0" w:color="auto"/>
              <w:left w:val="nil"/>
              <w:bottom w:val="single" w:sz="4" w:space="0" w:color="auto"/>
              <w:right w:val="single" w:sz="4" w:space="0" w:color="auto"/>
            </w:tcBorders>
            <w:shd w:val="clear" w:color="auto" w:fill="C6EFCE"/>
            <w:noWrap/>
          </w:tcPr>
          <w:p w14:paraId="50E774B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95</w:t>
            </w:r>
          </w:p>
        </w:tc>
        <w:tc>
          <w:tcPr>
            <w:tcW w:w="868" w:type="dxa"/>
            <w:tcBorders>
              <w:top w:val="single" w:sz="4" w:space="0" w:color="auto"/>
              <w:left w:val="nil"/>
              <w:bottom w:val="single" w:sz="4" w:space="0" w:color="auto"/>
              <w:right w:val="single" w:sz="4" w:space="0" w:color="auto"/>
            </w:tcBorders>
            <w:shd w:val="clear" w:color="auto" w:fill="C6EFCE"/>
            <w:noWrap/>
          </w:tcPr>
          <w:p w14:paraId="5A76317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035505B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6FC902A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Provedba mjera za administrativno rasterećenje utvrđenih u akcijskim planovima za 2018., 2019. i 2020. u iznosu od najmanje 95 % predviđenog smanjenja troškova. Akcijskim planovima za administrativno rasterećenje optimizirat će se i digitalizirati administrativni postupci koji su utvrđeni kao najveće opterećenje za privatni sektor. Sve mjere rasterećenja utvrđuju se u suradnji s predstavnicima poslovne zajednice, komora i strukovnih udruga. </w:t>
            </w:r>
          </w:p>
        </w:tc>
      </w:tr>
      <w:tr w:rsidR="00733DCA" w:rsidRPr="008F2258" w14:paraId="7368F0DC"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D33538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8</w:t>
            </w:r>
          </w:p>
        </w:tc>
        <w:tc>
          <w:tcPr>
            <w:tcW w:w="833" w:type="dxa"/>
            <w:tcBorders>
              <w:top w:val="single" w:sz="4" w:space="0" w:color="auto"/>
              <w:left w:val="nil"/>
              <w:bottom w:val="single" w:sz="4" w:space="0" w:color="auto"/>
              <w:right w:val="single" w:sz="4" w:space="0" w:color="auto"/>
            </w:tcBorders>
            <w:shd w:val="clear" w:color="auto" w:fill="C6EFCE"/>
            <w:noWrap/>
          </w:tcPr>
          <w:p w14:paraId="2517A06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16718B2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1CF32032"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Digitalizacija Testa procjene učinka na mala i srednja poduzeća, odnosno izrada digitalne platforme za suradnju koordinatora, online edukacije i međusobnu komunikaciju.</w:t>
            </w:r>
          </w:p>
        </w:tc>
        <w:tc>
          <w:tcPr>
            <w:tcW w:w="1555" w:type="dxa"/>
            <w:tcBorders>
              <w:top w:val="single" w:sz="4" w:space="0" w:color="auto"/>
              <w:left w:val="nil"/>
              <w:bottom w:val="single" w:sz="4" w:space="0" w:color="auto"/>
              <w:right w:val="single" w:sz="4" w:space="0" w:color="auto"/>
            </w:tcBorders>
            <w:shd w:val="clear" w:color="auto" w:fill="C6EFCE"/>
            <w:noWrap/>
          </w:tcPr>
          <w:p w14:paraId="3626E24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Digitalna platforma u funkciji</w:t>
            </w:r>
          </w:p>
        </w:tc>
        <w:tc>
          <w:tcPr>
            <w:tcW w:w="1096" w:type="dxa"/>
            <w:tcBorders>
              <w:top w:val="single" w:sz="4" w:space="0" w:color="auto"/>
              <w:left w:val="nil"/>
              <w:bottom w:val="single" w:sz="4" w:space="0" w:color="auto"/>
              <w:right w:val="single" w:sz="4" w:space="0" w:color="auto"/>
            </w:tcBorders>
            <w:shd w:val="clear" w:color="auto" w:fill="C6EFCE"/>
            <w:noWrap/>
          </w:tcPr>
          <w:p w14:paraId="0CC3758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41810E5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0F1100D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1A59358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6B667F0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710" w:type="dxa"/>
            <w:tcBorders>
              <w:top w:val="single" w:sz="4" w:space="0" w:color="auto"/>
              <w:left w:val="nil"/>
              <w:bottom w:val="single" w:sz="4" w:space="0" w:color="auto"/>
              <w:right w:val="single" w:sz="4" w:space="0" w:color="auto"/>
            </w:tcBorders>
            <w:shd w:val="clear" w:color="auto" w:fill="C6EFCE"/>
            <w:noWrap/>
          </w:tcPr>
          <w:p w14:paraId="5625638D"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Primjenom savjetodavnih usluga u području IT-a razvija se i uspostavlja digitalna platforma za provedbu testa za MSP-ove. Platforma će se sastojati od informatičke baze provedenih testova za MSP-ove, baze standardiziranih vrijednosti koje se uzimaju u obzir pri izračunu procjene učinaka, te će omogućavati sustavno praćenje i nadzor nad izračunanim učincima, analitičke izvještaje i izradu simulacija učinaka.  Integralni dio platforme, uz bazu podataka, činiti će i portal namijenjen međusobnoj komunikaciji i razmjeni iskustava nacionalnih stručnjaka koji čine mrežu za bolju regulativu. </w:t>
            </w:r>
            <w:r>
              <w:rPr>
                <w:rFonts w:ascii="Calibri" w:hAnsi="Calibri"/>
                <w:noProof/>
                <w:color w:val="000000"/>
                <w:sz w:val="20"/>
              </w:rPr>
              <w:br/>
              <w:t>Sve aktivnosti provest će se u okviru projekata tehničke pomoći.</w:t>
            </w:r>
          </w:p>
        </w:tc>
      </w:tr>
      <w:tr w:rsidR="00733DCA" w:rsidRPr="008F2258" w14:paraId="54CEDD3B"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BED238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9</w:t>
            </w:r>
          </w:p>
        </w:tc>
        <w:tc>
          <w:tcPr>
            <w:tcW w:w="833" w:type="dxa"/>
            <w:tcBorders>
              <w:top w:val="single" w:sz="4" w:space="0" w:color="auto"/>
              <w:left w:val="nil"/>
              <w:bottom w:val="single" w:sz="4" w:space="0" w:color="auto"/>
              <w:right w:val="single" w:sz="4" w:space="0" w:color="auto"/>
            </w:tcBorders>
            <w:shd w:val="clear" w:color="auto" w:fill="C6EFCE"/>
            <w:noWrap/>
          </w:tcPr>
          <w:p w14:paraId="7379CD5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22C7326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4EE5BBC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Provedba djelatnosti novog Akcijskog plana za smanjenje neporeznih i parafiskalnih davanja </w:t>
            </w:r>
          </w:p>
        </w:tc>
        <w:tc>
          <w:tcPr>
            <w:tcW w:w="1555" w:type="dxa"/>
            <w:tcBorders>
              <w:top w:val="single" w:sz="4" w:space="0" w:color="auto"/>
              <w:left w:val="nil"/>
              <w:bottom w:val="single" w:sz="4" w:space="0" w:color="auto"/>
              <w:right w:val="single" w:sz="4" w:space="0" w:color="auto"/>
            </w:tcBorders>
            <w:shd w:val="clear" w:color="auto" w:fill="C6EFCE"/>
            <w:noWrap/>
          </w:tcPr>
          <w:p w14:paraId="5E61FF7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0922BD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 (EUR)</w:t>
            </w:r>
          </w:p>
        </w:tc>
        <w:tc>
          <w:tcPr>
            <w:tcW w:w="1059" w:type="dxa"/>
            <w:tcBorders>
              <w:top w:val="single" w:sz="4" w:space="0" w:color="auto"/>
              <w:left w:val="nil"/>
              <w:bottom w:val="single" w:sz="4" w:space="0" w:color="auto"/>
              <w:right w:val="single" w:sz="4" w:space="0" w:color="auto"/>
            </w:tcBorders>
            <w:shd w:val="clear" w:color="auto" w:fill="C6EFCE"/>
            <w:noWrap/>
          </w:tcPr>
          <w:p w14:paraId="32A9502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247552C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xml:space="preserve">132 722 808 </w:t>
            </w:r>
          </w:p>
        </w:tc>
        <w:tc>
          <w:tcPr>
            <w:tcW w:w="868" w:type="dxa"/>
            <w:tcBorders>
              <w:top w:val="single" w:sz="4" w:space="0" w:color="auto"/>
              <w:left w:val="nil"/>
              <w:bottom w:val="single" w:sz="4" w:space="0" w:color="auto"/>
              <w:right w:val="single" w:sz="4" w:space="0" w:color="auto"/>
            </w:tcBorders>
            <w:shd w:val="clear" w:color="auto" w:fill="C6EFCE"/>
            <w:noWrap/>
          </w:tcPr>
          <w:p w14:paraId="43F51E8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2DA17F3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710" w:type="dxa"/>
            <w:tcBorders>
              <w:top w:val="single" w:sz="4" w:space="0" w:color="auto"/>
              <w:left w:val="nil"/>
              <w:bottom w:val="single" w:sz="4" w:space="0" w:color="auto"/>
              <w:right w:val="single" w:sz="4" w:space="0" w:color="auto"/>
            </w:tcBorders>
            <w:shd w:val="clear" w:color="auto" w:fill="C6EFCE"/>
            <w:noWrap/>
          </w:tcPr>
          <w:p w14:paraId="2799DD6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Važan element u procjeni poslovnog okruženja različite su naknade u obliku parafiskalnih nameta i administrativnih naknada. Analizirat će se razmotriti sve naknade koje proizlaze iz javnih propisa, a koje poduzeća plaćaju središnjim državnim tijelima, tijelima lokalne i regionalne uprave ili drugim tijelima s javnim ovlastima.</w:t>
            </w:r>
            <w:r>
              <w:rPr>
                <w:rFonts w:ascii="Calibri" w:hAnsi="Calibri"/>
                <w:noProof/>
                <w:color w:val="000000"/>
                <w:sz w:val="20"/>
              </w:rPr>
              <w:br/>
              <w:t xml:space="preserve">Provedba mjera za rasterećenje poduzeća s obzirom na parafiskalna i neporezna davanja u novom/drugom Akcijskom planu za smanjenje neporeznih i parafiskalnih davanja dovest će do izravne troškovne olakšice u iznosu od najmanje 132 722 808 EUR. </w:t>
            </w:r>
          </w:p>
        </w:tc>
      </w:tr>
      <w:tr w:rsidR="00733DCA" w:rsidRPr="008F2258" w14:paraId="7396DB93"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F09F81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10</w:t>
            </w:r>
          </w:p>
        </w:tc>
        <w:tc>
          <w:tcPr>
            <w:tcW w:w="833" w:type="dxa"/>
            <w:tcBorders>
              <w:top w:val="single" w:sz="4" w:space="0" w:color="auto"/>
              <w:left w:val="nil"/>
              <w:bottom w:val="single" w:sz="4" w:space="0" w:color="auto"/>
              <w:right w:val="single" w:sz="4" w:space="0" w:color="auto"/>
            </w:tcBorders>
            <w:shd w:val="clear" w:color="auto" w:fill="C6EFCE"/>
            <w:noWrap/>
          </w:tcPr>
          <w:p w14:paraId="5C7FC4D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2CAFBD0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6CF2B91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Provedba prvog skupa mjera utvrđenih u novom/petom Akcijskom planu za administrativno rasterećenje poduzetnika</w:t>
            </w:r>
          </w:p>
        </w:tc>
        <w:tc>
          <w:tcPr>
            <w:tcW w:w="1555" w:type="dxa"/>
            <w:tcBorders>
              <w:top w:val="single" w:sz="4" w:space="0" w:color="auto"/>
              <w:left w:val="nil"/>
              <w:bottom w:val="single" w:sz="4" w:space="0" w:color="auto"/>
              <w:right w:val="single" w:sz="4" w:space="0" w:color="auto"/>
            </w:tcBorders>
            <w:shd w:val="clear" w:color="auto" w:fill="C6EFCE"/>
            <w:noWrap/>
          </w:tcPr>
          <w:p w14:paraId="36B3662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B627BA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 (EUR)</w:t>
            </w:r>
          </w:p>
        </w:tc>
        <w:tc>
          <w:tcPr>
            <w:tcW w:w="1059" w:type="dxa"/>
            <w:tcBorders>
              <w:top w:val="single" w:sz="4" w:space="0" w:color="auto"/>
              <w:left w:val="nil"/>
              <w:bottom w:val="single" w:sz="4" w:space="0" w:color="auto"/>
              <w:right w:val="single" w:sz="4" w:space="0" w:color="auto"/>
            </w:tcBorders>
            <w:shd w:val="clear" w:color="auto" w:fill="C6EFCE"/>
            <w:noWrap/>
          </w:tcPr>
          <w:p w14:paraId="2C2F545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2EC38C2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xml:space="preserve"> 132 722 808 </w:t>
            </w:r>
          </w:p>
        </w:tc>
        <w:tc>
          <w:tcPr>
            <w:tcW w:w="868" w:type="dxa"/>
            <w:tcBorders>
              <w:top w:val="single" w:sz="4" w:space="0" w:color="auto"/>
              <w:left w:val="nil"/>
              <w:bottom w:val="single" w:sz="4" w:space="0" w:color="auto"/>
              <w:right w:val="single" w:sz="4" w:space="0" w:color="auto"/>
            </w:tcBorders>
            <w:shd w:val="clear" w:color="auto" w:fill="C6EFCE"/>
            <w:noWrap/>
          </w:tcPr>
          <w:p w14:paraId="1EE4D2B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4B749DC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53D6D42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Izradom novog/petog Akcijskog plana za administrativno rasterećenje nastavit će se optimizacija i digitalizacija administrativnih postupaka za koje je utvrđeno da čine najveće opterećenje za privatni sektor. Time će se osigurati povoljnije pravno i administrativno okruženje za poduzeća daljnjom provedbom mjera za rasterećenje, pojednostavnjenje i smanjenje troškova poslovanja. </w:t>
            </w:r>
            <w:r>
              <w:rPr>
                <w:rFonts w:ascii="Calibri" w:hAnsi="Calibri"/>
                <w:noProof/>
                <w:color w:val="000000"/>
                <w:sz w:val="20"/>
              </w:rPr>
              <w:br/>
            </w:r>
            <w:r>
              <w:rPr>
                <w:rFonts w:ascii="Calibri" w:hAnsi="Calibri"/>
                <w:noProof/>
                <w:color w:val="000000"/>
                <w:sz w:val="20"/>
              </w:rPr>
              <w:br/>
              <w:t xml:space="preserve">Provedbom mjera utvrđenih u novom/petom Akcijskom planu za administrativno rasterećenje gospodarstva opterećenje poduzetnika smanjit će se za najmanje 132 722 808 EUR. Provedbu mjera osigurat će MINGOR u suradnji sa SDURDD-om.   </w:t>
            </w:r>
          </w:p>
        </w:tc>
      </w:tr>
      <w:tr w:rsidR="00733DCA" w:rsidRPr="008F2258" w14:paraId="53D91BFE"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D7281B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11</w:t>
            </w:r>
          </w:p>
        </w:tc>
        <w:tc>
          <w:tcPr>
            <w:tcW w:w="833" w:type="dxa"/>
            <w:tcBorders>
              <w:top w:val="single" w:sz="4" w:space="0" w:color="auto"/>
              <w:left w:val="nil"/>
              <w:bottom w:val="single" w:sz="4" w:space="0" w:color="auto"/>
              <w:right w:val="single" w:sz="4" w:space="0" w:color="auto"/>
            </w:tcBorders>
            <w:shd w:val="clear" w:color="auto" w:fill="C6EFCE"/>
            <w:noWrap/>
          </w:tcPr>
          <w:p w14:paraId="2CE68E1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23E4D42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1CABBBE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Provedba drugog skupa mjera utvrđenih u novom/petom Akcijskom planu administrativnog rasterećenja poduzetnika</w:t>
            </w:r>
          </w:p>
        </w:tc>
        <w:tc>
          <w:tcPr>
            <w:tcW w:w="1555" w:type="dxa"/>
            <w:tcBorders>
              <w:top w:val="single" w:sz="4" w:space="0" w:color="auto"/>
              <w:left w:val="nil"/>
              <w:bottom w:val="single" w:sz="4" w:space="0" w:color="auto"/>
              <w:right w:val="single" w:sz="4" w:space="0" w:color="auto"/>
            </w:tcBorders>
            <w:shd w:val="clear" w:color="auto" w:fill="C6EFCE"/>
            <w:noWrap/>
          </w:tcPr>
          <w:p w14:paraId="0355523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B3E9BC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 (EUR)</w:t>
            </w:r>
          </w:p>
        </w:tc>
        <w:tc>
          <w:tcPr>
            <w:tcW w:w="1059" w:type="dxa"/>
            <w:tcBorders>
              <w:top w:val="single" w:sz="4" w:space="0" w:color="auto"/>
              <w:left w:val="nil"/>
              <w:bottom w:val="single" w:sz="4" w:space="0" w:color="auto"/>
              <w:right w:val="single" w:sz="4" w:space="0" w:color="auto"/>
            </w:tcBorders>
            <w:shd w:val="clear" w:color="auto" w:fill="C6EFCE"/>
            <w:noWrap/>
          </w:tcPr>
          <w:p w14:paraId="2BEC19A9" w14:textId="0E668FDB" w:rsidR="00733DCA" w:rsidRPr="008F2258" w:rsidRDefault="00733DCA" w:rsidP="001F094E">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132 722 808</w:t>
            </w:r>
          </w:p>
        </w:tc>
        <w:tc>
          <w:tcPr>
            <w:tcW w:w="1458" w:type="dxa"/>
            <w:tcBorders>
              <w:top w:val="single" w:sz="4" w:space="0" w:color="auto"/>
              <w:left w:val="nil"/>
              <w:bottom w:val="single" w:sz="4" w:space="0" w:color="auto"/>
              <w:right w:val="single" w:sz="4" w:space="0" w:color="auto"/>
            </w:tcBorders>
            <w:shd w:val="clear" w:color="auto" w:fill="C6EFCE"/>
            <w:noWrap/>
          </w:tcPr>
          <w:p w14:paraId="1BA1417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xml:space="preserve"> 265 445 617 </w:t>
            </w:r>
          </w:p>
        </w:tc>
        <w:tc>
          <w:tcPr>
            <w:tcW w:w="868" w:type="dxa"/>
            <w:tcBorders>
              <w:top w:val="single" w:sz="4" w:space="0" w:color="auto"/>
              <w:left w:val="nil"/>
              <w:bottom w:val="single" w:sz="4" w:space="0" w:color="auto"/>
              <w:right w:val="single" w:sz="4" w:space="0" w:color="auto"/>
            </w:tcBorders>
            <w:shd w:val="clear" w:color="auto" w:fill="C6EFCE"/>
            <w:noWrap/>
          </w:tcPr>
          <w:p w14:paraId="145A0AC4"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5D5BB71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228B44B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Provedbom mjera utvrđenih u novom/petom Akcijskom planu za administrativno rasterećenje gospodarstva smanjit ćs e opterećenje poduzetnika u iznosu od najmanje 132 722 808 EUR u odnosu na cilj postavljen do 4. tromjesečja 2024.</w:t>
            </w:r>
            <w:r>
              <w:rPr>
                <w:rFonts w:ascii="Calibri" w:hAnsi="Calibri"/>
                <w:noProof/>
                <w:color w:val="000000"/>
                <w:sz w:val="20"/>
              </w:rPr>
              <w:br/>
              <w:t xml:space="preserve">To smanjenje opterećenja postići će se optimizacijom i digitalizacijom administrativnih postupaka koji su postupkom mjerenja i analize utvrđeni kao najveće opterećenje za privatni sektor. Provedbu mjera osigurat će MINGOR u suradnji sa SDURDD-om.  </w:t>
            </w:r>
          </w:p>
        </w:tc>
      </w:tr>
      <w:tr w:rsidR="00733DCA" w:rsidRPr="008F2258" w14:paraId="363F70DE"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B13B97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12</w:t>
            </w:r>
          </w:p>
        </w:tc>
        <w:tc>
          <w:tcPr>
            <w:tcW w:w="833" w:type="dxa"/>
            <w:tcBorders>
              <w:top w:val="single" w:sz="4" w:space="0" w:color="auto"/>
              <w:left w:val="nil"/>
              <w:bottom w:val="single" w:sz="4" w:space="0" w:color="auto"/>
              <w:right w:val="single" w:sz="4" w:space="0" w:color="auto"/>
            </w:tcBorders>
            <w:shd w:val="clear" w:color="auto" w:fill="C6EFCE"/>
            <w:noWrap/>
          </w:tcPr>
          <w:p w14:paraId="4EBFBE8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R2</w:t>
            </w:r>
          </w:p>
        </w:tc>
        <w:tc>
          <w:tcPr>
            <w:tcW w:w="806" w:type="dxa"/>
            <w:tcBorders>
              <w:top w:val="single" w:sz="4" w:space="0" w:color="auto"/>
              <w:left w:val="nil"/>
              <w:bottom w:val="single" w:sz="4" w:space="0" w:color="auto"/>
              <w:right w:val="single" w:sz="4" w:space="0" w:color="auto"/>
            </w:tcBorders>
            <w:shd w:val="clear" w:color="auto" w:fill="C6EFCE"/>
            <w:noWrap/>
          </w:tcPr>
          <w:p w14:paraId="2CFE5F1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3593122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Pojednostavnjenje ili uklanjanje najmanje 50 regulatornih zahtjeva za profesionalne usluge</w:t>
            </w:r>
          </w:p>
        </w:tc>
        <w:tc>
          <w:tcPr>
            <w:tcW w:w="1555" w:type="dxa"/>
            <w:tcBorders>
              <w:top w:val="single" w:sz="4" w:space="0" w:color="auto"/>
              <w:left w:val="nil"/>
              <w:bottom w:val="single" w:sz="4" w:space="0" w:color="auto"/>
              <w:right w:val="single" w:sz="4" w:space="0" w:color="auto"/>
            </w:tcBorders>
            <w:shd w:val="clear" w:color="auto" w:fill="C6EFCE"/>
            <w:noWrap/>
          </w:tcPr>
          <w:p w14:paraId="662D4F3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344EF6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36A06CD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250</w:t>
            </w:r>
          </w:p>
        </w:tc>
        <w:tc>
          <w:tcPr>
            <w:tcW w:w="1458" w:type="dxa"/>
            <w:tcBorders>
              <w:top w:val="single" w:sz="4" w:space="0" w:color="auto"/>
              <w:left w:val="nil"/>
              <w:bottom w:val="single" w:sz="4" w:space="0" w:color="auto"/>
              <w:right w:val="single" w:sz="4" w:space="0" w:color="auto"/>
            </w:tcBorders>
            <w:shd w:val="clear" w:color="auto" w:fill="C6EFCE"/>
            <w:noWrap/>
          </w:tcPr>
          <w:p w14:paraId="437CB08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300</w:t>
            </w:r>
          </w:p>
        </w:tc>
        <w:tc>
          <w:tcPr>
            <w:tcW w:w="868" w:type="dxa"/>
            <w:tcBorders>
              <w:top w:val="single" w:sz="4" w:space="0" w:color="auto"/>
              <w:left w:val="nil"/>
              <w:bottom w:val="single" w:sz="4" w:space="0" w:color="auto"/>
              <w:right w:val="single" w:sz="4" w:space="0" w:color="auto"/>
            </w:tcBorders>
            <w:shd w:val="clear" w:color="auto" w:fill="C6EFCE"/>
            <w:noWrap/>
          </w:tcPr>
          <w:p w14:paraId="218DE46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5B7FC1F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4F421C2B"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Provedba akcijskih planova za liberalizaciju tržišta usluga iz 2019. i 2020., uzimajući u obzir preporuke iz projekta tehničke pomoći u suradnji sa Svjetskom bankom i preporuke koje se odnose na:</w:t>
            </w:r>
            <w:r>
              <w:rPr>
                <w:rFonts w:ascii="Calibri" w:hAnsi="Calibri"/>
                <w:noProof/>
                <w:color w:val="000000"/>
                <w:sz w:val="20"/>
              </w:rPr>
              <w:br/>
              <w:t>– registraciju troškova članstva u strukovnim komorama,</w:t>
            </w:r>
            <w:r>
              <w:rPr>
                <w:rFonts w:ascii="Calibri" w:hAnsi="Calibri"/>
                <w:noProof/>
                <w:color w:val="000000"/>
                <w:sz w:val="20"/>
              </w:rPr>
              <w:br/>
              <w:t>– fragmentirana ekskluzivna prava pojedinih profesija (npr. arhitekti i inženjeri),</w:t>
            </w:r>
            <w:r>
              <w:rPr>
                <w:rFonts w:ascii="Calibri" w:hAnsi="Calibri"/>
                <w:noProof/>
                <w:color w:val="000000"/>
                <w:sz w:val="20"/>
              </w:rPr>
              <w:br/>
              <w:t>– stručni ispit nakon završenog fakultetskog obrazovanja (npr. arhitekti i inženjeri),</w:t>
            </w:r>
            <w:r>
              <w:rPr>
                <w:rFonts w:ascii="Calibri" w:hAnsi="Calibri"/>
                <w:noProof/>
                <w:color w:val="000000"/>
                <w:sz w:val="20"/>
              </w:rPr>
              <w:br/>
              <w:t>– ograničenja vlasničkih i upravljačkih udjela ili prava glasa za porezne savjetnike.</w:t>
            </w:r>
          </w:p>
        </w:tc>
      </w:tr>
      <w:tr w:rsidR="00733DCA" w:rsidRPr="008F2258" w14:paraId="144CD006"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AD9C6E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13</w:t>
            </w:r>
          </w:p>
        </w:tc>
        <w:tc>
          <w:tcPr>
            <w:tcW w:w="833" w:type="dxa"/>
            <w:tcBorders>
              <w:top w:val="single" w:sz="4" w:space="0" w:color="auto"/>
              <w:left w:val="nil"/>
              <w:bottom w:val="single" w:sz="4" w:space="0" w:color="auto"/>
              <w:right w:val="single" w:sz="4" w:space="0" w:color="auto"/>
            </w:tcBorders>
            <w:shd w:val="clear" w:color="auto" w:fill="C6EFCE"/>
            <w:noWrap/>
          </w:tcPr>
          <w:p w14:paraId="4FB1102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R3</w:t>
            </w:r>
          </w:p>
        </w:tc>
        <w:tc>
          <w:tcPr>
            <w:tcW w:w="806" w:type="dxa"/>
            <w:tcBorders>
              <w:top w:val="single" w:sz="4" w:space="0" w:color="auto"/>
              <w:left w:val="nil"/>
              <w:bottom w:val="single" w:sz="4" w:space="0" w:color="auto"/>
              <w:right w:val="single" w:sz="4" w:space="0" w:color="auto"/>
            </w:tcBorders>
            <w:shd w:val="clear" w:color="auto" w:fill="C6EFCE"/>
            <w:noWrap/>
          </w:tcPr>
          <w:p w14:paraId="56C52F0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65AB478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br/>
              <w:t>Uspostava strateškog okvira za promociju privatnih ulaganja</w:t>
            </w:r>
          </w:p>
        </w:tc>
        <w:tc>
          <w:tcPr>
            <w:tcW w:w="1555" w:type="dxa"/>
            <w:tcBorders>
              <w:top w:val="single" w:sz="4" w:space="0" w:color="auto"/>
              <w:left w:val="nil"/>
              <w:bottom w:val="single" w:sz="4" w:space="0" w:color="auto"/>
              <w:right w:val="single" w:sz="4" w:space="0" w:color="auto"/>
            </w:tcBorders>
            <w:shd w:val="clear" w:color="auto" w:fill="C6EFCE"/>
            <w:noWrap/>
          </w:tcPr>
          <w:p w14:paraId="76E5357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Donošenje akcijskog plana za poticanje ulaganja i puštanje u rad digitalne platforme za koordinaciju i osiguravanje djelotvorne međunarodne, nacionalne i regionalne promocije i potpore ulaganjima.</w:t>
            </w:r>
          </w:p>
        </w:tc>
        <w:tc>
          <w:tcPr>
            <w:tcW w:w="1096" w:type="dxa"/>
            <w:tcBorders>
              <w:top w:val="single" w:sz="4" w:space="0" w:color="auto"/>
              <w:left w:val="nil"/>
              <w:bottom w:val="single" w:sz="4" w:space="0" w:color="auto"/>
              <w:right w:val="single" w:sz="4" w:space="0" w:color="auto"/>
            </w:tcBorders>
            <w:shd w:val="clear" w:color="auto" w:fill="C6EFCE"/>
            <w:noWrap/>
          </w:tcPr>
          <w:p w14:paraId="5241852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369EF2E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0ADA574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7553D95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2CC603E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43905D01"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Bit će uspostavljen strateški okvir za promociju privatnih ulaganja na temelju dobivene analize i preporuka, a koji se sastoji od donošenja i objavljivanja Nacionalnog plana za poticanje ulaganja za razdoblje 2023.–2030., Akcijskog plana za poticanje ulaganja za razdoblje 2023.–2028. i stupanja na snagu novog Zakona o poticanju ulaganja te puštanje u rad operativne digitalne platforme za koordinaciju i djelotvornu međunarodnu, nacionalnu i regionalnu promociju i potporu ulaganjima.</w:t>
            </w:r>
            <w:r>
              <w:rPr>
                <w:rFonts w:ascii="Calibri" w:hAnsi="Calibri"/>
                <w:noProof/>
                <w:color w:val="000000"/>
                <w:sz w:val="20"/>
              </w:rPr>
              <w:br/>
            </w:r>
            <w:r>
              <w:rPr>
                <w:rFonts w:ascii="Calibri" w:hAnsi="Calibri"/>
                <w:noProof/>
                <w:color w:val="000000"/>
                <w:sz w:val="20"/>
              </w:rPr>
              <w:br/>
            </w:r>
            <w:r>
              <w:rPr>
                <w:rFonts w:ascii="Calibri" w:hAnsi="Calibri"/>
                <w:noProof/>
                <w:color w:val="000000"/>
                <w:sz w:val="20"/>
              </w:rPr>
              <w:br/>
              <w:t xml:space="preserve"> </w:t>
            </w:r>
          </w:p>
        </w:tc>
      </w:tr>
      <w:tr w:rsidR="00733DCA" w:rsidRPr="008F2258" w14:paraId="4DCCC607"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1D535C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14</w:t>
            </w:r>
          </w:p>
        </w:tc>
        <w:tc>
          <w:tcPr>
            <w:tcW w:w="833" w:type="dxa"/>
            <w:tcBorders>
              <w:top w:val="single" w:sz="4" w:space="0" w:color="auto"/>
              <w:left w:val="nil"/>
              <w:bottom w:val="single" w:sz="4" w:space="0" w:color="auto"/>
              <w:right w:val="single" w:sz="4" w:space="0" w:color="auto"/>
            </w:tcBorders>
            <w:shd w:val="clear" w:color="auto" w:fill="C6EFCE"/>
            <w:noWrap/>
          </w:tcPr>
          <w:p w14:paraId="4B7D8EC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R4-I1</w:t>
            </w:r>
          </w:p>
        </w:tc>
        <w:tc>
          <w:tcPr>
            <w:tcW w:w="806" w:type="dxa"/>
            <w:tcBorders>
              <w:top w:val="single" w:sz="4" w:space="0" w:color="auto"/>
              <w:left w:val="nil"/>
              <w:bottom w:val="single" w:sz="4" w:space="0" w:color="auto"/>
              <w:right w:val="single" w:sz="4" w:space="0" w:color="auto"/>
            </w:tcBorders>
            <w:shd w:val="clear" w:color="auto" w:fill="C6EFCE"/>
            <w:noWrap/>
          </w:tcPr>
          <w:p w14:paraId="2ADA4C1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13A50CB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Objava pozivâ za dodjelu sredstava za ulaganja usmjerena na ekološki prihvatljive aktivnosti s uspostavljenim kriterijima prihvatljivosti za prijavitelje i projekte (među ostalim kriteriji usklađenosti s načelom nenanošenja bitne štete)</w:t>
            </w:r>
          </w:p>
        </w:tc>
        <w:tc>
          <w:tcPr>
            <w:tcW w:w="1555" w:type="dxa"/>
            <w:tcBorders>
              <w:top w:val="single" w:sz="4" w:space="0" w:color="auto"/>
              <w:left w:val="nil"/>
              <w:bottom w:val="single" w:sz="4" w:space="0" w:color="auto"/>
              <w:right w:val="single" w:sz="4" w:space="0" w:color="auto"/>
            </w:tcBorders>
            <w:shd w:val="clear" w:color="auto" w:fill="C6EFCE"/>
            <w:noWrap/>
          </w:tcPr>
          <w:p w14:paraId="3DE632A2"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Objava poziva na dostavu prijedloga za bespovratna sredstva </w:t>
            </w:r>
          </w:p>
        </w:tc>
        <w:tc>
          <w:tcPr>
            <w:tcW w:w="1096" w:type="dxa"/>
            <w:tcBorders>
              <w:top w:val="single" w:sz="4" w:space="0" w:color="auto"/>
              <w:left w:val="nil"/>
              <w:bottom w:val="single" w:sz="4" w:space="0" w:color="auto"/>
              <w:right w:val="single" w:sz="4" w:space="0" w:color="auto"/>
            </w:tcBorders>
            <w:shd w:val="clear" w:color="auto" w:fill="C6EFCE"/>
            <w:noWrap/>
          </w:tcPr>
          <w:p w14:paraId="43313C6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52E632A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6432DDB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0E71225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253ED0B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75DA2BB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Objava poziva na podnošenje prijedloga za dodjelu bespovratnih sredstava za potporu zelenoj tranziciji MSP-ova i poduzeća srednje tržišne kapitalizacije prema energetski učinkovitom gospodarstvu. Bespovratnim sredstvima poduprijet će se razvoj i primjena zelenih tehnologija u poslovnim procesima poduzeća s ciljem smanjenja negativnih učinaka na klimu i okoliš, poticanja održive proizvodnje, povećanja broja zaposlenih u održivijim radnim mjestima te jačanja lokalne i regionalne konkurentnosti (u skladu s Taksonomijom EU-a). </w:t>
            </w:r>
            <w:r>
              <w:rPr>
                <w:rFonts w:ascii="Calibri" w:hAnsi="Calibri"/>
                <w:noProof/>
                <w:color w:val="000000"/>
                <w:sz w:val="20"/>
              </w:rPr>
              <w:br/>
              <w:t>Kriteriji odabira/prihvatljivosti odražavat će zahtjeve primjenjivih interventnih polja iz priloga VI. i VII. Uredbi o RRF-u i osigurati da podržani projekti budu usklađeni s Tehničkim smjernicama za primjenu načela nenanošenja bitne štete (2021/C58/01), primjenom popisa neprihvatljivih aktivnosti i ulaganja i zahtjeva u pogledu usklađenosti s relevantnim EU-ovim i nacionalnim propisima o okolišu.</w:t>
            </w:r>
            <w:r>
              <w:rPr>
                <w:rFonts w:ascii="Calibri" w:hAnsi="Calibri"/>
                <w:noProof/>
                <w:color w:val="000000"/>
                <w:sz w:val="20"/>
              </w:rPr>
              <w:br/>
              <w:t>Mjerom se neće poduprijeti ulaganja u postrojenja obuhvaćena EU-ovim sustavom za trgovanje emisijama (ETS).</w:t>
            </w:r>
            <w:r>
              <w:rPr>
                <w:rFonts w:ascii="Calibri" w:hAnsi="Calibri"/>
                <w:noProof/>
                <w:color w:val="000000"/>
                <w:sz w:val="20"/>
              </w:rPr>
              <w:br/>
              <w:t>Bespovratna sredstva podržat će ulaganja društava u privatnom sektoru koja su namijenjena:</w:t>
            </w:r>
            <w:r>
              <w:rPr>
                <w:rFonts w:ascii="Calibri" w:hAnsi="Calibri"/>
                <w:noProof/>
                <w:color w:val="000000"/>
                <w:sz w:val="20"/>
              </w:rPr>
              <w:br/>
              <w:t>– projektima za promicanje kružnog gospodarstva integracijom resursne učinkovitosti u proizvodni ciklus i životni vijek proizvoda, uključujući održivu opskrbu primarnim i sekundarnim sirovinama, i/ili</w:t>
            </w:r>
            <w:r>
              <w:rPr>
                <w:rFonts w:ascii="Calibri" w:hAnsi="Calibri"/>
                <w:noProof/>
                <w:color w:val="000000"/>
                <w:sz w:val="20"/>
              </w:rPr>
              <w:br/>
              <w:t xml:space="preserve"> – dekarbonizaciji energetski intenzivnih industrija i znatnom smanjenju emisija u tim industrijama, među ostalim demonstracijom i uvođenjem inovativnih tehnologija s niskom razinom emisija.</w:t>
            </w:r>
          </w:p>
        </w:tc>
      </w:tr>
      <w:tr w:rsidR="00733DCA" w:rsidRPr="008F2258" w14:paraId="603F049B"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3D5E8C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15</w:t>
            </w:r>
          </w:p>
        </w:tc>
        <w:tc>
          <w:tcPr>
            <w:tcW w:w="833" w:type="dxa"/>
            <w:tcBorders>
              <w:top w:val="single" w:sz="4" w:space="0" w:color="auto"/>
              <w:left w:val="nil"/>
              <w:bottom w:val="single" w:sz="4" w:space="0" w:color="auto"/>
              <w:right w:val="single" w:sz="4" w:space="0" w:color="auto"/>
            </w:tcBorders>
            <w:shd w:val="clear" w:color="auto" w:fill="C6EFCE"/>
            <w:noWrap/>
          </w:tcPr>
          <w:p w14:paraId="004F621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R4-I1</w:t>
            </w:r>
          </w:p>
        </w:tc>
        <w:tc>
          <w:tcPr>
            <w:tcW w:w="806" w:type="dxa"/>
            <w:tcBorders>
              <w:top w:val="single" w:sz="4" w:space="0" w:color="auto"/>
              <w:left w:val="nil"/>
              <w:bottom w:val="single" w:sz="4" w:space="0" w:color="auto"/>
              <w:right w:val="single" w:sz="4" w:space="0" w:color="auto"/>
            </w:tcBorders>
            <w:shd w:val="clear" w:color="auto" w:fill="C6EFCE"/>
            <w:noWrap/>
          </w:tcPr>
          <w:p w14:paraId="00732A1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5D2228AB" w14:textId="3042DF5A"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themeColor="text1"/>
                <w:sz w:val="20"/>
              </w:rPr>
              <w:t xml:space="preserve">Dodjela sredstava MSP-ovima i poduzećima srednje tržišne kapitalizacije za ulaganja u ekološki prihvatljive aktivnosti </w:t>
            </w:r>
          </w:p>
        </w:tc>
        <w:tc>
          <w:tcPr>
            <w:tcW w:w="1555" w:type="dxa"/>
            <w:tcBorders>
              <w:top w:val="single" w:sz="4" w:space="0" w:color="auto"/>
              <w:left w:val="nil"/>
              <w:bottom w:val="single" w:sz="4" w:space="0" w:color="auto"/>
              <w:right w:val="single" w:sz="4" w:space="0" w:color="auto"/>
            </w:tcBorders>
            <w:shd w:val="clear" w:color="auto" w:fill="C6EFCE"/>
            <w:noWrap/>
          </w:tcPr>
          <w:p w14:paraId="027F037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5DB40AF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5F15D52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639E990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290</w:t>
            </w:r>
          </w:p>
        </w:tc>
        <w:tc>
          <w:tcPr>
            <w:tcW w:w="868" w:type="dxa"/>
            <w:tcBorders>
              <w:top w:val="single" w:sz="4" w:space="0" w:color="auto"/>
              <w:left w:val="nil"/>
              <w:bottom w:val="single" w:sz="4" w:space="0" w:color="auto"/>
              <w:right w:val="single" w:sz="4" w:space="0" w:color="auto"/>
            </w:tcBorders>
            <w:shd w:val="clear" w:color="auto" w:fill="C6EFCE"/>
            <w:noWrap/>
          </w:tcPr>
          <w:p w14:paraId="566157F1" w14:textId="107F424F"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themeColor="text1"/>
                <w:sz w:val="20"/>
              </w:rPr>
              <w:t>3.</w:t>
            </w:r>
          </w:p>
        </w:tc>
        <w:tc>
          <w:tcPr>
            <w:tcW w:w="966" w:type="dxa"/>
            <w:tcBorders>
              <w:top w:val="single" w:sz="4" w:space="0" w:color="auto"/>
              <w:left w:val="nil"/>
              <w:bottom w:val="single" w:sz="4" w:space="0" w:color="auto"/>
              <w:right w:val="single" w:sz="4" w:space="0" w:color="auto"/>
            </w:tcBorders>
            <w:shd w:val="clear" w:color="auto" w:fill="C6EFCE"/>
            <w:noWrap/>
          </w:tcPr>
          <w:p w14:paraId="6F778D71" w14:textId="1F5D81D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themeColor="text1"/>
                <w:sz w:val="20"/>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587A2089"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themeColor="text1"/>
                <w:sz w:val="20"/>
              </w:rPr>
              <w:t>Potporu je primilo najmanje 250 MSP-ova i najmanje 40 poduzeća srednje tržišne kapitalizacije u skladu s kriterijima prihvatljivosti/odabira utvrđenima u ključnoj etapi 14.</w:t>
            </w:r>
            <w:r>
              <w:rPr>
                <w:noProof/>
              </w:rPr>
              <w:br/>
            </w:r>
            <w:r>
              <w:rPr>
                <w:rFonts w:ascii="Calibri" w:hAnsi="Calibri"/>
                <w:noProof/>
                <w:color w:val="000000" w:themeColor="text1"/>
                <w:sz w:val="20"/>
              </w:rPr>
              <w:t>Okvirna raspodjela bespovratnih sredstava:</w:t>
            </w:r>
            <w:r>
              <w:rPr>
                <w:noProof/>
              </w:rPr>
              <w:br/>
            </w:r>
            <w:r>
              <w:rPr>
                <w:rFonts w:ascii="Calibri" w:hAnsi="Calibri"/>
                <w:noProof/>
                <w:color w:val="000000" w:themeColor="text1"/>
                <w:sz w:val="20"/>
              </w:rPr>
              <w:t>40 % za MSP-ove i 60 % za poduzeća srednje tržišne kapitalizacije.</w:t>
            </w:r>
            <w:r>
              <w:rPr>
                <w:noProof/>
              </w:rPr>
              <w:br/>
            </w:r>
            <w:r>
              <w:rPr>
                <w:rFonts w:ascii="Calibri" w:hAnsi="Calibri"/>
                <w:noProof/>
                <w:color w:val="000000" w:themeColor="text1"/>
                <w:sz w:val="20"/>
              </w:rPr>
              <w:t xml:space="preserve">Najveći iznos bespovratnih sredstava EU-a za pojedinačne MSP-ove iznosit će 1 000 000 EUR, a za pojedinačna poduzeća srednje tržišne kapitalizacije 4 700 000 EUR. Najveće razine potpore uspostavit će se na temelju iskustva stečenog u provedbi kohezijske politike.  </w:t>
            </w:r>
          </w:p>
        </w:tc>
      </w:tr>
      <w:tr w:rsidR="00733DCA" w:rsidRPr="008F2258" w14:paraId="51ED12E2"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CA08A2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16</w:t>
            </w:r>
          </w:p>
        </w:tc>
        <w:tc>
          <w:tcPr>
            <w:tcW w:w="833" w:type="dxa"/>
            <w:tcBorders>
              <w:top w:val="single" w:sz="4" w:space="0" w:color="auto"/>
              <w:left w:val="nil"/>
              <w:bottom w:val="single" w:sz="4" w:space="0" w:color="auto"/>
              <w:right w:val="single" w:sz="4" w:space="0" w:color="auto"/>
            </w:tcBorders>
            <w:shd w:val="clear" w:color="auto" w:fill="C6EFCE"/>
            <w:noWrap/>
          </w:tcPr>
          <w:p w14:paraId="65E187F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R4-I2</w:t>
            </w:r>
          </w:p>
        </w:tc>
        <w:tc>
          <w:tcPr>
            <w:tcW w:w="806" w:type="dxa"/>
            <w:tcBorders>
              <w:top w:val="single" w:sz="4" w:space="0" w:color="auto"/>
              <w:left w:val="nil"/>
              <w:bottom w:val="single" w:sz="4" w:space="0" w:color="auto"/>
              <w:right w:val="single" w:sz="4" w:space="0" w:color="auto"/>
            </w:tcBorders>
            <w:shd w:val="clear" w:color="auto" w:fill="C6EFCE"/>
            <w:noWrap/>
          </w:tcPr>
          <w:p w14:paraId="182AABD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380EE9B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Uspostava financijskog instrumenta radi poticanja ulaganja mikro, malih i srednjih poduzeća.</w:t>
            </w:r>
          </w:p>
        </w:tc>
        <w:tc>
          <w:tcPr>
            <w:tcW w:w="1555" w:type="dxa"/>
            <w:tcBorders>
              <w:top w:val="single" w:sz="4" w:space="0" w:color="auto"/>
              <w:left w:val="nil"/>
              <w:bottom w:val="single" w:sz="4" w:space="0" w:color="auto"/>
              <w:right w:val="single" w:sz="4" w:space="0" w:color="auto"/>
            </w:tcBorders>
            <w:shd w:val="clear" w:color="auto" w:fill="C6EFCE"/>
            <w:noWrap/>
          </w:tcPr>
          <w:p w14:paraId="2F27E09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Objavljeni sporazumi između: i. nadležnog ministarstva (MINGOR ili Ministarstvo financija, MINFIN) i HAMAG BICRO-a te između ii. nadležnog ministarstva (MINGOR ili MINFIN) i HBOR-a za pružanje povoljnih uvjeta financiranja za ulaganja i obrtna sredstva nužna za provedbu ulaganja i/ili povećanje opsega poslovanja gospodarskih subjekta. </w:t>
            </w:r>
          </w:p>
        </w:tc>
        <w:tc>
          <w:tcPr>
            <w:tcW w:w="1096" w:type="dxa"/>
            <w:tcBorders>
              <w:top w:val="single" w:sz="4" w:space="0" w:color="auto"/>
              <w:left w:val="nil"/>
              <w:bottom w:val="single" w:sz="4" w:space="0" w:color="auto"/>
              <w:right w:val="single" w:sz="4" w:space="0" w:color="auto"/>
            </w:tcBorders>
            <w:shd w:val="clear" w:color="auto" w:fill="C6EFCE"/>
            <w:noWrap/>
          </w:tcPr>
          <w:p w14:paraId="27DF46D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3BAE4F7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292C925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2DF7710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966" w:type="dxa"/>
            <w:tcBorders>
              <w:top w:val="single" w:sz="4" w:space="0" w:color="auto"/>
              <w:left w:val="nil"/>
              <w:bottom w:val="single" w:sz="4" w:space="0" w:color="auto"/>
              <w:right w:val="single" w:sz="4" w:space="0" w:color="auto"/>
            </w:tcBorders>
            <w:shd w:val="clear" w:color="auto" w:fill="C6EFCE"/>
            <w:noWrap/>
          </w:tcPr>
          <w:p w14:paraId="08B79CF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070E7D64"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Mjerom se potiču ulaganja mikro, malih i srednjih poduzeća u nove tehnologije, nabavu suvremenih strojeva i opreme te povećanje proizvodnog i uslužnog kapaciteta, kao i mjere za zelenu tranziciju (kao što su zelene tehnologije, poslovni modeli koji se temelje na kružnom gospodarstvu, obnovljivi izvori energije, energetska učinkovitost).</w:t>
            </w:r>
            <w:r>
              <w:rPr>
                <w:rFonts w:ascii="Calibri" w:hAnsi="Calibri"/>
                <w:noProof/>
                <w:color w:val="000000"/>
                <w:sz w:val="20"/>
              </w:rPr>
              <w:br/>
              <w:t xml:space="preserve">Mjerom se neće poduprijeti ulaganja u postrojenja obuhvaćena EU-ovim sustavom za trgovanje emisijama (ETS). </w:t>
            </w:r>
            <w:r>
              <w:rPr>
                <w:rFonts w:ascii="Calibri" w:hAnsi="Calibri"/>
                <w:noProof/>
                <w:color w:val="000000"/>
                <w:sz w:val="20"/>
              </w:rPr>
              <w:br/>
              <w:t>Mjera se sastoji od četiriju financijskih instrumenata:</w:t>
            </w:r>
            <w:r>
              <w:rPr>
                <w:rFonts w:ascii="Calibri" w:hAnsi="Calibri"/>
                <w:noProof/>
                <w:color w:val="000000"/>
                <w:sz w:val="20"/>
              </w:rPr>
              <w:br/>
              <w:t>1) izravnih mikrokredita HAMAG BICRO-a u iznosu do 100 000 EUR za poduzeća koja imaju otežan pristup kreditima komercijalnih banaka –  tim se financijskim instrumentom upravlja odvojeno od drugih instrumenata HAMAG BICRO-a kako bi se osiguralo da se sva neiskorištena sredstva ili povrat sredstava iz tog instrumenta, putem povrata kapitala, upotrijebe u slične svrhe i pod istim uvjetima prihvatljivosti u pogledu utjecaja na okoliš;</w:t>
            </w:r>
            <w:r>
              <w:rPr>
                <w:rFonts w:ascii="Calibri" w:hAnsi="Calibri"/>
                <w:noProof/>
                <w:color w:val="000000"/>
                <w:sz w:val="20"/>
              </w:rPr>
              <w:br/>
              <w:t>2) izravnih zajmova Hrvatske banke za obnovu i razvitak (HBOR) u iznosu od preko 100 000 EUR za posebne ciljne skupine kao što su novoosnovana poduzeća, mladi poduzetnici, žene poduzetnice, ulaganja u područja u nepovoljnom položaju te u istraživanje, razvoj i inovacije, koji zbog većeg stupnja rizika nemaju pristup bankarskom financiranju. Tim se financijskim instrumentom upravlja odvojeno od drugih instrumenata HBOR-a kako bi se osiguralo da se sva neiskorištena sredstva ili povrat sredstava iz tog instrumenta, putem povrata kapitala, upotrijebe u slične svrhe i pod istim uvjetima prihvatljivosti u pogledu utjecaja na okoliš;</w:t>
            </w:r>
            <w:r>
              <w:rPr>
                <w:rFonts w:ascii="Calibri" w:hAnsi="Calibri"/>
                <w:noProof/>
                <w:color w:val="000000"/>
                <w:sz w:val="20"/>
              </w:rPr>
              <w:br/>
            </w:r>
            <w:r>
              <w:rPr>
                <w:rFonts w:ascii="Calibri" w:hAnsi="Calibri"/>
                <w:noProof/>
                <w:color w:val="000000"/>
                <w:sz w:val="20"/>
              </w:rPr>
              <w:br/>
              <w:t>3) subvencija kamatnih stopa HAMAG BICRO-a za kreditiranje mikro, malih i srednjih poduzeća koja se koriste postojećim jamstvenim instrumentima HAMAG BICRO-a;</w:t>
            </w:r>
            <w:r>
              <w:rPr>
                <w:rFonts w:ascii="Calibri" w:hAnsi="Calibri"/>
                <w:noProof/>
                <w:color w:val="000000"/>
                <w:sz w:val="20"/>
              </w:rPr>
              <w:br/>
              <w:t>4) subvencija kamatnih stopa HBOR-a za kreditiranje mikro, malih i srednjih poduzeća koja se koriste postojećim programima zajmova HBOR-a.</w:t>
            </w:r>
            <w:r>
              <w:rPr>
                <w:rFonts w:ascii="Calibri" w:hAnsi="Calibri"/>
                <w:noProof/>
                <w:color w:val="000000"/>
                <w:sz w:val="20"/>
              </w:rPr>
              <w:br/>
            </w:r>
            <w:r>
              <w:rPr>
                <w:rFonts w:ascii="Calibri" w:hAnsi="Calibri"/>
                <w:noProof/>
                <w:color w:val="000000"/>
                <w:sz w:val="20"/>
              </w:rPr>
              <w:br/>
              <w:t>Za projekte koji doprinose zelenoj tranziciji predviđeni su povoljniji uvjeti kreditiranja nego za projekte koji nisu usmjereni na zelenu tranziciju.</w:t>
            </w:r>
            <w:r>
              <w:rPr>
                <w:rFonts w:ascii="Calibri" w:hAnsi="Calibri"/>
                <w:noProof/>
                <w:color w:val="000000"/>
                <w:sz w:val="20"/>
              </w:rPr>
              <w:br/>
              <w:t>Kombiniranje tih financijskih instrumenata s financiranjem iz drugih izvora EU-a ili nacionalnih izvora dopušteno je ako nema dvostrukog financiranja ulaganja.</w:t>
            </w:r>
            <w:r>
              <w:rPr>
                <w:rFonts w:ascii="Calibri" w:hAnsi="Calibri"/>
                <w:noProof/>
                <w:color w:val="000000"/>
                <w:sz w:val="20"/>
              </w:rPr>
              <w:br/>
              <w:t>Politikom ulaganja za sva ta četiri financijska instrumenta osigurat će da transakcije podržane u okviru ove mjere budu usklađene s Tehničkim smjernicama za primjenu načela nenanošenja bitne štete (2021/C58/01) primjenom testa održivosti, popisa neprihvatljivih aktivnosti i ulaganja zahtjevom u pogledu usklađenosti s relevantnim EU-ovim i nacionalnim propisima o okolišu.</w:t>
            </w:r>
            <w:r>
              <w:rPr>
                <w:rFonts w:ascii="Calibri" w:hAnsi="Calibri"/>
                <w:noProof/>
                <w:color w:val="000000"/>
                <w:sz w:val="20"/>
              </w:rPr>
              <w:br/>
              <w:t xml:space="preserve">Od ukupnog iznosa mjere: </w:t>
            </w:r>
            <w:r>
              <w:rPr>
                <w:rFonts w:ascii="Calibri" w:hAnsi="Calibri"/>
                <w:noProof/>
                <w:color w:val="000000"/>
                <w:sz w:val="20"/>
              </w:rPr>
              <w:br/>
              <w:t xml:space="preserve">i. minimalno 27 898 772 EUR bit će dodijeljeno za potporu ekološki prihvatljivim proizvodnim procesima i resursnoj učinkovitosti u MSP-ovima, s očekivanjem da će minimalno 11 128 934 EUR biti namijenjeno smanjenju stakleničkih plinova; </w:t>
            </w:r>
            <w:r>
              <w:rPr>
                <w:rFonts w:ascii="Calibri" w:hAnsi="Calibri"/>
                <w:noProof/>
                <w:color w:val="000000"/>
                <w:sz w:val="20"/>
              </w:rPr>
              <w:br/>
              <w:t xml:space="preserve">ii. 23 199 509 EUR bit će namijenjeno za pomoć MSP-ovima u digitalizaciji njihova poslovanja; </w:t>
            </w:r>
            <w:r>
              <w:rPr>
                <w:rFonts w:ascii="Calibri" w:hAnsi="Calibri"/>
                <w:noProof/>
                <w:color w:val="000000"/>
                <w:sz w:val="20"/>
              </w:rPr>
              <w:br/>
              <w:t xml:space="preserve">iii. 94 896 808 EUR bit će namijenjeno za ulaganja za jačanje konkurentnosti i otpornosti. </w:t>
            </w:r>
          </w:p>
        </w:tc>
      </w:tr>
      <w:tr w:rsidR="00733DCA" w:rsidRPr="008F2258" w14:paraId="39E314FE"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EFA52B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17</w:t>
            </w:r>
          </w:p>
        </w:tc>
        <w:tc>
          <w:tcPr>
            <w:tcW w:w="833" w:type="dxa"/>
            <w:tcBorders>
              <w:top w:val="single" w:sz="4" w:space="0" w:color="auto"/>
              <w:left w:val="nil"/>
              <w:bottom w:val="single" w:sz="4" w:space="0" w:color="auto"/>
              <w:right w:val="single" w:sz="4" w:space="0" w:color="auto"/>
            </w:tcBorders>
            <w:shd w:val="clear" w:color="auto" w:fill="C6EFCE"/>
            <w:noWrap/>
          </w:tcPr>
          <w:p w14:paraId="34446F41"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R4-I2</w:t>
            </w:r>
          </w:p>
        </w:tc>
        <w:tc>
          <w:tcPr>
            <w:tcW w:w="806" w:type="dxa"/>
            <w:tcBorders>
              <w:top w:val="single" w:sz="4" w:space="0" w:color="auto"/>
              <w:left w:val="nil"/>
              <w:bottom w:val="single" w:sz="4" w:space="0" w:color="auto"/>
              <w:right w:val="single" w:sz="4" w:space="0" w:color="auto"/>
            </w:tcBorders>
            <w:shd w:val="clear" w:color="auto" w:fill="C6EFCE"/>
            <w:noWrap/>
          </w:tcPr>
          <w:p w14:paraId="406CE79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2CFDFAB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Krediti/subvencije kamatnih stopa mikro, malim i srednjim poduzećima</w:t>
            </w:r>
          </w:p>
        </w:tc>
        <w:tc>
          <w:tcPr>
            <w:tcW w:w="1555" w:type="dxa"/>
            <w:tcBorders>
              <w:top w:val="single" w:sz="4" w:space="0" w:color="auto"/>
              <w:left w:val="nil"/>
              <w:bottom w:val="single" w:sz="4" w:space="0" w:color="auto"/>
              <w:right w:val="single" w:sz="4" w:space="0" w:color="auto"/>
            </w:tcBorders>
            <w:shd w:val="clear" w:color="auto" w:fill="C6EFCE"/>
            <w:noWrap/>
          </w:tcPr>
          <w:p w14:paraId="26888E1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5FC0882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78346B6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0E0843F4"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800</w:t>
            </w:r>
          </w:p>
        </w:tc>
        <w:tc>
          <w:tcPr>
            <w:tcW w:w="868" w:type="dxa"/>
            <w:tcBorders>
              <w:top w:val="single" w:sz="4" w:space="0" w:color="auto"/>
              <w:left w:val="nil"/>
              <w:bottom w:val="single" w:sz="4" w:space="0" w:color="auto"/>
              <w:right w:val="single" w:sz="4" w:space="0" w:color="auto"/>
            </w:tcBorders>
            <w:shd w:val="clear" w:color="auto" w:fill="C6EFCE"/>
            <w:noWrap/>
          </w:tcPr>
          <w:p w14:paraId="6E23A7B4"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68E589D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48E5FB3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HAMAG BICRO pruža 800 kredita/subvencija kamatnih stopa mikro, malim i srednjim poduzećima u skladu s ulagačkom politikom i kriterijima prihvatljivosti definiranima u ključnoj etapi 16.   </w:t>
            </w:r>
            <w:r>
              <w:rPr>
                <w:rFonts w:ascii="Calibri" w:hAnsi="Calibri"/>
                <w:noProof/>
                <w:color w:val="000000"/>
                <w:sz w:val="20"/>
              </w:rPr>
              <w:br/>
            </w:r>
            <w:r>
              <w:rPr>
                <w:rFonts w:ascii="Calibri" w:hAnsi="Calibri"/>
                <w:noProof/>
                <w:color w:val="000000"/>
                <w:sz w:val="20"/>
              </w:rPr>
              <w:br/>
              <w:t xml:space="preserve"> </w:t>
            </w:r>
          </w:p>
        </w:tc>
      </w:tr>
      <w:tr w:rsidR="00733DCA" w:rsidRPr="008F2258" w14:paraId="0AE7B1E9"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7A92DF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18</w:t>
            </w:r>
          </w:p>
        </w:tc>
        <w:tc>
          <w:tcPr>
            <w:tcW w:w="833" w:type="dxa"/>
            <w:tcBorders>
              <w:top w:val="single" w:sz="4" w:space="0" w:color="auto"/>
              <w:left w:val="nil"/>
              <w:bottom w:val="single" w:sz="4" w:space="0" w:color="auto"/>
              <w:right w:val="single" w:sz="4" w:space="0" w:color="auto"/>
            </w:tcBorders>
            <w:shd w:val="clear" w:color="auto" w:fill="C6EFCE"/>
            <w:noWrap/>
          </w:tcPr>
          <w:p w14:paraId="1055207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R4-I2</w:t>
            </w:r>
          </w:p>
        </w:tc>
        <w:tc>
          <w:tcPr>
            <w:tcW w:w="806" w:type="dxa"/>
            <w:tcBorders>
              <w:top w:val="single" w:sz="4" w:space="0" w:color="auto"/>
              <w:left w:val="nil"/>
              <w:bottom w:val="single" w:sz="4" w:space="0" w:color="auto"/>
              <w:right w:val="single" w:sz="4" w:space="0" w:color="auto"/>
            </w:tcBorders>
            <w:shd w:val="clear" w:color="auto" w:fill="C6EFCE"/>
            <w:noWrap/>
          </w:tcPr>
          <w:p w14:paraId="2CCB56D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0FD029C4"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Krediti/subvencije kamatnih stopa mikro, malim i srednjim poduzećima</w:t>
            </w:r>
          </w:p>
        </w:tc>
        <w:tc>
          <w:tcPr>
            <w:tcW w:w="1555" w:type="dxa"/>
            <w:tcBorders>
              <w:top w:val="single" w:sz="4" w:space="0" w:color="auto"/>
              <w:left w:val="nil"/>
              <w:bottom w:val="single" w:sz="4" w:space="0" w:color="auto"/>
              <w:right w:val="single" w:sz="4" w:space="0" w:color="auto"/>
            </w:tcBorders>
            <w:shd w:val="clear" w:color="auto" w:fill="C6EFCE"/>
            <w:noWrap/>
          </w:tcPr>
          <w:p w14:paraId="3FDEF0A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66C26C0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4BB798C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5D6C8EF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500</w:t>
            </w:r>
          </w:p>
        </w:tc>
        <w:tc>
          <w:tcPr>
            <w:tcW w:w="868" w:type="dxa"/>
            <w:tcBorders>
              <w:top w:val="single" w:sz="4" w:space="0" w:color="auto"/>
              <w:left w:val="nil"/>
              <w:bottom w:val="single" w:sz="4" w:space="0" w:color="auto"/>
              <w:right w:val="single" w:sz="4" w:space="0" w:color="auto"/>
            </w:tcBorders>
            <w:shd w:val="clear" w:color="auto" w:fill="C6EFCE"/>
            <w:noWrap/>
          </w:tcPr>
          <w:p w14:paraId="28B4711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2D6277E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359E09B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HBOR pruža 500 kredita/subvencija kamatnih stopa mikro, malim i srednjim poduzećima u skladu s ulagačkom politikom i kriterijima prihvatljivosti definiranima u ključnoj etapi 16.   </w:t>
            </w:r>
          </w:p>
        </w:tc>
      </w:tr>
      <w:tr w:rsidR="00733DCA" w:rsidRPr="008F2258" w14:paraId="69C74C2C"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5A0F7D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19</w:t>
            </w:r>
          </w:p>
        </w:tc>
        <w:tc>
          <w:tcPr>
            <w:tcW w:w="833" w:type="dxa"/>
            <w:tcBorders>
              <w:top w:val="single" w:sz="4" w:space="0" w:color="auto"/>
              <w:left w:val="nil"/>
              <w:bottom w:val="single" w:sz="4" w:space="0" w:color="auto"/>
              <w:right w:val="single" w:sz="4" w:space="0" w:color="auto"/>
            </w:tcBorders>
            <w:shd w:val="clear" w:color="auto" w:fill="C6EFCE"/>
            <w:noWrap/>
          </w:tcPr>
          <w:p w14:paraId="3B517FF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R4-I3</w:t>
            </w:r>
          </w:p>
        </w:tc>
        <w:tc>
          <w:tcPr>
            <w:tcW w:w="806" w:type="dxa"/>
            <w:tcBorders>
              <w:top w:val="single" w:sz="4" w:space="0" w:color="auto"/>
              <w:left w:val="nil"/>
              <w:bottom w:val="single" w:sz="4" w:space="0" w:color="auto"/>
              <w:right w:val="single" w:sz="4" w:space="0" w:color="auto"/>
            </w:tcBorders>
            <w:shd w:val="clear" w:color="auto" w:fill="C6EFCE"/>
            <w:noWrap/>
          </w:tcPr>
          <w:p w14:paraId="40A65CA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493C4DAD"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Uspostava financijskog instrumenta radi poticanja ulaganja poduzeća srednje tržišne kapitalizacije i velikih poduzeća</w:t>
            </w:r>
          </w:p>
        </w:tc>
        <w:tc>
          <w:tcPr>
            <w:tcW w:w="1555" w:type="dxa"/>
            <w:tcBorders>
              <w:top w:val="single" w:sz="4" w:space="0" w:color="auto"/>
              <w:left w:val="nil"/>
              <w:bottom w:val="single" w:sz="4" w:space="0" w:color="auto"/>
              <w:right w:val="single" w:sz="4" w:space="0" w:color="auto"/>
            </w:tcBorders>
            <w:shd w:val="clear" w:color="auto" w:fill="C6EFCE"/>
            <w:noWrap/>
          </w:tcPr>
          <w:p w14:paraId="297CC0BD"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Objavljen sporazum između nadležnog ministarstva (MINGOR ili MINFIN) i HBOR-a za pružanje povoljnih (poticajnih) uvjeta financiranja i izdavanja jamstava za ulaganja i obrtna sredstva nužna za provedbu ulaganja i/ili povećanje opsega poslovanja gospodarskih subjekta. </w:t>
            </w:r>
          </w:p>
        </w:tc>
        <w:tc>
          <w:tcPr>
            <w:tcW w:w="1096" w:type="dxa"/>
            <w:tcBorders>
              <w:top w:val="single" w:sz="4" w:space="0" w:color="auto"/>
              <w:left w:val="nil"/>
              <w:bottom w:val="single" w:sz="4" w:space="0" w:color="auto"/>
              <w:right w:val="single" w:sz="4" w:space="0" w:color="auto"/>
            </w:tcBorders>
            <w:shd w:val="clear" w:color="auto" w:fill="C6EFCE"/>
            <w:noWrap/>
          </w:tcPr>
          <w:p w14:paraId="31FAD2C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7E75C88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079ADCE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5B1864B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966" w:type="dxa"/>
            <w:tcBorders>
              <w:top w:val="single" w:sz="4" w:space="0" w:color="auto"/>
              <w:left w:val="nil"/>
              <w:bottom w:val="single" w:sz="4" w:space="0" w:color="auto"/>
              <w:right w:val="single" w:sz="4" w:space="0" w:color="auto"/>
            </w:tcBorders>
            <w:shd w:val="clear" w:color="auto" w:fill="C6EFCE"/>
            <w:noWrap/>
          </w:tcPr>
          <w:p w14:paraId="51DC135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02E01661"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Osnovat će se novi krovni jamstveni fond usmjeren na poduzeća srednje tržišne kapitalizacije i velika poduzeća radi izdavanja jamstava za kredite za ulaganja i kredite za obrtna sredstva nužna za provedbu ulaganja i rast poslovanja poduzeća srednje tržišne kapitalizacije i velikih poduzeća. Ukupna dodijeljena sredstva za krovni jamstveni fond iznosit će 79 633 685 EUR.</w:t>
            </w:r>
            <w:r>
              <w:rPr>
                <w:rFonts w:ascii="Calibri" w:hAnsi="Calibri"/>
                <w:noProof/>
                <w:color w:val="000000"/>
                <w:sz w:val="20"/>
              </w:rPr>
              <w:br/>
              <w:t>Sva neiskorištena sredstva ili povrat sredstava iz tog instrumenta, putem povrata kapitala, upotrebljavaju se u slične svrhe i pod istim uvjetima prihvatljivosti u pogledu utjecaja na okoliš.</w:t>
            </w:r>
            <w:r>
              <w:rPr>
                <w:rFonts w:ascii="Calibri" w:hAnsi="Calibri"/>
                <w:noProof/>
                <w:color w:val="000000"/>
                <w:sz w:val="20"/>
              </w:rPr>
              <w:br/>
              <w:t>Osnovan je fond subvencija za kamate na odobrene zajmove i naknade/premije izdane za poduzeća srednje tržišne kapitalizacije i velika poduzeća, s ukupnim dodijeljenim iznosom od 26 544 562 EUR radi poticanja novih ulaganja i rasta poslovanja.</w:t>
            </w:r>
            <w:r>
              <w:rPr>
                <w:rFonts w:ascii="Calibri" w:hAnsi="Calibri"/>
                <w:noProof/>
                <w:color w:val="000000"/>
                <w:sz w:val="20"/>
              </w:rPr>
              <w:br/>
            </w:r>
            <w:r>
              <w:rPr>
                <w:rFonts w:ascii="Calibri" w:hAnsi="Calibri"/>
                <w:noProof/>
                <w:color w:val="000000"/>
                <w:sz w:val="20"/>
              </w:rPr>
              <w:br/>
              <w:t xml:space="preserve">Predložene mjere uključuju suradnju s financijskim posrednicima (bankama i poduzećima za leasing) kako bi se postigla snažnija aktivnost u privatnom sektoru. </w:t>
            </w:r>
            <w:r>
              <w:rPr>
                <w:rFonts w:ascii="Calibri" w:hAnsi="Calibri"/>
                <w:noProof/>
                <w:color w:val="000000"/>
                <w:sz w:val="20"/>
              </w:rPr>
              <w:br/>
              <w:t>Ta dva financijska instrumenta osigurat će da transakcije podržane u okviru ove mjere budu usklađene s Tehničkim smjernicama za primjenu načela nenanošenja bitne štete (2021/C58/01) primjenom testa održivosti, popisa neprihvatljivih aktivnosti i ulaganja zahtjevom u pogledu usklađenosti s relevantnim EU-ovim i nacionalnim propisima o okolišu.</w:t>
            </w:r>
            <w:r>
              <w:rPr>
                <w:rFonts w:ascii="Calibri" w:hAnsi="Calibri"/>
                <w:noProof/>
                <w:color w:val="000000"/>
                <w:sz w:val="20"/>
              </w:rPr>
              <w:br/>
              <w:t>Mjerom se neće poduprijeti ulaganja u postrojenja obuhvaćena EU-ovim sustavom za trgovanje emisijama (ETS).</w:t>
            </w:r>
            <w:r>
              <w:rPr>
                <w:rFonts w:ascii="Calibri" w:hAnsi="Calibri"/>
                <w:noProof/>
                <w:color w:val="000000"/>
                <w:sz w:val="20"/>
              </w:rPr>
              <w:br/>
              <w:t xml:space="preserve">Korisnici koji su u prethodnoj financijskoj godini ostvarili više od 10 % svojih prihoda od aktivnosti ili imovine s popisa neprihvatljivih aktivnosti i ulaganja donose i objavljuju planove za zelenu tranziciju. </w:t>
            </w:r>
            <w:r>
              <w:rPr>
                <w:rFonts w:ascii="Calibri" w:hAnsi="Calibri"/>
                <w:noProof/>
                <w:color w:val="000000"/>
                <w:sz w:val="20"/>
              </w:rPr>
              <w:br/>
              <w:t xml:space="preserve">Od ukupnog iznosa mjere: </w:t>
            </w:r>
            <w:r>
              <w:rPr>
                <w:rFonts w:ascii="Calibri" w:hAnsi="Calibri"/>
                <w:noProof/>
                <w:color w:val="000000"/>
                <w:sz w:val="20"/>
              </w:rPr>
              <w:br/>
              <w:t xml:space="preserve">i. minimalno 26 544 562 EUR bit će dodijeljeno za potporu ekološki prihvatljivim proizvodnim procesima i resursnoj učinkovitosti poduzeća srednje tržišne kapitalizacije i velikih poduzeća, s očekivanjem da će minimalno 10 617 824 EUR biti namijenjeno smanjenju stakleničkih plinova; </w:t>
            </w:r>
            <w:r>
              <w:rPr>
                <w:rFonts w:ascii="Calibri" w:hAnsi="Calibri"/>
                <w:noProof/>
                <w:color w:val="000000"/>
                <w:sz w:val="20"/>
              </w:rPr>
              <w:br/>
              <w:t>ii. 79 633 685 EUR bit će namijenjeno za ulaganja za jačanje konkurentnosti i otpornosti.</w:t>
            </w:r>
          </w:p>
        </w:tc>
      </w:tr>
      <w:tr w:rsidR="00733DCA" w:rsidRPr="008F2258" w14:paraId="1471D281"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DC2120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w:t>
            </w:r>
          </w:p>
        </w:tc>
        <w:tc>
          <w:tcPr>
            <w:tcW w:w="833" w:type="dxa"/>
            <w:tcBorders>
              <w:top w:val="single" w:sz="4" w:space="0" w:color="auto"/>
              <w:left w:val="nil"/>
              <w:bottom w:val="single" w:sz="4" w:space="0" w:color="auto"/>
              <w:right w:val="single" w:sz="4" w:space="0" w:color="auto"/>
            </w:tcBorders>
            <w:shd w:val="clear" w:color="auto" w:fill="C6EFCE"/>
            <w:noWrap/>
          </w:tcPr>
          <w:p w14:paraId="393A391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R4-I3</w:t>
            </w:r>
          </w:p>
        </w:tc>
        <w:tc>
          <w:tcPr>
            <w:tcW w:w="806" w:type="dxa"/>
            <w:tcBorders>
              <w:top w:val="single" w:sz="4" w:space="0" w:color="auto"/>
              <w:left w:val="nil"/>
              <w:bottom w:val="single" w:sz="4" w:space="0" w:color="auto"/>
              <w:right w:val="single" w:sz="4" w:space="0" w:color="auto"/>
            </w:tcBorders>
            <w:shd w:val="clear" w:color="auto" w:fill="C6EFCE"/>
            <w:noWrap/>
          </w:tcPr>
          <w:p w14:paraId="09ACD0B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45CFE082" w14:textId="624E1966"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themeColor="text1"/>
                <w:sz w:val="20"/>
              </w:rPr>
              <w:t>Broj odobrenih projekata u poduzećima srednje tržišne kapitalizacije i velikim poduzećima</w:t>
            </w:r>
          </w:p>
        </w:tc>
        <w:tc>
          <w:tcPr>
            <w:tcW w:w="1555" w:type="dxa"/>
            <w:tcBorders>
              <w:top w:val="single" w:sz="4" w:space="0" w:color="auto"/>
              <w:left w:val="nil"/>
              <w:bottom w:val="single" w:sz="4" w:space="0" w:color="auto"/>
              <w:right w:val="single" w:sz="4" w:space="0" w:color="auto"/>
            </w:tcBorders>
            <w:shd w:val="clear" w:color="auto" w:fill="C6EFCE"/>
            <w:noWrap/>
          </w:tcPr>
          <w:p w14:paraId="52E4C7D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DD49E6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50CD16C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66EFAFD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150</w:t>
            </w:r>
          </w:p>
        </w:tc>
        <w:tc>
          <w:tcPr>
            <w:tcW w:w="868" w:type="dxa"/>
            <w:tcBorders>
              <w:top w:val="single" w:sz="4" w:space="0" w:color="auto"/>
              <w:left w:val="nil"/>
              <w:bottom w:val="single" w:sz="4" w:space="0" w:color="auto"/>
              <w:right w:val="single" w:sz="4" w:space="0" w:color="auto"/>
            </w:tcBorders>
            <w:shd w:val="clear" w:color="auto" w:fill="C6EFCE"/>
            <w:noWrap/>
          </w:tcPr>
          <w:p w14:paraId="1439223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6EE1AB4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6273EDA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Najmanje 150 projekata (u ukupnom iznosu od najmanje 331 807 021 EUR) poduzeća srednje tržišne kapitalizacije i velikih poduzeća primilo je jamstva/subvencije iz RRF-a iz jamstvenog fonda za ulaganja i obrtna sredstva za projekte u skladu s ulagačkom politikom i kriterijima prihvatljivosti u okviru odgovarajuće ključne etape </w:t>
            </w:r>
          </w:p>
        </w:tc>
      </w:tr>
      <w:tr w:rsidR="00733DCA" w:rsidRPr="008F2258" w14:paraId="4343CDBA"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DA54B5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21</w:t>
            </w:r>
          </w:p>
        </w:tc>
        <w:tc>
          <w:tcPr>
            <w:tcW w:w="833" w:type="dxa"/>
            <w:tcBorders>
              <w:top w:val="single" w:sz="4" w:space="0" w:color="auto"/>
              <w:left w:val="nil"/>
              <w:bottom w:val="single" w:sz="4" w:space="0" w:color="auto"/>
              <w:right w:val="single" w:sz="4" w:space="0" w:color="auto"/>
            </w:tcBorders>
            <w:shd w:val="clear" w:color="auto" w:fill="C6EFCE"/>
            <w:noWrap/>
          </w:tcPr>
          <w:p w14:paraId="7949514D"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R4-I4</w:t>
            </w:r>
          </w:p>
        </w:tc>
        <w:tc>
          <w:tcPr>
            <w:tcW w:w="806" w:type="dxa"/>
            <w:tcBorders>
              <w:top w:val="single" w:sz="4" w:space="0" w:color="auto"/>
              <w:left w:val="nil"/>
              <w:bottom w:val="single" w:sz="4" w:space="0" w:color="auto"/>
              <w:right w:val="single" w:sz="4" w:space="0" w:color="auto"/>
            </w:tcBorders>
            <w:shd w:val="clear" w:color="auto" w:fill="C6EFCE"/>
            <w:noWrap/>
          </w:tcPr>
          <w:p w14:paraId="0CC0F66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61BA8C63"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Uspostava financijskog instrumenta za povoljnije financiranje javnih subjekata</w:t>
            </w:r>
          </w:p>
        </w:tc>
        <w:tc>
          <w:tcPr>
            <w:tcW w:w="1555" w:type="dxa"/>
            <w:tcBorders>
              <w:top w:val="single" w:sz="4" w:space="0" w:color="auto"/>
              <w:left w:val="nil"/>
              <w:bottom w:val="single" w:sz="4" w:space="0" w:color="auto"/>
              <w:right w:val="single" w:sz="4" w:space="0" w:color="auto"/>
            </w:tcBorders>
            <w:shd w:val="clear" w:color="auto" w:fill="C6EFCE"/>
            <w:noWrap/>
          </w:tcPr>
          <w:p w14:paraId="4CA8952B"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Sporazum između nadležnog ministarstva (MINGOR ili MINFIN) i HBOR-a koji sadržava kriterije prihvatljivosti i usklađenosti aktivnosti i korisnika mjera </w:t>
            </w:r>
          </w:p>
        </w:tc>
        <w:tc>
          <w:tcPr>
            <w:tcW w:w="1096" w:type="dxa"/>
            <w:tcBorders>
              <w:top w:val="single" w:sz="4" w:space="0" w:color="auto"/>
              <w:left w:val="nil"/>
              <w:bottom w:val="single" w:sz="4" w:space="0" w:color="auto"/>
              <w:right w:val="single" w:sz="4" w:space="0" w:color="auto"/>
            </w:tcBorders>
            <w:shd w:val="clear" w:color="auto" w:fill="C6EFCE"/>
            <w:noWrap/>
          </w:tcPr>
          <w:p w14:paraId="7A6F7F5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22751BF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01BE102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737D3CB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269029C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03A09A1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Financijska potpora društvima i ustanovama u vlasništvu države ili jedinica lokalne i regionalne uprave s povoljnim uvjetima za poticanje ulaganja: i. u nužnu gospodarsku, komunalnu, prometnu i socijalnu infrastrukturu te ii. ulaganja u nove tehnologije i sustave nužne za povećanje učinkovitosti subjekata javnog sektora, a sve s ciljem poboljšanja kvalitete javnih usluga i smanjenja troškova financiranja javnog sektora. </w:t>
            </w:r>
            <w:r>
              <w:rPr>
                <w:rFonts w:ascii="Calibri" w:hAnsi="Calibri"/>
                <w:noProof/>
                <w:color w:val="000000"/>
                <w:sz w:val="20"/>
              </w:rPr>
              <w:br/>
              <w:t>Mjera uključuje i ulaganja u projekte zelene tranzicije javnog sektora, kao što je primjena zelenih tehnologija, kružnih poslovnih modela, energije iz obnovljivih izvora i energetske učinkovitosti.</w:t>
            </w:r>
            <w:r>
              <w:rPr>
                <w:rFonts w:ascii="Calibri" w:hAnsi="Calibri"/>
                <w:noProof/>
                <w:color w:val="000000"/>
                <w:sz w:val="20"/>
              </w:rPr>
              <w:br/>
              <w:t>Financijskim instrumentima osigurat će se da korisnici koji su primili potporu u okviru te mjere budu usklađeni s Tehničkim smjernicama za primjenu načela nenanošenja bitne štete (2021/C58/01) primjenom testa održivosti, zahtjeva u pogledu usklađenosti s relevantnim EU-ovim i nacionalnim propisima o okolišu i zahtjevom da korisnici koji su više od 10 % svojih prihoda u prethodnoj financijskoj godini ostvarili od aktivnosti ili imovine koji se nalaze na popisu neprihvatljivih aktivnosti i ulaganja donesu i objave planove za zelenu tranziciju.</w:t>
            </w:r>
            <w:r>
              <w:rPr>
                <w:rFonts w:ascii="Calibri" w:hAnsi="Calibri"/>
                <w:noProof/>
                <w:color w:val="000000"/>
                <w:sz w:val="20"/>
              </w:rPr>
              <w:br/>
              <w:t>Mjerom se neće poduprijeti ulaganja u postrojenja obuhvaćena EU-ovim sustavom za trgovanje emisijama (ETS).</w:t>
            </w:r>
            <w:r>
              <w:rPr>
                <w:rFonts w:ascii="Calibri" w:hAnsi="Calibri"/>
                <w:noProof/>
                <w:color w:val="000000"/>
                <w:sz w:val="20"/>
              </w:rPr>
              <w:br/>
              <w:t xml:space="preserve">Od ukupnog iznosa mjere: </w:t>
            </w:r>
            <w:r>
              <w:rPr>
                <w:rFonts w:ascii="Calibri" w:hAnsi="Calibri"/>
                <w:noProof/>
                <w:color w:val="000000"/>
                <w:sz w:val="20"/>
              </w:rPr>
              <w:br/>
              <w:t>i. minimalno 7 963 368 EUR bit će usmjereno na potporu ekološki prihvatljivim proizvodnim procesima, s očekivanjem da će minimalno 3 185 347 EUR biti namijenjeno smanjenju stakleničkih plinova; ii. 18 581 193 EUR bit će usmjereno na ulaganja namijenjena jačanju održivosti i kvalitete infrastrukture. Ta raspodjela sredstava definira se ugovorom s HBOR-om, ali i u ugovorima s financijskim posrednicima (bankama i poduzećima za leasing).</w:t>
            </w:r>
          </w:p>
        </w:tc>
      </w:tr>
      <w:tr w:rsidR="00733DCA" w:rsidRPr="008F2258" w14:paraId="58D7F969"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B3837F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22</w:t>
            </w:r>
          </w:p>
        </w:tc>
        <w:tc>
          <w:tcPr>
            <w:tcW w:w="833" w:type="dxa"/>
            <w:tcBorders>
              <w:top w:val="single" w:sz="4" w:space="0" w:color="auto"/>
              <w:left w:val="nil"/>
              <w:bottom w:val="single" w:sz="4" w:space="0" w:color="auto"/>
              <w:right w:val="single" w:sz="4" w:space="0" w:color="auto"/>
            </w:tcBorders>
            <w:shd w:val="clear" w:color="auto" w:fill="C6EFCE"/>
            <w:noWrap/>
          </w:tcPr>
          <w:p w14:paraId="56C76E3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R4-I4</w:t>
            </w:r>
          </w:p>
        </w:tc>
        <w:tc>
          <w:tcPr>
            <w:tcW w:w="806" w:type="dxa"/>
            <w:tcBorders>
              <w:top w:val="single" w:sz="4" w:space="0" w:color="auto"/>
              <w:left w:val="nil"/>
              <w:bottom w:val="single" w:sz="4" w:space="0" w:color="auto"/>
              <w:right w:val="single" w:sz="4" w:space="0" w:color="auto"/>
            </w:tcBorders>
            <w:shd w:val="clear" w:color="auto" w:fill="C6EFCE"/>
            <w:noWrap/>
          </w:tcPr>
          <w:p w14:paraId="3BDD423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32426EA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Odobreni krediti za projekte javnog sektora</w:t>
            </w:r>
          </w:p>
        </w:tc>
        <w:tc>
          <w:tcPr>
            <w:tcW w:w="1555" w:type="dxa"/>
            <w:tcBorders>
              <w:top w:val="single" w:sz="4" w:space="0" w:color="auto"/>
              <w:left w:val="nil"/>
              <w:bottom w:val="single" w:sz="4" w:space="0" w:color="auto"/>
              <w:right w:val="single" w:sz="4" w:space="0" w:color="auto"/>
            </w:tcBorders>
            <w:shd w:val="clear" w:color="auto" w:fill="C6EFCE"/>
            <w:noWrap/>
          </w:tcPr>
          <w:p w14:paraId="399BF6B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F55134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6DD1CFE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2522B35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132 722 808</w:t>
            </w:r>
          </w:p>
        </w:tc>
        <w:tc>
          <w:tcPr>
            <w:tcW w:w="868" w:type="dxa"/>
            <w:tcBorders>
              <w:top w:val="single" w:sz="4" w:space="0" w:color="auto"/>
              <w:left w:val="nil"/>
              <w:bottom w:val="single" w:sz="4" w:space="0" w:color="auto"/>
              <w:right w:val="single" w:sz="4" w:space="0" w:color="auto"/>
            </w:tcBorders>
            <w:shd w:val="clear" w:color="auto" w:fill="C6EFCE"/>
            <w:noWrap/>
          </w:tcPr>
          <w:p w14:paraId="3F467DA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0E4F24D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0D463124"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Subvencionirani zajmovi HBOR-a u iznosu od najmanje 132 722 808 EUR za projekte javnog sektora u skladu s politikom ulaganja i kriterijima prihvatljivosti u okviru ključne etape 21.</w:t>
            </w:r>
          </w:p>
        </w:tc>
      </w:tr>
      <w:tr w:rsidR="00733DCA" w:rsidRPr="008F2258" w14:paraId="2B964209"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08807F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23</w:t>
            </w:r>
          </w:p>
        </w:tc>
        <w:tc>
          <w:tcPr>
            <w:tcW w:w="833" w:type="dxa"/>
            <w:tcBorders>
              <w:top w:val="single" w:sz="4" w:space="0" w:color="auto"/>
              <w:left w:val="nil"/>
              <w:bottom w:val="single" w:sz="4" w:space="0" w:color="auto"/>
              <w:right w:val="single" w:sz="4" w:space="0" w:color="auto"/>
            </w:tcBorders>
            <w:shd w:val="clear" w:color="auto" w:fill="C6EFCE"/>
            <w:noWrap/>
          </w:tcPr>
          <w:p w14:paraId="2DA73C6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R5-I1</w:t>
            </w:r>
          </w:p>
        </w:tc>
        <w:tc>
          <w:tcPr>
            <w:tcW w:w="806" w:type="dxa"/>
            <w:tcBorders>
              <w:top w:val="single" w:sz="4" w:space="0" w:color="auto"/>
              <w:left w:val="nil"/>
              <w:bottom w:val="single" w:sz="4" w:space="0" w:color="auto"/>
              <w:right w:val="single" w:sz="4" w:space="0" w:color="auto"/>
            </w:tcBorders>
            <w:shd w:val="clear" w:color="auto" w:fill="C6EFCE"/>
            <w:noWrap/>
          </w:tcPr>
          <w:p w14:paraId="03C4AD4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2B378A2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Stvaranje instrumenta vlasničkog i kvazivlasničkog financiranja (privatni vlasnički kapital) </w:t>
            </w:r>
          </w:p>
        </w:tc>
        <w:tc>
          <w:tcPr>
            <w:tcW w:w="1555" w:type="dxa"/>
            <w:tcBorders>
              <w:top w:val="single" w:sz="4" w:space="0" w:color="auto"/>
              <w:left w:val="nil"/>
              <w:bottom w:val="single" w:sz="4" w:space="0" w:color="auto"/>
              <w:right w:val="single" w:sz="4" w:space="0" w:color="auto"/>
            </w:tcBorders>
            <w:shd w:val="clear" w:color="auto" w:fill="C6EFCE"/>
            <w:noWrap/>
          </w:tcPr>
          <w:p w14:paraId="0CBBD77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Objavljen sporazum između nadležnog ministarstva (MINGOR ili MINFIN) i HBOR-a za ulaganja u fondove poduzetničkog kapitala, povećanje postojećih fondova privatnog vlasničkog kapitala razvijenih u suradnji s EIF-om i/ili razvoj novih fondova i/ili su-ulaganja</w:t>
            </w:r>
          </w:p>
        </w:tc>
        <w:tc>
          <w:tcPr>
            <w:tcW w:w="1096" w:type="dxa"/>
            <w:tcBorders>
              <w:top w:val="single" w:sz="4" w:space="0" w:color="auto"/>
              <w:left w:val="nil"/>
              <w:bottom w:val="single" w:sz="4" w:space="0" w:color="auto"/>
              <w:right w:val="single" w:sz="4" w:space="0" w:color="auto"/>
            </w:tcBorders>
            <w:shd w:val="clear" w:color="auto" w:fill="C6EFCE"/>
            <w:noWrap/>
          </w:tcPr>
          <w:p w14:paraId="1D455C74"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08F8836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40D658F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7A1FE54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34ACB88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6130E38B"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Kao dio postojeće suradnje s EIF-om, HBOR će uspostaviti financijski instrument namijenjen povećanju ili dosezanju maksimalne veličine fondova vlasničkog kapitala i fondova rizičnog kapitala koji djeluju na hrvatskom tržištu te osnivanju novih fondova i/ili su-ulaganja. </w:t>
            </w:r>
            <w:r>
              <w:rPr>
                <w:rFonts w:ascii="Calibri" w:hAnsi="Calibri"/>
                <w:noProof/>
                <w:color w:val="000000"/>
                <w:sz w:val="20"/>
              </w:rPr>
              <w:br/>
              <w:t xml:space="preserve">Fondovi privatnog vlasničkog i poduzetničkog kapitala osnivaju se sa sudjelovanjem 30 % privatnih ulagača u odnosu na ciljanu veličinu pojedinačnog fonda. </w:t>
            </w:r>
            <w:r>
              <w:rPr>
                <w:rFonts w:ascii="Calibri" w:hAnsi="Calibri"/>
                <w:noProof/>
                <w:color w:val="000000"/>
                <w:sz w:val="20"/>
              </w:rPr>
              <w:br/>
              <w:t>Financijskim instrumentima osigurat će se da korisnici koji su primili potporu u okviru te mjere budu usklađeni s Tehničkim smjernicama za primjenu načela nenanošenja bitne štete (2021/C58/01) primjenom testa održivosti, zahtjeva u pogledu usklađenosti s relevantnim EU-ovim i nacionalnim propisima o okolišu i zahtjevom da korisnici koji su više od 10 % svojih prihoda u prethodnoj financijskoj godini ostvarili od aktivnosti ili imovine koji se nalaze na popisu neprihvatljivih aktivnosti i ulaganja donesu i objave plan za zelenu tranziciju.</w:t>
            </w:r>
            <w:r>
              <w:rPr>
                <w:rFonts w:ascii="Calibri" w:hAnsi="Calibri"/>
                <w:noProof/>
                <w:color w:val="000000"/>
                <w:sz w:val="20"/>
              </w:rPr>
              <w:br/>
              <w:t>Mjerom se neće poduprijeti ulaganja u postrojenja obuhvaćena EU-ovim sustavom za trgovanje emisijama (ETS).</w:t>
            </w:r>
            <w:r>
              <w:rPr>
                <w:rFonts w:ascii="Calibri" w:hAnsi="Calibri"/>
                <w:noProof/>
                <w:color w:val="000000"/>
                <w:sz w:val="20"/>
              </w:rPr>
              <w:br/>
              <w:t>Sve su aktivnosti usmjerene na financijski održive projekte, čiju financijsku održivost određuju društva za upravljanje fondovima u skladu s ulagačkim politikama koje utvrđuju EIF i HBOR. Pri provedbi ulaganja HBOR osigurava da se sredstva koriste u skladu s ograničenjima opisanima u opisu mjere i popisu neprihvatljivih aktivnosti i ulaganja navedenom u financijskom instrumentu za MSP-ove, poduzeća srednje tržišne kapitalizacije i velika poduzeća.</w:t>
            </w:r>
          </w:p>
        </w:tc>
      </w:tr>
      <w:tr w:rsidR="00733DCA" w:rsidRPr="008F2258" w14:paraId="2E1CDD75"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E70146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24</w:t>
            </w:r>
          </w:p>
        </w:tc>
        <w:tc>
          <w:tcPr>
            <w:tcW w:w="833" w:type="dxa"/>
            <w:tcBorders>
              <w:top w:val="single" w:sz="4" w:space="0" w:color="auto"/>
              <w:left w:val="nil"/>
              <w:bottom w:val="single" w:sz="4" w:space="0" w:color="auto"/>
              <w:right w:val="single" w:sz="4" w:space="0" w:color="auto"/>
            </w:tcBorders>
            <w:shd w:val="clear" w:color="auto" w:fill="C6EFCE"/>
            <w:noWrap/>
          </w:tcPr>
          <w:p w14:paraId="6CCAC78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R5-I1</w:t>
            </w:r>
          </w:p>
        </w:tc>
        <w:tc>
          <w:tcPr>
            <w:tcW w:w="806" w:type="dxa"/>
            <w:tcBorders>
              <w:top w:val="single" w:sz="4" w:space="0" w:color="auto"/>
              <w:left w:val="nil"/>
              <w:bottom w:val="single" w:sz="4" w:space="0" w:color="auto"/>
              <w:right w:val="single" w:sz="4" w:space="0" w:color="auto"/>
            </w:tcBorders>
            <w:shd w:val="clear" w:color="auto" w:fill="C6EFCE"/>
            <w:noWrap/>
          </w:tcPr>
          <w:p w14:paraId="3A5523F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6F509A4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Ulaganje u instrumente vlasničkog i kvazivlasničkog financiranja</w:t>
            </w:r>
          </w:p>
        </w:tc>
        <w:tc>
          <w:tcPr>
            <w:tcW w:w="1555" w:type="dxa"/>
            <w:tcBorders>
              <w:top w:val="single" w:sz="4" w:space="0" w:color="auto"/>
              <w:left w:val="nil"/>
              <w:bottom w:val="single" w:sz="4" w:space="0" w:color="auto"/>
              <w:right w:val="single" w:sz="4" w:space="0" w:color="auto"/>
            </w:tcBorders>
            <w:shd w:val="clear" w:color="auto" w:fill="C6EFCE"/>
            <w:noWrap/>
          </w:tcPr>
          <w:p w14:paraId="023CA6A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6BD272D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038C8CF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42085E4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xml:space="preserve">29 862 632 </w:t>
            </w:r>
          </w:p>
        </w:tc>
        <w:tc>
          <w:tcPr>
            <w:tcW w:w="868" w:type="dxa"/>
            <w:tcBorders>
              <w:top w:val="single" w:sz="4" w:space="0" w:color="auto"/>
              <w:left w:val="nil"/>
              <w:bottom w:val="single" w:sz="4" w:space="0" w:color="auto"/>
              <w:right w:val="single" w:sz="4" w:space="0" w:color="auto"/>
            </w:tcBorders>
            <w:shd w:val="clear" w:color="auto" w:fill="C6EFCE"/>
            <w:noWrap/>
          </w:tcPr>
          <w:p w14:paraId="5616C53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42993BA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0B93547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Provedeno ulaganje od 29 862 632 EUR u vlasničke i/ili kvazivlasničke fondove privatnog vlasničkog ili poduzetničkog kapitala ili su-ulaganje s fondovima, u skladu s ulagačkom politikom i kriterijima prihvatljivosti definiranima u ključnoj etapi 23.</w:t>
            </w:r>
          </w:p>
        </w:tc>
      </w:tr>
      <w:tr w:rsidR="00733DCA" w:rsidRPr="008F2258" w14:paraId="16DC0015"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468A52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25</w:t>
            </w:r>
          </w:p>
        </w:tc>
        <w:tc>
          <w:tcPr>
            <w:tcW w:w="833" w:type="dxa"/>
            <w:tcBorders>
              <w:top w:val="single" w:sz="4" w:space="0" w:color="auto"/>
              <w:left w:val="nil"/>
              <w:bottom w:val="single" w:sz="4" w:space="0" w:color="auto"/>
              <w:right w:val="single" w:sz="4" w:space="0" w:color="auto"/>
            </w:tcBorders>
            <w:shd w:val="clear" w:color="auto" w:fill="C6EFCE"/>
            <w:noWrap/>
          </w:tcPr>
          <w:p w14:paraId="5D938B6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R6</w:t>
            </w:r>
          </w:p>
        </w:tc>
        <w:tc>
          <w:tcPr>
            <w:tcW w:w="806" w:type="dxa"/>
            <w:tcBorders>
              <w:top w:val="single" w:sz="4" w:space="0" w:color="auto"/>
              <w:left w:val="nil"/>
              <w:bottom w:val="single" w:sz="4" w:space="0" w:color="auto"/>
              <w:right w:val="single" w:sz="4" w:space="0" w:color="auto"/>
            </w:tcBorders>
            <w:shd w:val="clear" w:color="auto" w:fill="C6EFCE"/>
            <w:noWrap/>
          </w:tcPr>
          <w:p w14:paraId="0056B80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19DF537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Izmjene pravnog okvira</w:t>
            </w:r>
          </w:p>
        </w:tc>
        <w:tc>
          <w:tcPr>
            <w:tcW w:w="1555" w:type="dxa"/>
            <w:tcBorders>
              <w:top w:val="single" w:sz="4" w:space="0" w:color="auto"/>
              <w:left w:val="nil"/>
              <w:bottom w:val="single" w:sz="4" w:space="0" w:color="auto"/>
              <w:right w:val="single" w:sz="4" w:space="0" w:color="auto"/>
            </w:tcBorders>
            <w:shd w:val="clear" w:color="auto" w:fill="C6EFCE"/>
            <w:noWrap/>
          </w:tcPr>
          <w:p w14:paraId="2792C5EB"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Stupanje na snagu Zakona o elektroničkim medijima i Zakona o autorskom pravu i srodnim pravima                                                              </w:t>
            </w:r>
          </w:p>
        </w:tc>
        <w:tc>
          <w:tcPr>
            <w:tcW w:w="1096" w:type="dxa"/>
            <w:tcBorders>
              <w:top w:val="single" w:sz="4" w:space="0" w:color="auto"/>
              <w:left w:val="nil"/>
              <w:bottom w:val="single" w:sz="4" w:space="0" w:color="auto"/>
              <w:right w:val="single" w:sz="4" w:space="0" w:color="auto"/>
            </w:tcBorders>
            <w:shd w:val="clear" w:color="auto" w:fill="C6EFCE"/>
            <w:noWrap/>
          </w:tcPr>
          <w:p w14:paraId="44BF929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0468263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2A8FDB8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6BE4F2E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4947583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51111192"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Izmjenama Zakona o elektroničkim medijima i Zakon o autorskom pravu i srodnim pravima podržat će se poduzeća u kulturnom i kreativnom sektoru u prilagodbi poslovanja jedinstvenom digitalnom tržištu i novom regulatornom okviru na razini EU-a i RH, čime će se ojačati kapacitet za prilagodbu i brzu transformaciju za nove uvjete poslovanja, postići konkurentnost te iskoristiti potencijal tržišta. </w:t>
            </w:r>
          </w:p>
        </w:tc>
      </w:tr>
      <w:tr w:rsidR="00733DCA" w:rsidRPr="008F2258" w14:paraId="6EFFC362"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0FBEAA4"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26</w:t>
            </w:r>
          </w:p>
        </w:tc>
        <w:tc>
          <w:tcPr>
            <w:tcW w:w="833" w:type="dxa"/>
            <w:tcBorders>
              <w:top w:val="single" w:sz="4" w:space="0" w:color="auto"/>
              <w:left w:val="nil"/>
              <w:bottom w:val="single" w:sz="4" w:space="0" w:color="auto"/>
              <w:right w:val="single" w:sz="4" w:space="0" w:color="auto"/>
            </w:tcBorders>
            <w:shd w:val="clear" w:color="auto" w:fill="C6EFCE"/>
            <w:noWrap/>
          </w:tcPr>
          <w:p w14:paraId="2B65543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R6-I1</w:t>
            </w:r>
          </w:p>
        </w:tc>
        <w:tc>
          <w:tcPr>
            <w:tcW w:w="806" w:type="dxa"/>
            <w:tcBorders>
              <w:top w:val="single" w:sz="4" w:space="0" w:color="auto"/>
              <w:left w:val="nil"/>
              <w:bottom w:val="single" w:sz="4" w:space="0" w:color="auto"/>
              <w:right w:val="single" w:sz="4" w:space="0" w:color="auto"/>
            </w:tcBorders>
            <w:shd w:val="clear" w:color="auto" w:fill="C6EFCE"/>
            <w:noWrap/>
          </w:tcPr>
          <w:p w14:paraId="695CBC7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25B7E094"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Ulaganja u transformaciju i jačanje konkurentnosti kulturnih i kreativnih industrija </w:t>
            </w:r>
          </w:p>
        </w:tc>
        <w:tc>
          <w:tcPr>
            <w:tcW w:w="1555" w:type="dxa"/>
            <w:tcBorders>
              <w:top w:val="single" w:sz="4" w:space="0" w:color="auto"/>
              <w:left w:val="nil"/>
              <w:bottom w:val="single" w:sz="4" w:space="0" w:color="auto"/>
              <w:right w:val="single" w:sz="4" w:space="0" w:color="auto"/>
            </w:tcBorders>
            <w:shd w:val="clear" w:color="auto" w:fill="C6EFCE"/>
            <w:noWrap/>
          </w:tcPr>
          <w:p w14:paraId="1A2F471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2C6EF1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44CFD00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736C61A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868" w:type="dxa"/>
            <w:tcBorders>
              <w:top w:val="single" w:sz="4" w:space="0" w:color="auto"/>
              <w:left w:val="nil"/>
              <w:bottom w:val="single" w:sz="4" w:space="0" w:color="auto"/>
              <w:right w:val="single" w:sz="4" w:space="0" w:color="auto"/>
            </w:tcBorders>
            <w:shd w:val="clear" w:color="auto" w:fill="C6EFCE"/>
            <w:noWrap/>
          </w:tcPr>
          <w:p w14:paraId="1FEA231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7451462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6CFE333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Najmanje 100 mjera potpore odobrenih mikro, malim i srednjim poduzećima te drugim pravnim i fizičkim osobama (u području kulturnog i kreativnog sektora, što obuhvaća arhitekturu, audiovizualne aktivnosti uključujući videoigre, medije, baštinu, dizajn, izvedbene umjetnosti, knjige i izdavaštvo, primijenjene i vizualne umjetnosti) kako bi se im se olakšala prilagodba novom regulatornom i zakonodavnom okviru jedinstvenog digitalnog tržišta te stvaranje, promicanje i distribucija novih inovativnih proizvoda i usluga.</w:t>
            </w:r>
            <w:r>
              <w:rPr>
                <w:rFonts w:ascii="Calibri" w:hAnsi="Calibri"/>
                <w:noProof/>
                <w:color w:val="000000"/>
                <w:sz w:val="20"/>
              </w:rPr>
              <w:br/>
            </w:r>
            <w:r>
              <w:rPr>
                <w:rFonts w:ascii="Calibri" w:hAnsi="Calibri"/>
                <w:noProof/>
                <w:color w:val="000000"/>
                <w:sz w:val="20"/>
              </w:rPr>
              <w:br/>
              <w:t xml:space="preserve"> </w:t>
            </w:r>
          </w:p>
        </w:tc>
      </w:tr>
      <w:tr w:rsidR="00733DCA" w:rsidRPr="008F2258" w14:paraId="14CD003B"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4F770E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27</w:t>
            </w:r>
          </w:p>
        </w:tc>
        <w:tc>
          <w:tcPr>
            <w:tcW w:w="833" w:type="dxa"/>
            <w:tcBorders>
              <w:top w:val="single" w:sz="4" w:space="0" w:color="auto"/>
              <w:left w:val="nil"/>
              <w:bottom w:val="single" w:sz="4" w:space="0" w:color="auto"/>
              <w:right w:val="single" w:sz="4" w:space="0" w:color="auto"/>
            </w:tcBorders>
            <w:shd w:val="clear" w:color="auto" w:fill="C6EFCE"/>
            <w:noWrap/>
          </w:tcPr>
          <w:p w14:paraId="03B4045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C1.1.1. R6-I2</w:t>
            </w:r>
          </w:p>
        </w:tc>
        <w:tc>
          <w:tcPr>
            <w:tcW w:w="806" w:type="dxa"/>
            <w:tcBorders>
              <w:top w:val="single" w:sz="4" w:space="0" w:color="auto"/>
              <w:left w:val="nil"/>
              <w:bottom w:val="single" w:sz="4" w:space="0" w:color="auto"/>
              <w:right w:val="single" w:sz="4" w:space="0" w:color="auto"/>
            </w:tcBorders>
            <w:shd w:val="clear" w:color="auto" w:fill="C6EFCE"/>
            <w:noWrap/>
          </w:tcPr>
          <w:p w14:paraId="2C17926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1F58BC4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Uspostava sustava za provjeru činjenica</w:t>
            </w:r>
          </w:p>
        </w:tc>
        <w:tc>
          <w:tcPr>
            <w:tcW w:w="1555" w:type="dxa"/>
            <w:tcBorders>
              <w:top w:val="single" w:sz="4" w:space="0" w:color="auto"/>
              <w:left w:val="nil"/>
              <w:bottom w:val="single" w:sz="4" w:space="0" w:color="auto"/>
              <w:right w:val="single" w:sz="4" w:space="0" w:color="auto"/>
            </w:tcBorders>
            <w:shd w:val="clear" w:color="auto" w:fill="C6EFCE"/>
            <w:noWrap/>
          </w:tcPr>
          <w:p w14:paraId="2A3CE75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Uspostavljen sustav za provjeru činjenica</w:t>
            </w:r>
          </w:p>
        </w:tc>
        <w:tc>
          <w:tcPr>
            <w:tcW w:w="1096" w:type="dxa"/>
            <w:tcBorders>
              <w:top w:val="single" w:sz="4" w:space="0" w:color="auto"/>
              <w:left w:val="nil"/>
              <w:bottom w:val="single" w:sz="4" w:space="0" w:color="auto"/>
              <w:right w:val="single" w:sz="4" w:space="0" w:color="auto"/>
            </w:tcBorders>
            <w:shd w:val="clear" w:color="auto" w:fill="C6EFCE"/>
            <w:noWrap/>
          </w:tcPr>
          <w:p w14:paraId="7D83906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3B47A82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470B511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1831ABA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4493F60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7B52066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Radi suzbijanja dezinformacije Agencija za elektroničke medije uspostavit će sustav za provjeru medijskih činjenica uključujući izradu procedura i pravila, uspostavu registara te jačanje kapaciteta digitalnih kompetencija provjeravatelja činjenica, kao i razvoj tehnoloških programa, platforma i sustava komunikacije s medijima i stvaranje baze podataka.</w:t>
            </w:r>
            <w:r>
              <w:rPr>
                <w:rFonts w:ascii="Calibri" w:hAnsi="Calibri"/>
                <w:noProof/>
                <w:color w:val="000000"/>
                <w:sz w:val="20"/>
              </w:rPr>
              <w:br/>
              <w:t>Agencija za elektroničke medije uspostavit će bazu podataka i sustav objave vlasničkih struktura i izvora financiranja, uključujući izradu registra obveznika i osiguranje svih potrebnih tehničkih preduvjeta koji će omogućiti svim medijima da na jednostavan i učinkovit način ispune svoje obveze.</w:t>
            </w:r>
          </w:p>
        </w:tc>
      </w:tr>
      <w:tr w:rsidR="00733DCA" w:rsidRPr="008F2258" w14:paraId="0DA26E44"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78E845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28</w:t>
            </w:r>
          </w:p>
        </w:tc>
        <w:tc>
          <w:tcPr>
            <w:tcW w:w="833" w:type="dxa"/>
            <w:tcBorders>
              <w:top w:val="single" w:sz="4" w:space="0" w:color="auto"/>
              <w:left w:val="nil"/>
              <w:bottom w:val="single" w:sz="4" w:space="0" w:color="auto"/>
              <w:right w:val="single" w:sz="4" w:space="0" w:color="auto"/>
            </w:tcBorders>
            <w:shd w:val="clear" w:color="auto" w:fill="C6EFCE"/>
            <w:noWrap/>
          </w:tcPr>
          <w:p w14:paraId="5176E9B2"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R1</w:t>
            </w:r>
          </w:p>
        </w:tc>
        <w:tc>
          <w:tcPr>
            <w:tcW w:w="806" w:type="dxa"/>
            <w:tcBorders>
              <w:top w:val="single" w:sz="4" w:space="0" w:color="auto"/>
              <w:left w:val="nil"/>
              <w:bottom w:val="single" w:sz="4" w:space="0" w:color="auto"/>
              <w:right w:val="single" w:sz="4" w:space="0" w:color="auto"/>
            </w:tcBorders>
            <w:shd w:val="clear" w:color="auto" w:fill="C6EFCE"/>
            <w:noWrap/>
          </w:tcPr>
          <w:p w14:paraId="59F03C7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00" w:type="dxa"/>
            <w:tcBorders>
              <w:top w:val="single" w:sz="4" w:space="0" w:color="auto"/>
              <w:left w:val="nil"/>
              <w:bottom w:val="single" w:sz="4" w:space="0" w:color="auto"/>
              <w:right w:val="single" w:sz="4" w:space="0" w:color="auto"/>
            </w:tcBorders>
            <w:shd w:val="clear" w:color="auto" w:fill="C6EFCE"/>
            <w:noWrap/>
          </w:tcPr>
          <w:p w14:paraId="704B684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Izmjene pravnog okvira za poticaje u području istraživanja i razvoja</w:t>
            </w:r>
          </w:p>
        </w:tc>
        <w:tc>
          <w:tcPr>
            <w:tcW w:w="1555" w:type="dxa"/>
            <w:tcBorders>
              <w:top w:val="single" w:sz="4" w:space="0" w:color="auto"/>
              <w:left w:val="nil"/>
              <w:bottom w:val="single" w:sz="4" w:space="0" w:color="auto"/>
              <w:right w:val="single" w:sz="4" w:space="0" w:color="auto"/>
            </w:tcBorders>
            <w:shd w:val="clear" w:color="auto" w:fill="C6EFCE"/>
            <w:noWrap/>
          </w:tcPr>
          <w:p w14:paraId="17ED6D74"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Stupanje na snagu izmjena Zakona o državnoj potpori za istraživačko-razvojne projekte </w:t>
            </w:r>
          </w:p>
        </w:tc>
        <w:tc>
          <w:tcPr>
            <w:tcW w:w="1096" w:type="dxa"/>
            <w:tcBorders>
              <w:top w:val="single" w:sz="4" w:space="0" w:color="auto"/>
              <w:left w:val="nil"/>
              <w:bottom w:val="single" w:sz="4" w:space="0" w:color="auto"/>
              <w:right w:val="single" w:sz="4" w:space="0" w:color="auto"/>
            </w:tcBorders>
            <w:shd w:val="clear" w:color="auto" w:fill="C6EFCE"/>
            <w:noWrap/>
          </w:tcPr>
          <w:p w14:paraId="0A8CAB0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5189BB4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458" w:type="dxa"/>
            <w:tcBorders>
              <w:top w:val="single" w:sz="4" w:space="0" w:color="auto"/>
              <w:left w:val="nil"/>
              <w:bottom w:val="single" w:sz="4" w:space="0" w:color="auto"/>
              <w:right w:val="single" w:sz="4" w:space="0" w:color="auto"/>
            </w:tcBorders>
            <w:shd w:val="clear" w:color="auto" w:fill="C6EFCE"/>
            <w:noWrap/>
          </w:tcPr>
          <w:p w14:paraId="2BE2722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29430AF4"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0C080DF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2C0D19C5"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Radi povećanja broja poduzeća koja ulažu u istraživanje i razvoj i povećanja privatnog ulaganja u istraživanje i razvoj stupit će na snagu izmjene pravnog okvira za porezne poticaje za istraživanje i razvoj. Izmjene Zakona o državnim potporama provest će se na temelju analize primjerenosti i učinkovitosti aktualnog sustava poreznih olakšica i uključivat će relevantne dionike, u prvom redu MINFIN i Poreznu upravu. MINGOR će pripremiti zakonske izmjene i predati ih u parlamentarnu proceduru.</w:t>
            </w:r>
          </w:p>
        </w:tc>
      </w:tr>
      <w:tr w:rsidR="00733DCA" w:rsidRPr="008F2258" w14:paraId="7E6C9A44"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B6CD60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29</w:t>
            </w:r>
          </w:p>
        </w:tc>
        <w:tc>
          <w:tcPr>
            <w:tcW w:w="833" w:type="dxa"/>
            <w:tcBorders>
              <w:top w:val="single" w:sz="4" w:space="0" w:color="auto"/>
              <w:left w:val="nil"/>
              <w:bottom w:val="single" w:sz="4" w:space="0" w:color="auto"/>
              <w:right w:val="single" w:sz="4" w:space="0" w:color="auto"/>
            </w:tcBorders>
            <w:shd w:val="clear" w:color="auto" w:fill="C6EFCE"/>
            <w:noWrap/>
          </w:tcPr>
          <w:p w14:paraId="095CCF8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R2-I2</w:t>
            </w:r>
          </w:p>
        </w:tc>
        <w:tc>
          <w:tcPr>
            <w:tcW w:w="806" w:type="dxa"/>
            <w:tcBorders>
              <w:top w:val="single" w:sz="4" w:space="0" w:color="auto"/>
              <w:left w:val="nil"/>
              <w:bottom w:val="single" w:sz="4" w:space="0" w:color="auto"/>
              <w:right w:val="single" w:sz="4" w:space="0" w:color="auto"/>
            </w:tcBorders>
            <w:shd w:val="clear" w:color="auto" w:fill="C6EFCE"/>
            <w:noWrap/>
          </w:tcPr>
          <w:p w14:paraId="4891110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0046335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Potpora malim i srednjim poduzećima u jačanju upravljačkih kapaciteta </w:t>
            </w:r>
          </w:p>
        </w:tc>
        <w:tc>
          <w:tcPr>
            <w:tcW w:w="1555" w:type="dxa"/>
            <w:tcBorders>
              <w:top w:val="single" w:sz="4" w:space="0" w:color="auto"/>
              <w:left w:val="nil"/>
              <w:bottom w:val="single" w:sz="4" w:space="0" w:color="auto"/>
              <w:right w:val="single" w:sz="4" w:space="0" w:color="auto"/>
            </w:tcBorders>
            <w:shd w:val="clear" w:color="auto" w:fill="C6EFCE"/>
            <w:noWrap/>
          </w:tcPr>
          <w:p w14:paraId="202CAAF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6CA759B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6B2A7CA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57FC05B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150</w:t>
            </w:r>
          </w:p>
        </w:tc>
        <w:tc>
          <w:tcPr>
            <w:tcW w:w="868" w:type="dxa"/>
            <w:tcBorders>
              <w:top w:val="single" w:sz="4" w:space="0" w:color="auto"/>
              <w:left w:val="nil"/>
              <w:bottom w:val="single" w:sz="4" w:space="0" w:color="auto"/>
              <w:right w:val="single" w:sz="4" w:space="0" w:color="auto"/>
            </w:tcBorders>
            <w:shd w:val="clear" w:color="auto" w:fill="C6EFCE"/>
            <w:noWrap/>
          </w:tcPr>
          <w:p w14:paraId="7A74974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65DD199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6E2AE3A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Najmanje 150 malih i srednjih poduzeća primit će poduzetničku savjetodavnu potporu radi poboljšanja poslovnih planova, sposobnosti upravljanja ili individualnog poslovnog mentorstva i podučavanja u okviru programa „Ulaganje u upravljačke kapacitete MSP-ova” s ciljem poboljšanja upravljačke sposobnosti MSP-ova.</w:t>
            </w:r>
          </w:p>
        </w:tc>
      </w:tr>
      <w:tr w:rsidR="00733DCA" w:rsidRPr="008F2258" w14:paraId="6245A2B3"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76714D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30</w:t>
            </w:r>
          </w:p>
        </w:tc>
        <w:tc>
          <w:tcPr>
            <w:tcW w:w="833" w:type="dxa"/>
            <w:tcBorders>
              <w:top w:val="single" w:sz="4" w:space="0" w:color="auto"/>
              <w:left w:val="nil"/>
              <w:bottom w:val="single" w:sz="4" w:space="0" w:color="auto"/>
              <w:right w:val="single" w:sz="4" w:space="0" w:color="auto"/>
            </w:tcBorders>
            <w:shd w:val="clear" w:color="auto" w:fill="C6EFCE"/>
            <w:noWrap/>
          </w:tcPr>
          <w:p w14:paraId="3896885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R2-I3</w:t>
            </w:r>
          </w:p>
        </w:tc>
        <w:tc>
          <w:tcPr>
            <w:tcW w:w="806" w:type="dxa"/>
            <w:tcBorders>
              <w:top w:val="single" w:sz="4" w:space="0" w:color="auto"/>
              <w:left w:val="nil"/>
              <w:bottom w:val="single" w:sz="4" w:space="0" w:color="auto"/>
              <w:right w:val="single" w:sz="4" w:space="0" w:color="auto"/>
            </w:tcBorders>
            <w:shd w:val="clear" w:color="auto" w:fill="C6EFCE"/>
            <w:noWrap/>
          </w:tcPr>
          <w:p w14:paraId="01F9597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55E9ADE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Dodjela potpore za poticanje rasta novoosnovanih poduzeća u sektorima visoke tehnologije i znanja </w:t>
            </w:r>
          </w:p>
        </w:tc>
        <w:tc>
          <w:tcPr>
            <w:tcW w:w="1555" w:type="dxa"/>
            <w:tcBorders>
              <w:top w:val="single" w:sz="4" w:space="0" w:color="auto"/>
              <w:left w:val="nil"/>
              <w:bottom w:val="single" w:sz="4" w:space="0" w:color="auto"/>
              <w:right w:val="single" w:sz="4" w:space="0" w:color="auto"/>
            </w:tcBorders>
            <w:shd w:val="clear" w:color="auto" w:fill="C6EFCE"/>
            <w:noWrap/>
          </w:tcPr>
          <w:p w14:paraId="00C14CF1"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w:t>
            </w:r>
          </w:p>
        </w:tc>
        <w:tc>
          <w:tcPr>
            <w:tcW w:w="1096" w:type="dxa"/>
            <w:tcBorders>
              <w:top w:val="single" w:sz="4" w:space="0" w:color="auto"/>
              <w:left w:val="nil"/>
              <w:bottom w:val="single" w:sz="4" w:space="0" w:color="auto"/>
              <w:right w:val="single" w:sz="4" w:space="0" w:color="auto"/>
            </w:tcBorders>
            <w:shd w:val="clear" w:color="auto" w:fill="C6EFCE"/>
            <w:noWrap/>
          </w:tcPr>
          <w:p w14:paraId="12B171C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3C658F1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1F2E6CF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141</w:t>
            </w:r>
          </w:p>
        </w:tc>
        <w:tc>
          <w:tcPr>
            <w:tcW w:w="868" w:type="dxa"/>
            <w:tcBorders>
              <w:top w:val="single" w:sz="4" w:space="0" w:color="auto"/>
              <w:left w:val="nil"/>
              <w:bottom w:val="single" w:sz="4" w:space="0" w:color="auto"/>
              <w:right w:val="single" w:sz="4" w:space="0" w:color="auto"/>
            </w:tcBorders>
            <w:shd w:val="clear" w:color="auto" w:fill="C6EFCE"/>
            <w:noWrap/>
          </w:tcPr>
          <w:p w14:paraId="5317CD9F"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533830F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2DBA61C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Dodjela potpore nakon evaluacija projektnih prijedloga u okviru Poziva „Bespovratne potpore za novoosnovana poduzeća” s ciljem stimuliranja rasta novoosnovanih poduzeća u sektorima visoke tehnologije i znanja u predkomercijalnoj fazi kroz potporu razvoju proizvoda, povećanje proizvodnih kapaciteta i spremnosti za ulaganje s najmanje 141 novoosnovanom tvrtkom koja koristi dodijeljenu potporu</w:t>
            </w:r>
          </w:p>
        </w:tc>
      </w:tr>
      <w:tr w:rsidR="00733DCA" w:rsidRPr="008F2258" w14:paraId="36E7FDEE"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47F889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31</w:t>
            </w:r>
          </w:p>
        </w:tc>
        <w:tc>
          <w:tcPr>
            <w:tcW w:w="833" w:type="dxa"/>
            <w:tcBorders>
              <w:top w:val="single" w:sz="4" w:space="0" w:color="auto"/>
              <w:left w:val="nil"/>
              <w:bottom w:val="single" w:sz="4" w:space="0" w:color="auto"/>
              <w:right w:val="single" w:sz="4" w:space="0" w:color="auto"/>
            </w:tcBorders>
            <w:shd w:val="clear" w:color="auto" w:fill="C6EFCE"/>
            <w:noWrap/>
          </w:tcPr>
          <w:p w14:paraId="4BA7E158"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R2-I4</w:t>
            </w:r>
          </w:p>
        </w:tc>
        <w:tc>
          <w:tcPr>
            <w:tcW w:w="806" w:type="dxa"/>
            <w:tcBorders>
              <w:top w:val="single" w:sz="4" w:space="0" w:color="auto"/>
              <w:left w:val="nil"/>
              <w:bottom w:val="single" w:sz="4" w:space="0" w:color="auto"/>
              <w:right w:val="single" w:sz="4" w:space="0" w:color="auto"/>
            </w:tcBorders>
            <w:shd w:val="clear" w:color="auto" w:fill="C6EFCE"/>
            <w:noWrap/>
          </w:tcPr>
          <w:p w14:paraId="027CDAA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0ADD829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Podupiranje rasta novoosnovanih poduzeća uspostavom akceleracijskog programa.</w:t>
            </w:r>
          </w:p>
        </w:tc>
        <w:tc>
          <w:tcPr>
            <w:tcW w:w="1555" w:type="dxa"/>
            <w:tcBorders>
              <w:top w:val="single" w:sz="4" w:space="0" w:color="auto"/>
              <w:left w:val="nil"/>
              <w:bottom w:val="single" w:sz="4" w:space="0" w:color="auto"/>
              <w:right w:val="single" w:sz="4" w:space="0" w:color="auto"/>
            </w:tcBorders>
            <w:shd w:val="clear" w:color="auto" w:fill="C6EFCE"/>
            <w:noWrap/>
          </w:tcPr>
          <w:p w14:paraId="6EE8156D"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588AF25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6580F3E9"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1F1A23D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120</w:t>
            </w:r>
          </w:p>
        </w:tc>
        <w:tc>
          <w:tcPr>
            <w:tcW w:w="868" w:type="dxa"/>
            <w:tcBorders>
              <w:top w:val="single" w:sz="4" w:space="0" w:color="auto"/>
              <w:left w:val="nil"/>
              <w:bottom w:val="single" w:sz="4" w:space="0" w:color="auto"/>
              <w:right w:val="single" w:sz="4" w:space="0" w:color="auto"/>
            </w:tcBorders>
            <w:shd w:val="clear" w:color="auto" w:fill="C6EFCE"/>
            <w:noWrap/>
          </w:tcPr>
          <w:p w14:paraId="48DD9BB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78AA8BB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41BE26EC"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Programom akceleracije povećava se spremnost za ulaganje i podupire rast novoosnovanih poduzeća. Cilj je programa da sudionici koji završe akceleracijski ciklus postignu trogodišnju stopu preživljavanja iznad 70 %. Potporu u okviru akceleracijskog programa trebalo bi dobiti najmanje 120 novoosnovanih poduzeća.</w:t>
            </w:r>
          </w:p>
        </w:tc>
      </w:tr>
      <w:tr w:rsidR="00733DCA" w:rsidRPr="008F2258" w14:paraId="09AF6617"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D05774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32</w:t>
            </w:r>
          </w:p>
        </w:tc>
        <w:tc>
          <w:tcPr>
            <w:tcW w:w="833" w:type="dxa"/>
            <w:tcBorders>
              <w:top w:val="single" w:sz="4" w:space="0" w:color="auto"/>
              <w:left w:val="nil"/>
              <w:bottom w:val="single" w:sz="4" w:space="0" w:color="auto"/>
              <w:right w:val="single" w:sz="4" w:space="0" w:color="auto"/>
            </w:tcBorders>
            <w:shd w:val="clear" w:color="auto" w:fill="C6EFCE"/>
            <w:noWrap/>
          </w:tcPr>
          <w:p w14:paraId="55BD4371"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R2-I5</w:t>
            </w:r>
          </w:p>
        </w:tc>
        <w:tc>
          <w:tcPr>
            <w:tcW w:w="806" w:type="dxa"/>
            <w:tcBorders>
              <w:top w:val="single" w:sz="4" w:space="0" w:color="auto"/>
              <w:left w:val="nil"/>
              <w:bottom w:val="single" w:sz="4" w:space="0" w:color="auto"/>
              <w:right w:val="single" w:sz="4" w:space="0" w:color="auto"/>
            </w:tcBorders>
            <w:shd w:val="clear" w:color="auto" w:fill="C6EFCE"/>
            <w:noWrap/>
          </w:tcPr>
          <w:p w14:paraId="58D13ADD"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6DCC10F1"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Potpora projektima za komercijalizaciju inovacija</w:t>
            </w:r>
          </w:p>
        </w:tc>
        <w:tc>
          <w:tcPr>
            <w:tcW w:w="1555" w:type="dxa"/>
            <w:tcBorders>
              <w:top w:val="single" w:sz="4" w:space="0" w:color="auto"/>
              <w:left w:val="nil"/>
              <w:bottom w:val="single" w:sz="4" w:space="0" w:color="auto"/>
              <w:right w:val="single" w:sz="4" w:space="0" w:color="auto"/>
            </w:tcBorders>
            <w:shd w:val="clear" w:color="auto" w:fill="C6EFCE"/>
            <w:noWrap/>
          </w:tcPr>
          <w:p w14:paraId="48B2D38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0F69C42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6795D08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796E6B4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95</w:t>
            </w:r>
          </w:p>
        </w:tc>
        <w:tc>
          <w:tcPr>
            <w:tcW w:w="868" w:type="dxa"/>
            <w:tcBorders>
              <w:top w:val="single" w:sz="4" w:space="0" w:color="auto"/>
              <w:left w:val="nil"/>
              <w:bottom w:val="single" w:sz="4" w:space="0" w:color="auto"/>
              <w:right w:val="single" w:sz="4" w:space="0" w:color="auto"/>
            </w:tcBorders>
            <w:shd w:val="clear" w:color="auto" w:fill="C6EFCE"/>
            <w:noWrap/>
          </w:tcPr>
          <w:p w14:paraId="1C16ED5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369B2AF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79CB5CA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Dodjela potpore za najmanje 95 malih i srednjih poduzeća sa zrelim inovacijskim projektima (TRL 7 ili više) za komercijalizaciju i internacionalizaciju njihovih marketinških, prodajnih i distribucijskih aktivnosti povezanih s inovativnim proizvodom lansiranim na domaće tržište </w:t>
            </w:r>
            <w:r>
              <w:rPr>
                <w:rFonts w:ascii="Calibri" w:hAnsi="Calibri"/>
                <w:noProof/>
                <w:color w:val="000000"/>
                <w:sz w:val="20"/>
              </w:rPr>
              <w:br/>
              <w:t>Cilj je ulaganja potaknuti komercijalizaciju inovacijskih projekata za zrele projekte koji su blizu izlaska na tržište i povećati izvoz inovativnih proizvoda, usluga i tehnologija MSP-ova podržavajući stvaranje kanala prodaje i distribucije na stranim tržištima.</w:t>
            </w:r>
          </w:p>
        </w:tc>
      </w:tr>
      <w:tr w:rsidR="00733DCA" w:rsidRPr="008F2258" w14:paraId="583D5161"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8EC42F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33</w:t>
            </w:r>
          </w:p>
        </w:tc>
        <w:tc>
          <w:tcPr>
            <w:tcW w:w="833" w:type="dxa"/>
            <w:tcBorders>
              <w:top w:val="single" w:sz="4" w:space="0" w:color="auto"/>
              <w:left w:val="nil"/>
              <w:bottom w:val="single" w:sz="4" w:space="0" w:color="auto"/>
              <w:right w:val="single" w:sz="4" w:space="0" w:color="auto"/>
            </w:tcBorders>
            <w:shd w:val="clear" w:color="auto" w:fill="C6EFCE"/>
            <w:noWrap/>
          </w:tcPr>
          <w:p w14:paraId="0AD1E9E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R3-I2</w:t>
            </w:r>
          </w:p>
        </w:tc>
        <w:tc>
          <w:tcPr>
            <w:tcW w:w="806" w:type="dxa"/>
            <w:tcBorders>
              <w:top w:val="single" w:sz="4" w:space="0" w:color="auto"/>
              <w:left w:val="nil"/>
              <w:bottom w:val="single" w:sz="4" w:space="0" w:color="auto"/>
              <w:right w:val="single" w:sz="4" w:space="0" w:color="auto"/>
            </w:tcBorders>
            <w:shd w:val="clear" w:color="auto" w:fill="C6EFCE"/>
            <w:noWrap/>
          </w:tcPr>
          <w:p w14:paraId="32080E0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7A0EEFB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Bespovratna potpora u obliku vaučera </w:t>
            </w:r>
          </w:p>
        </w:tc>
        <w:tc>
          <w:tcPr>
            <w:tcW w:w="1555" w:type="dxa"/>
            <w:tcBorders>
              <w:top w:val="single" w:sz="4" w:space="0" w:color="auto"/>
              <w:left w:val="nil"/>
              <w:bottom w:val="single" w:sz="4" w:space="0" w:color="auto"/>
              <w:right w:val="single" w:sz="4" w:space="0" w:color="auto"/>
            </w:tcBorders>
            <w:shd w:val="clear" w:color="auto" w:fill="C6EFCE"/>
            <w:noWrap/>
          </w:tcPr>
          <w:p w14:paraId="2A0F4322"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68F286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5D0CA71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4974053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9 954 211</w:t>
            </w:r>
          </w:p>
        </w:tc>
        <w:tc>
          <w:tcPr>
            <w:tcW w:w="868" w:type="dxa"/>
            <w:tcBorders>
              <w:top w:val="single" w:sz="4" w:space="0" w:color="auto"/>
              <w:left w:val="nil"/>
              <w:bottom w:val="single" w:sz="4" w:space="0" w:color="auto"/>
              <w:right w:val="single" w:sz="4" w:space="0" w:color="auto"/>
            </w:tcBorders>
            <w:shd w:val="clear" w:color="auto" w:fill="C6EFCE"/>
            <w:noWrap/>
          </w:tcPr>
          <w:p w14:paraId="02F9B8C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41314B15"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1B1A3A5A"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Najmanje 500 MSP-ova primilo je potporu 9 954 211 EUR (75 000 000 HRK) u obliku vaučera za digitalizaciju. Vaučeri se dostavljaju nakon evaluacije projektnih prijedloga u okviru poziva na podnošenje prijedloga za vaučere za digitalizaciju i mogu se upotrebljavati kako bi se zaposlenicima omogućilo da poboljšaju digitalne vještine (među ostalim one povezane s tehnologijama u oblaku), testiraju održivost ideja i osmisle strategije za moguću digitalnu transformaciju, iskoriste mogućnosti digitalnog marketinga, povećaju kibersigurnost uvođenjem sigurnosnih provjera sustava ili razviju ili uvedu složene digitalne proizvode i usluge.</w:t>
            </w:r>
          </w:p>
        </w:tc>
      </w:tr>
      <w:tr w:rsidR="00733DCA" w:rsidRPr="008F2258" w14:paraId="375DFF7B"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367E967"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34</w:t>
            </w:r>
          </w:p>
        </w:tc>
        <w:tc>
          <w:tcPr>
            <w:tcW w:w="833" w:type="dxa"/>
            <w:tcBorders>
              <w:top w:val="single" w:sz="4" w:space="0" w:color="auto"/>
              <w:left w:val="nil"/>
              <w:bottom w:val="single" w:sz="4" w:space="0" w:color="auto"/>
              <w:right w:val="single" w:sz="4" w:space="0" w:color="auto"/>
            </w:tcBorders>
            <w:shd w:val="clear" w:color="auto" w:fill="C6EFCE"/>
            <w:noWrap/>
          </w:tcPr>
          <w:p w14:paraId="0471F53B"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R3-I3</w:t>
            </w:r>
          </w:p>
        </w:tc>
        <w:tc>
          <w:tcPr>
            <w:tcW w:w="806" w:type="dxa"/>
            <w:tcBorders>
              <w:top w:val="single" w:sz="4" w:space="0" w:color="auto"/>
              <w:left w:val="nil"/>
              <w:bottom w:val="single" w:sz="4" w:space="0" w:color="auto"/>
              <w:right w:val="single" w:sz="4" w:space="0" w:color="auto"/>
            </w:tcBorders>
            <w:shd w:val="clear" w:color="auto" w:fill="C6EFCE"/>
            <w:noWrap/>
          </w:tcPr>
          <w:p w14:paraId="22D97FA0"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0D01D087"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Bespovratna potpora za digitalnu transformaciju hrvatskih MSP-ova </w:t>
            </w:r>
          </w:p>
        </w:tc>
        <w:tc>
          <w:tcPr>
            <w:tcW w:w="1555" w:type="dxa"/>
            <w:tcBorders>
              <w:top w:val="single" w:sz="4" w:space="0" w:color="auto"/>
              <w:left w:val="nil"/>
              <w:bottom w:val="single" w:sz="4" w:space="0" w:color="auto"/>
              <w:right w:val="single" w:sz="4" w:space="0" w:color="auto"/>
            </w:tcBorders>
            <w:shd w:val="clear" w:color="auto" w:fill="C6EFCE"/>
            <w:noWrap/>
          </w:tcPr>
          <w:p w14:paraId="19A995C0"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9E29DE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25D04E6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435CBB0E"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27 340 899</w:t>
            </w:r>
          </w:p>
        </w:tc>
        <w:tc>
          <w:tcPr>
            <w:tcW w:w="868" w:type="dxa"/>
            <w:tcBorders>
              <w:top w:val="single" w:sz="4" w:space="0" w:color="auto"/>
              <w:left w:val="nil"/>
              <w:bottom w:val="single" w:sz="4" w:space="0" w:color="auto"/>
              <w:right w:val="single" w:sz="4" w:space="0" w:color="auto"/>
            </w:tcBorders>
            <w:shd w:val="clear" w:color="auto" w:fill="C6EFCE"/>
            <w:noWrap/>
          </w:tcPr>
          <w:p w14:paraId="5780E8A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66" w:type="dxa"/>
            <w:tcBorders>
              <w:top w:val="single" w:sz="4" w:space="0" w:color="auto"/>
              <w:left w:val="nil"/>
              <w:bottom w:val="single" w:sz="4" w:space="0" w:color="auto"/>
              <w:right w:val="single" w:sz="4" w:space="0" w:color="auto"/>
            </w:tcBorders>
            <w:shd w:val="clear" w:color="auto" w:fill="C6EFCE"/>
            <w:noWrap/>
          </w:tcPr>
          <w:p w14:paraId="076AC722"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2666231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Bespovratna potpora nakon evaluacije projektnih prijedloga u okviru poziva „Bespovratne potpore za digitalizaciju” s ciljem podržavanja digitalne transformacije hrvatskih MSP-ova pružanjem financijske potpore za uvođenje digitalnih rješenja. Najmanje 160 MSP-ova koristi dodijeljenu potporu.</w:t>
            </w:r>
            <w:r>
              <w:rPr>
                <w:rFonts w:ascii="Calibri" w:hAnsi="Calibri"/>
                <w:noProof/>
                <w:color w:val="000000"/>
                <w:sz w:val="20"/>
              </w:rPr>
              <w:br/>
              <w:t>Prihvatljivi projekt digitalizacije poslovanja uključuje sljedeće: i. uvođenje novog načina poslovanja i ii. provjerljivo poboljšanje u pogledu novih proizvodnih sposobnosti ili mogućnosti isporuke ili poslovnih praksi. Projekt mora uključivati određenu razinu inovacija i rizika i ne smije biti usredotočen na rutinske operativne promjene ili prilagodbe poslovanja zbog promjena propisa.</w:t>
            </w:r>
            <w:r>
              <w:rPr>
                <w:rFonts w:ascii="Calibri" w:hAnsi="Calibri"/>
                <w:noProof/>
                <w:color w:val="000000"/>
                <w:sz w:val="20"/>
              </w:rPr>
              <w:br/>
              <w:t>Korisnici potpore morat će dokazati da se podržanim projektima neće povećati emisije stakleničkih plinova ako je ulaganje povezano s povećanjem kapaciteta poslužitelja ili druge vrste opreme koja troši više energije od postojeće. To se može dokazati planovima za kupnju obnovljivih izvora energije, emisijskim kreditima ili na druge načine.</w:t>
            </w:r>
          </w:p>
        </w:tc>
      </w:tr>
      <w:tr w:rsidR="00733DCA" w:rsidRPr="008F2258" w14:paraId="31F0D8C6" w14:textId="77777777" w:rsidTr="00982114">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C1ED366"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35</w:t>
            </w:r>
          </w:p>
        </w:tc>
        <w:tc>
          <w:tcPr>
            <w:tcW w:w="833" w:type="dxa"/>
            <w:tcBorders>
              <w:top w:val="single" w:sz="4" w:space="0" w:color="auto"/>
              <w:left w:val="nil"/>
              <w:bottom w:val="single" w:sz="4" w:space="0" w:color="auto"/>
              <w:right w:val="single" w:sz="4" w:space="0" w:color="auto"/>
            </w:tcBorders>
            <w:shd w:val="clear" w:color="auto" w:fill="C6EFCE"/>
            <w:noWrap/>
          </w:tcPr>
          <w:p w14:paraId="35A0AEF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C1.1.2. R4-I1</w:t>
            </w:r>
          </w:p>
        </w:tc>
        <w:tc>
          <w:tcPr>
            <w:tcW w:w="806" w:type="dxa"/>
            <w:tcBorders>
              <w:top w:val="single" w:sz="4" w:space="0" w:color="auto"/>
              <w:left w:val="nil"/>
              <w:bottom w:val="single" w:sz="4" w:space="0" w:color="auto"/>
              <w:right w:val="single" w:sz="4" w:space="0" w:color="auto"/>
            </w:tcBorders>
            <w:shd w:val="clear" w:color="auto" w:fill="C6EFCE"/>
            <w:noWrap/>
          </w:tcPr>
          <w:p w14:paraId="7066364A"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00" w:type="dxa"/>
            <w:tcBorders>
              <w:top w:val="single" w:sz="4" w:space="0" w:color="auto"/>
              <w:left w:val="nil"/>
              <w:bottom w:val="single" w:sz="4" w:space="0" w:color="auto"/>
              <w:right w:val="single" w:sz="4" w:space="0" w:color="auto"/>
            </w:tcBorders>
            <w:shd w:val="clear" w:color="auto" w:fill="C6EFCE"/>
            <w:noWrap/>
          </w:tcPr>
          <w:p w14:paraId="1C3DA3EE"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Osnivanje nacionalnih centara u okviru mreže europskih digitalnoinovacijskih centara (EDIH) </w:t>
            </w:r>
          </w:p>
        </w:tc>
        <w:tc>
          <w:tcPr>
            <w:tcW w:w="1555" w:type="dxa"/>
            <w:tcBorders>
              <w:top w:val="single" w:sz="4" w:space="0" w:color="auto"/>
              <w:left w:val="nil"/>
              <w:bottom w:val="single" w:sz="4" w:space="0" w:color="auto"/>
              <w:right w:val="single" w:sz="4" w:space="0" w:color="auto"/>
            </w:tcBorders>
            <w:shd w:val="clear" w:color="auto" w:fill="C6EFCE"/>
            <w:noWrap/>
          </w:tcPr>
          <w:p w14:paraId="03C69C6F"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56BFFEC"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59" w:type="dxa"/>
            <w:tcBorders>
              <w:top w:val="single" w:sz="4" w:space="0" w:color="auto"/>
              <w:left w:val="nil"/>
              <w:bottom w:val="single" w:sz="4" w:space="0" w:color="auto"/>
              <w:right w:val="single" w:sz="4" w:space="0" w:color="auto"/>
            </w:tcBorders>
            <w:shd w:val="clear" w:color="auto" w:fill="C6EFCE"/>
            <w:noWrap/>
          </w:tcPr>
          <w:p w14:paraId="4B460A61"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458" w:type="dxa"/>
            <w:tcBorders>
              <w:top w:val="single" w:sz="4" w:space="0" w:color="auto"/>
              <w:left w:val="nil"/>
              <w:bottom w:val="single" w:sz="4" w:space="0" w:color="auto"/>
              <w:right w:val="single" w:sz="4" w:space="0" w:color="auto"/>
            </w:tcBorders>
            <w:shd w:val="clear" w:color="auto" w:fill="C6EFCE"/>
            <w:noWrap/>
          </w:tcPr>
          <w:p w14:paraId="5908F8A3"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868" w:type="dxa"/>
            <w:tcBorders>
              <w:top w:val="single" w:sz="4" w:space="0" w:color="auto"/>
              <w:left w:val="nil"/>
              <w:bottom w:val="single" w:sz="4" w:space="0" w:color="auto"/>
              <w:right w:val="single" w:sz="4" w:space="0" w:color="auto"/>
            </w:tcBorders>
            <w:shd w:val="clear" w:color="auto" w:fill="C6EFCE"/>
            <w:noWrap/>
          </w:tcPr>
          <w:p w14:paraId="48377768"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66" w:type="dxa"/>
            <w:tcBorders>
              <w:top w:val="single" w:sz="4" w:space="0" w:color="auto"/>
              <w:left w:val="nil"/>
              <w:bottom w:val="single" w:sz="4" w:space="0" w:color="auto"/>
              <w:right w:val="single" w:sz="4" w:space="0" w:color="auto"/>
            </w:tcBorders>
            <w:shd w:val="clear" w:color="auto" w:fill="C6EFCE"/>
            <w:noWrap/>
          </w:tcPr>
          <w:p w14:paraId="12ECA3BB" w14:textId="77777777" w:rsidR="00733DCA" w:rsidRPr="008F2258" w:rsidRDefault="00733DCA" w:rsidP="0001477B">
            <w:pPr>
              <w:spacing w:before="120" w:after="120" w:line="240"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1B51F356" w14:textId="77777777" w:rsidR="00733DCA" w:rsidRPr="008F2258" w:rsidRDefault="00733DCA" w:rsidP="0001477B">
            <w:pPr>
              <w:spacing w:before="120" w:after="120" w:line="240" w:lineRule="auto"/>
              <w:rPr>
                <w:rFonts w:ascii="Times New Roman" w:eastAsia="Calibri" w:hAnsi="Times New Roman" w:cs="Times New Roman"/>
                <w:noProof/>
                <w:sz w:val="20"/>
                <w:szCs w:val="20"/>
              </w:rPr>
            </w:pPr>
            <w:r>
              <w:rPr>
                <w:rFonts w:ascii="Calibri" w:hAnsi="Calibri"/>
                <w:noProof/>
                <w:color w:val="000000" w:themeColor="text1"/>
                <w:sz w:val="20"/>
              </w:rPr>
              <w:t xml:space="preserve">Najmanje tri centra u okviru mreže europskih digitalnoinovacijskih centara (EDIH) osnovana su i u funkciji te pružaju usluge MSP-ovima u područjima: i. testiranja prije ulaganja, ii. razvoja vještina i osposobljavanja, iii. pristupa financiranju i iv. umrežavanja i razvoja inovativnih ekosustava. </w:t>
            </w:r>
          </w:p>
        </w:tc>
      </w:tr>
    </w:tbl>
    <w:p w14:paraId="7FB8F60C" w14:textId="77777777" w:rsidR="00733DCA" w:rsidRPr="00BC0323" w:rsidRDefault="00733DCA" w:rsidP="0001477B">
      <w:pPr>
        <w:spacing w:before="120" w:after="120" w:line="240" w:lineRule="auto"/>
        <w:jc w:val="both"/>
        <w:rPr>
          <w:rFonts w:ascii="Times New Roman" w:eastAsia="Calibri" w:hAnsi="Times New Roman" w:cs="Times New Roman"/>
          <w:noProof/>
          <w:sz w:val="24"/>
        </w:rPr>
        <w:sectPr w:rsidR="00733DCA" w:rsidRPr="00BC0323" w:rsidSect="0001477B">
          <w:headerReference w:type="even" r:id="rId24"/>
          <w:headerReference w:type="default" r:id="rId25"/>
          <w:footerReference w:type="even" r:id="rId26"/>
          <w:footerReference w:type="default" r:id="rId27"/>
          <w:headerReference w:type="first" r:id="rId28"/>
          <w:footerReference w:type="first" r:id="rId29"/>
          <w:pgSz w:w="16839" w:h="11907" w:orient="landscape"/>
          <w:pgMar w:top="1134" w:right="1134" w:bottom="1134" w:left="1134" w:header="567" w:footer="567" w:gutter="0"/>
          <w:cols w:space="720"/>
          <w:docGrid w:linePitch="360"/>
        </w:sectPr>
      </w:pPr>
    </w:p>
    <w:p w14:paraId="75C42D8E" w14:textId="2D54ED3D" w:rsidR="00733DCA" w:rsidRDefault="36642EAB" w:rsidP="004A24A9">
      <w:pPr>
        <w:spacing w:before="120" w:after="120" w:line="240" w:lineRule="auto"/>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 xml:space="preserve">A.3. </w:t>
      </w:r>
      <w:r>
        <w:rPr>
          <w:noProof/>
        </w:rPr>
        <w:tab/>
      </w:r>
      <w:r>
        <w:rPr>
          <w:rFonts w:ascii="Times New Roman" w:hAnsi="Times New Roman"/>
          <w:b/>
          <w:noProof/>
          <w:color w:val="000000" w:themeColor="text1"/>
          <w:sz w:val="24"/>
        </w:rPr>
        <w:t xml:space="preserve">Opis reformi i ulaganja za zajam </w:t>
      </w:r>
    </w:p>
    <w:p w14:paraId="0214A2E4" w14:textId="77777777" w:rsidR="00733DCA" w:rsidRDefault="00733DCA" w:rsidP="004A24A9">
      <w:pPr>
        <w:spacing w:before="120" w:after="120" w:line="240" w:lineRule="auto"/>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 </w:t>
      </w:r>
    </w:p>
    <w:p w14:paraId="6CB9B382" w14:textId="77777777" w:rsidR="00733DCA" w:rsidRDefault="00733DCA" w:rsidP="004A24A9">
      <w:pPr>
        <w:keepNext/>
        <w:spacing w:before="120" w:line="240" w:lineRule="auto"/>
        <w:ind w:left="720"/>
        <w:jc w:val="both"/>
        <w:textAlignment w:val="baseline"/>
        <w:rPr>
          <w:rFonts w:ascii="Times New Roman" w:eastAsia="Times New Roman" w:hAnsi="Times New Roman" w:cs="Times New Roman"/>
          <w:noProof/>
          <w:sz w:val="24"/>
          <w:szCs w:val="24"/>
          <w:u w:val="single"/>
        </w:rPr>
      </w:pPr>
      <w:r>
        <w:rPr>
          <w:rFonts w:ascii="Times New Roman" w:hAnsi="Times New Roman"/>
          <w:noProof/>
          <w:sz w:val="24"/>
          <w:u w:val="single"/>
        </w:rPr>
        <w:t>Reforma C1.1.1. R5 – Diversifikacija tržišta kapitala i poboljšanje pristupa alternativnom financiranju</w:t>
      </w:r>
    </w:p>
    <w:p w14:paraId="34DB035B" w14:textId="77777777" w:rsidR="007947A4" w:rsidRPr="004A24A9" w:rsidRDefault="007947A4" w:rsidP="004A24A9">
      <w:pPr>
        <w:pStyle w:val="paragraph"/>
        <w:spacing w:before="0" w:beforeAutospacing="0" w:after="240" w:afterAutospacing="0"/>
        <w:jc w:val="both"/>
        <w:textAlignment w:val="baseline"/>
        <w:rPr>
          <w:rFonts w:ascii="Segoe UI" w:hAnsi="Segoe UI" w:cs="Segoe UI"/>
          <w:noProof/>
          <w:sz w:val="18"/>
          <w:szCs w:val="18"/>
        </w:rPr>
      </w:pPr>
      <w:r>
        <w:rPr>
          <w:rStyle w:val="normaltextrun"/>
          <w:noProof/>
        </w:rPr>
        <w:t>Cilj je te mjere stvaranje strateškog okvira i postupaka za razvoj nacionalnog tržišta kapitala. Reforma se sastoji od donošenja strategije i dva akcijska plana.</w:t>
      </w:r>
      <w:r>
        <w:rPr>
          <w:rStyle w:val="eop"/>
          <w:noProof/>
        </w:rPr>
        <w:t> </w:t>
      </w:r>
    </w:p>
    <w:p w14:paraId="511C92EC" w14:textId="77777777" w:rsidR="007947A4" w:rsidRPr="004A24A9" w:rsidRDefault="007947A4" w:rsidP="004A24A9">
      <w:pPr>
        <w:pStyle w:val="paragraph"/>
        <w:spacing w:before="0" w:beforeAutospacing="0" w:after="240" w:afterAutospacing="0"/>
        <w:jc w:val="both"/>
        <w:textAlignment w:val="baseline"/>
        <w:rPr>
          <w:rFonts w:ascii="Segoe UI" w:hAnsi="Segoe UI" w:cs="Segoe UI"/>
          <w:noProof/>
          <w:sz w:val="18"/>
          <w:szCs w:val="18"/>
        </w:rPr>
      </w:pPr>
      <w:r>
        <w:rPr>
          <w:rStyle w:val="normaltextrun"/>
          <w:noProof/>
        </w:rPr>
        <w:t>Strategija (strateški okvir za razvoj tržišta kapitala u Hrvatskoj) sadržavat će analizu stanja tržišta kapitala u Hrvatskoj u kojoj se utvrđuju glavne prepreke njegovu funkcioniranju kao alternativnog izvora financiranja i mogućnosti za njegovu diversifikaciju i razvoj. Obuhvatit će se barem sljedeći elementi:</w:t>
      </w:r>
      <w:r>
        <w:rPr>
          <w:rStyle w:val="eop"/>
          <w:noProof/>
        </w:rPr>
        <w:t> </w:t>
      </w:r>
    </w:p>
    <w:p w14:paraId="503D51E8" w14:textId="27859FCA" w:rsidR="007947A4" w:rsidRPr="004A24A9" w:rsidRDefault="007947A4" w:rsidP="202B7B01">
      <w:pPr>
        <w:pStyle w:val="paragraph"/>
        <w:numPr>
          <w:ilvl w:val="0"/>
          <w:numId w:val="64"/>
        </w:numPr>
        <w:spacing w:before="0" w:beforeAutospacing="0" w:after="0" w:afterAutospacing="0"/>
        <w:jc w:val="both"/>
        <w:textAlignment w:val="baseline"/>
        <w:rPr>
          <w:rStyle w:val="eop"/>
          <w:noProof/>
        </w:rPr>
      </w:pPr>
      <w:r>
        <w:rPr>
          <w:rStyle w:val="normaltextrun"/>
          <w:noProof/>
        </w:rPr>
        <w:t>uloga velikih institucijskih ulagača na tržištu kapitala, uključujući institucije drugog stupa (posebno obvezne mirovinske fondove i društva za mirovinsko osiguranje) i osiguravajuća društva,</w:t>
      </w:r>
      <w:r>
        <w:rPr>
          <w:rStyle w:val="eop"/>
          <w:noProof/>
        </w:rPr>
        <w:t> </w:t>
      </w:r>
    </w:p>
    <w:p w14:paraId="5B7C19E1" w14:textId="77777777" w:rsidR="007947A4" w:rsidRPr="004A24A9" w:rsidRDefault="007947A4" w:rsidP="202B7B01">
      <w:pPr>
        <w:pStyle w:val="paragraph"/>
        <w:numPr>
          <w:ilvl w:val="0"/>
          <w:numId w:val="63"/>
        </w:numPr>
        <w:spacing w:before="0" w:beforeAutospacing="0" w:after="0" w:afterAutospacing="0"/>
        <w:jc w:val="both"/>
        <w:textAlignment w:val="baseline"/>
        <w:rPr>
          <w:rStyle w:val="eop"/>
          <w:noProof/>
        </w:rPr>
      </w:pPr>
      <w:r>
        <w:rPr>
          <w:rStyle w:val="normaltextrun"/>
          <w:noProof/>
        </w:rPr>
        <w:t>veće mogućnosti i pojednostavnjenje postupaka za uvrštenje na burzu, uzimajući u obzir poduzeća u državnom vlasništvu, MSP-ove i poduzeća srednje tržišne kapitalizacije,</w:t>
      </w:r>
      <w:r>
        <w:rPr>
          <w:rStyle w:val="eop"/>
          <w:noProof/>
        </w:rPr>
        <w:t> </w:t>
      </w:r>
    </w:p>
    <w:p w14:paraId="42F9BC75" w14:textId="77777777" w:rsidR="007947A4" w:rsidRPr="004A24A9" w:rsidRDefault="007947A4" w:rsidP="202B7B01">
      <w:pPr>
        <w:pStyle w:val="paragraph"/>
        <w:numPr>
          <w:ilvl w:val="0"/>
          <w:numId w:val="62"/>
        </w:numPr>
        <w:spacing w:before="0" w:beforeAutospacing="0" w:after="0" w:afterAutospacing="0"/>
        <w:jc w:val="both"/>
        <w:textAlignment w:val="baseline"/>
        <w:rPr>
          <w:rStyle w:val="eop"/>
          <w:noProof/>
        </w:rPr>
      </w:pPr>
      <w:r>
        <w:rPr>
          <w:rStyle w:val="normaltextrun"/>
          <w:noProof/>
        </w:rPr>
        <w:t>povećanje likvidnosti, diversifikacije i prometa na tržištu kapitala, uključujući poticanje djelatnosti održavanja tržišta,</w:t>
      </w:r>
      <w:r>
        <w:rPr>
          <w:rStyle w:val="eop"/>
          <w:noProof/>
        </w:rPr>
        <w:t> </w:t>
      </w:r>
    </w:p>
    <w:p w14:paraId="01BFA7AE" w14:textId="77777777" w:rsidR="007947A4" w:rsidRPr="004A24A9" w:rsidRDefault="007947A4" w:rsidP="202B7B01">
      <w:pPr>
        <w:pStyle w:val="paragraph"/>
        <w:numPr>
          <w:ilvl w:val="0"/>
          <w:numId w:val="61"/>
        </w:numPr>
        <w:spacing w:before="0" w:beforeAutospacing="0" w:after="0" w:afterAutospacing="0"/>
        <w:jc w:val="both"/>
        <w:textAlignment w:val="baseline"/>
        <w:rPr>
          <w:rStyle w:val="eop"/>
          <w:noProof/>
        </w:rPr>
      </w:pPr>
      <w:r>
        <w:rPr>
          <w:rStyle w:val="normaltextrun"/>
          <w:noProof/>
        </w:rPr>
        <w:t>poticanje dubljeg tržišta za financijske instrumente, kao što su korporativne obveznice i državne obveznice te robne izvedenice i sekuritizacije,</w:t>
      </w:r>
      <w:r>
        <w:rPr>
          <w:rStyle w:val="eop"/>
          <w:noProof/>
        </w:rPr>
        <w:t> </w:t>
      </w:r>
    </w:p>
    <w:p w14:paraId="30906327" w14:textId="5181FAEB" w:rsidR="007947A4" w:rsidRPr="004A24A9" w:rsidRDefault="007947A4" w:rsidP="202B7B01">
      <w:pPr>
        <w:pStyle w:val="paragraph"/>
        <w:numPr>
          <w:ilvl w:val="0"/>
          <w:numId w:val="68"/>
        </w:numPr>
        <w:spacing w:before="0" w:beforeAutospacing="0" w:after="0" w:afterAutospacing="0"/>
        <w:jc w:val="both"/>
        <w:textAlignment w:val="baseline"/>
        <w:rPr>
          <w:rStyle w:val="eop"/>
          <w:noProof/>
        </w:rPr>
      </w:pPr>
      <w:r>
        <w:rPr>
          <w:rStyle w:val="normaltextrun"/>
          <w:noProof/>
        </w:rPr>
        <w:t>razvoj postojećih infrastruktura financijskog tržišta, uključujući mogućnosti za poboljšanje poslovnog modela središnje druge ugovorne strane,</w:t>
      </w:r>
      <w:r>
        <w:rPr>
          <w:rStyle w:val="eop"/>
          <w:noProof/>
        </w:rPr>
        <w:t> </w:t>
      </w:r>
    </w:p>
    <w:p w14:paraId="2E3897B4" w14:textId="5E13A1A9" w:rsidR="007947A4" w:rsidRPr="004A24A9" w:rsidRDefault="007947A4" w:rsidP="202B7B01">
      <w:pPr>
        <w:pStyle w:val="paragraph"/>
        <w:numPr>
          <w:ilvl w:val="0"/>
          <w:numId w:val="67"/>
        </w:numPr>
        <w:spacing w:before="0" w:beforeAutospacing="0" w:after="0" w:afterAutospacing="0"/>
        <w:jc w:val="both"/>
        <w:textAlignment w:val="baseline"/>
        <w:rPr>
          <w:rStyle w:val="eop"/>
          <w:noProof/>
        </w:rPr>
      </w:pPr>
      <w:r>
        <w:rPr>
          <w:rStyle w:val="normaltextrun"/>
          <w:noProof/>
        </w:rPr>
        <w:t>izmjena regulatornog okvira kako bi se bolje prilagodio cilju razvoja tržišta kapitala,</w:t>
      </w:r>
      <w:r>
        <w:rPr>
          <w:rStyle w:val="eop"/>
          <w:noProof/>
        </w:rPr>
        <w:t> </w:t>
      </w:r>
    </w:p>
    <w:p w14:paraId="4C209846" w14:textId="31B0DEDF" w:rsidR="007947A4" w:rsidRPr="004A24A9" w:rsidRDefault="007947A4" w:rsidP="202B7B01">
      <w:pPr>
        <w:pStyle w:val="paragraph"/>
        <w:numPr>
          <w:ilvl w:val="0"/>
          <w:numId w:val="66"/>
        </w:numPr>
        <w:spacing w:before="0" w:beforeAutospacing="0" w:after="0" w:afterAutospacing="0"/>
        <w:jc w:val="both"/>
        <w:textAlignment w:val="baseline"/>
        <w:rPr>
          <w:rStyle w:val="eop"/>
          <w:noProof/>
        </w:rPr>
      </w:pPr>
      <w:r>
        <w:rPr>
          <w:rStyle w:val="normaltextrun"/>
          <w:noProof/>
        </w:rPr>
        <w:t>jačanje financijske pismenosti ulagača,</w:t>
      </w:r>
      <w:r>
        <w:rPr>
          <w:rStyle w:val="eop"/>
          <w:noProof/>
        </w:rPr>
        <w:t> </w:t>
      </w:r>
    </w:p>
    <w:p w14:paraId="197EA500" w14:textId="0840FDB0" w:rsidR="007947A4" w:rsidRPr="004A24A9" w:rsidRDefault="007947A4" w:rsidP="202B7B01">
      <w:pPr>
        <w:pStyle w:val="paragraph"/>
        <w:numPr>
          <w:ilvl w:val="0"/>
          <w:numId w:val="69"/>
        </w:numPr>
        <w:spacing w:before="0" w:beforeAutospacing="0" w:after="0" w:afterAutospacing="0"/>
        <w:jc w:val="both"/>
        <w:textAlignment w:val="baseline"/>
        <w:rPr>
          <w:rStyle w:val="eop"/>
          <w:noProof/>
        </w:rPr>
      </w:pPr>
      <w:r>
        <w:rPr>
          <w:rStyle w:val="normaltextrun"/>
          <w:noProof/>
        </w:rPr>
        <w:t>jačanje okvira za održivo financiranje.</w:t>
      </w:r>
      <w:r>
        <w:rPr>
          <w:rStyle w:val="eop"/>
          <w:noProof/>
        </w:rPr>
        <w:t> </w:t>
      </w:r>
    </w:p>
    <w:p w14:paraId="2A8CB63C" w14:textId="0B4FB109" w:rsidR="007947A4" w:rsidRPr="004A24A9" w:rsidRDefault="007947A4" w:rsidP="4DEA09CF">
      <w:pPr>
        <w:pStyle w:val="paragraph"/>
        <w:spacing w:before="0" w:beforeAutospacing="0" w:after="0" w:afterAutospacing="0"/>
        <w:jc w:val="both"/>
        <w:textAlignment w:val="baseline"/>
        <w:rPr>
          <w:rFonts w:ascii="Segoe UI" w:hAnsi="Segoe UI" w:cs="Segoe UI"/>
          <w:noProof/>
          <w:sz w:val="18"/>
          <w:szCs w:val="18"/>
        </w:rPr>
      </w:pPr>
    </w:p>
    <w:p w14:paraId="7337EF57" w14:textId="77777777" w:rsidR="007947A4" w:rsidRPr="004A24A9" w:rsidRDefault="007947A4" w:rsidP="004A24A9">
      <w:pPr>
        <w:pStyle w:val="paragraph"/>
        <w:spacing w:before="0" w:beforeAutospacing="0" w:after="240" w:afterAutospacing="0"/>
        <w:jc w:val="both"/>
        <w:textAlignment w:val="baseline"/>
        <w:rPr>
          <w:rFonts w:ascii="Segoe UI" w:hAnsi="Segoe UI" w:cs="Segoe UI"/>
          <w:noProof/>
          <w:sz w:val="18"/>
          <w:szCs w:val="18"/>
        </w:rPr>
      </w:pPr>
      <w:r>
        <w:rPr>
          <w:rStyle w:val="normaltextrun"/>
          <w:noProof/>
        </w:rPr>
        <w:t>Na temelju tog strateškog okvira vlada će donijeti dva akcijska plana s kratkoročnim i srednjoročnim mjerama i rokovima za provedbu pojedinačnih djelovanja. Vlada će prvi akcijski plan donijeti do četvrtog tromjesečja 2024., a zatim će do prvog tromjesečja 2026. donijeti drugi akcijski plan.</w:t>
      </w:r>
      <w:r>
        <w:rPr>
          <w:rStyle w:val="eop"/>
          <w:noProof/>
        </w:rPr>
        <w:t> </w:t>
      </w:r>
    </w:p>
    <w:p w14:paraId="0CBC4A2A" w14:textId="18B7D256" w:rsidR="007947A4" w:rsidRPr="00A75E69" w:rsidRDefault="007947A4" w:rsidP="004A24A9">
      <w:pPr>
        <w:pStyle w:val="paragraph"/>
        <w:spacing w:before="0" w:beforeAutospacing="0" w:after="240" w:afterAutospacing="0"/>
        <w:jc w:val="both"/>
        <w:textAlignment w:val="baseline"/>
        <w:rPr>
          <w:rFonts w:ascii="Segoe UI" w:hAnsi="Segoe UI" w:cs="Segoe UI"/>
          <w:noProof/>
          <w:sz w:val="18"/>
          <w:szCs w:val="18"/>
        </w:rPr>
      </w:pPr>
      <w:r>
        <w:rPr>
          <w:rStyle w:val="normaltextrun"/>
          <w:noProof/>
        </w:rPr>
        <w:t>Reforma će biti dovršena do 31. ožujka 2026.</w:t>
      </w:r>
      <w:r>
        <w:rPr>
          <w:rStyle w:val="eop"/>
          <w:noProof/>
        </w:rPr>
        <w:t> </w:t>
      </w:r>
    </w:p>
    <w:p w14:paraId="348C1DE9" w14:textId="77777777" w:rsidR="00733DCA" w:rsidRPr="00A75E69" w:rsidRDefault="00733DCA" w:rsidP="0001477B">
      <w:pPr>
        <w:spacing w:before="120" w:after="120" w:line="240" w:lineRule="auto"/>
        <w:ind w:firstLine="720"/>
        <w:jc w:val="both"/>
        <w:textAlignment w:val="baseline"/>
        <w:rPr>
          <w:rFonts w:ascii="Times New Roman" w:eastAsia="Times New Roman" w:hAnsi="Times New Roman" w:cs="Times New Roman"/>
          <w:noProof/>
          <w:sz w:val="24"/>
          <w:szCs w:val="24"/>
          <w:u w:val="single"/>
        </w:rPr>
      </w:pPr>
      <w:r>
        <w:rPr>
          <w:rFonts w:ascii="Times New Roman" w:hAnsi="Times New Roman"/>
          <w:noProof/>
          <w:sz w:val="24"/>
          <w:u w:val="single"/>
        </w:rPr>
        <w:t>Reforma C1.1.1. R7 – Uspostava platforme pod nazivom Forum za podršku održivom financiranju</w:t>
      </w:r>
    </w:p>
    <w:p w14:paraId="7E644444" w14:textId="77777777" w:rsidR="00733DCA" w:rsidRDefault="00733DCA" w:rsidP="0001477B">
      <w:pPr>
        <w:spacing w:before="120" w:after="24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Cilj je reforme povećati doprinos financijskog sektora zelenoj tranziciji i poduprijeti ga u usklađivanju s regulatornim zahtjevima u području održivog financiranja.</w:t>
      </w:r>
    </w:p>
    <w:p w14:paraId="679BE6A0" w14:textId="77777777" w:rsidR="00733DCA" w:rsidRDefault="00733DCA" w:rsidP="0001477B">
      <w:pPr>
        <w:spacing w:before="120" w:after="24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xml:space="preserve">Uspostavit će se zajednička platforma pod nazivom Forum za podršku održivom financiranju u cilju razmjene informacija i povezivanja financijskog sektora (banaka i nebankarskih financijskih institucija) s resornim ministarstvima, nadzornim tijelima, stručnjacima i drugim dionicima. Nakon osnivanja Foruma za podršku održivom financiranju Ministarstvo financija izradit će prvi akcijski plan s mjerama i rokovima za provedbu pojedinačnih djelovanja kojima se podupiru ciljevi reforme. </w:t>
      </w:r>
    </w:p>
    <w:p w14:paraId="62EB8720" w14:textId="77777777" w:rsidR="00733DCA" w:rsidRDefault="00733DCA" w:rsidP="0001477B">
      <w:pPr>
        <w:spacing w:before="120" w:after="120" w:line="240" w:lineRule="auto"/>
        <w:jc w:val="both"/>
        <w:textAlignment w:val="baseline"/>
        <w:rPr>
          <w:rFonts w:ascii="Times New Roman" w:eastAsia="Calibri" w:hAnsi="Times New Roman" w:cs="Times New Roman"/>
          <w:noProof/>
          <w:sz w:val="24"/>
          <w:szCs w:val="24"/>
        </w:rPr>
      </w:pPr>
      <w:r>
        <w:rPr>
          <w:rFonts w:ascii="Times New Roman" w:hAnsi="Times New Roman"/>
          <w:noProof/>
          <w:sz w:val="24"/>
        </w:rPr>
        <w:t>Reforma će biti dovršena do 31. ožujka 2025.</w:t>
      </w:r>
    </w:p>
    <w:p w14:paraId="00ABD243" w14:textId="77777777" w:rsidR="00733DCA" w:rsidRDefault="00733DCA" w:rsidP="0001477B">
      <w:pPr>
        <w:spacing w:before="120" w:after="120" w:line="240" w:lineRule="auto"/>
        <w:jc w:val="both"/>
        <w:textAlignment w:val="baseline"/>
        <w:rPr>
          <w:rStyle w:val="eop"/>
          <w:noProof/>
        </w:rPr>
        <w:sectPr w:rsidR="00733DCA">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pPr>
      <w:r>
        <w:rPr>
          <w:noProof/>
        </w:rPr>
        <w:br/>
      </w:r>
      <w:r>
        <w:rPr>
          <w:rStyle w:val="eop"/>
          <w:noProof/>
        </w:rPr>
        <w:t> </w:t>
      </w:r>
    </w:p>
    <w:p w14:paraId="5AADFC93" w14:textId="5A7A4F92" w:rsidR="00733DCA" w:rsidRDefault="1FBE8B59" w:rsidP="0001477B">
      <w:pPr>
        <w:spacing w:before="120" w:after="120" w:line="240" w:lineRule="auto"/>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 xml:space="preserve">A.4. </w:t>
      </w:r>
      <w:r>
        <w:rPr>
          <w:noProof/>
        </w:rPr>
        <w:tab/>
      </w:r>
      <w:r>
        <w:rPr>
          <w:rFonts w:ascii="Times New Roman" w:hAnsi="Times New Roman"/>
          <w:b/>
          <w:noProof/>
          <w:color w:val="000000" w:themeColor="text1"/>
          <w:sz w:val="24"/>
        </w:rPr>
        <w:t xml:space="preserve">Ključne etape, ciljne vrijednosti, pokazatelji i vremenski raspored za praćenje i provedbu za zajam </w:t>
      </w:r>
    </w:p>
    <w:tbl>
      <w:tblPr>
        <w:tblW w:w="15027" w:type="dxa"/>
        <w:tblInd w:w="-88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08"/>
        <w:gridCol w:w="1329"/>
        <w:gridCol w:w="1246"/>
        <w:gridCol w:w="1384"/>
        <w:gridCol w:w="2072"/>
        <w:gridCol w:w="955"/>
        <w:gridCol w:w="986"/>
        <w:gridCol w:w="695"/>
        <w:gridCol w:w="999"/>
        <w:gridCol w:w="709"/>
        <w:gridCol w:w="3544"/>
      </w:tblGrid>
      <w:tr w:rsidR="00CF7B0C" w14:paraId="5F0BC7A6" w14:textId="77777777" w:rsidTr="00FE43A1">
        <w:trPr>
          <w:trHeight w:val="573"/>
        </w:trPr>
        <w:tc>
          <w:tcPr>
            <w:tcW w:w="1108"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5FBF81FF" w14:textId="6852B74D"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Broj</w:t>
            </w:r>
          </w:p>
        </w:tc>
        <w:tc>
          <w:tcPr>
            <w:tcW w:w="1329"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50EAFCD6" w14:textId="10B983F9"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 xml:space="preserve">Povezana mjera </w:t>
            </w:r>
          </w:p>
        </w:tc>
        <w:tc>
          <w:tcPr>
            <w:tcW w:w="1246"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61F2787B"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Ključna etapa / ciljna vrijednost</w:t>
            </w:r>
          </w:p>
        </w:tc>
        <w:tc>
          <w:tcPr>
            <w:tcW w:w="1384"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2E04DF40"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Naziv</w:t>
            </w:r>
          </w:p>
        </w:tc>
        <w:tc>
          <w:tcPr>
            <w:tcW w:w="2072"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0BF5688E"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 xml:space="preserve">Kvalitativni pokazatelji </w:t>
            </w:r>
            <w:r>
              <w:rPr>
                <w:noProof/>
                <w:sz w:val="20"/>
              </w:rPr>
              <w:br/>
            </w:r>
            <w:r>
              <w:rPr>
                <w:rFonts w:ascii="Times New Roman" w:hAnsi="Times New Roman"/>
                <w:b/>
                <w:noProof/>
                <w:color w:val="000000" w:themeColor="text1"/>
                <w:sz w:val="20"/>
              </w:rPr>
              <w:t>(za ključne etape)</w:t>
            </w:r>
          </w:p>
        </w:tc>
        <w:tc>
          <w:tcPr>
            <w:tcW w:w="2636" w:type="dxa"/>
            <w:gridSpan w:val="3"/>
            <w:tcBorders>
              <w:top w:val="single" w:sz="6" w:space="0" w:color="auto"/>
              <w:left w:val="single" w:sz="4" w:space="0" w:color="auto"/>
              <w:bottom w:val="single" w:sz="6" w:space="0" w:color="auto"/>
              <w:right w:val="single" w:sz="6" w:space="0" w:color="auto"/>
            </w:tcBorders>
            <w:shd w:val="clear" w:color="auto" w:fill="BDD7EE"/>
            <w:tcMar>
              <w:left w:w="105" w:type="dxa"/>
              <w:right w:w="105" w:type="dxa"/>
            </w:tcMar>
            <w:vAlign w:val="center"/>
          </w:tcPr>
          <w:p w14:paraId="60B8BBF1" w14:textId="6B56456B"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 xml:space="preserve">Kvantitativni pokazatelji </w:t>
            </w:r>
          </w:p>
        </w:tc>
        <w:tc>
          <w:tcPr>
            <w:tcW w:w="1708" w:type="dxa"/>
            <w:gridSpan w:val="2"/>
            <w:tcBorders>
              <w:top w:val="single" w:sz="6" w:space="0" w:color="auto"/>
              <w:left w:val="nil"/>
              <w:bottom w:val="single" w:sz="6" w:space="0" w:color="auto"/>
              <w:right w:val="single" w:sz="4" w:space="0" w:color="auto"/>
            </w:tcBorders>
            <w:shd w:val="clear" w:color="auto" w:fill="BDD7EE"/>
            <w:tcMar>
              <w:left w:w="105" w:type="dxa"/>
              <w:right w:w="105" w:type="dxa"/>
            </w:tcMar>
            <w:vAlign w:val="center"/>
          </w:tcPr>
          <w:p w14:paraId="2A0EFAC6" w14:textId="5899FCBD" w:rsidR="00733DCA" w:rsidRPr="008314EC" w:rsidRDefault="00FE43A1"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 xml:space="preserve">Vrijeme </w:t>
            </w:r>
          </w:p>
        </w:tc>
        <w:tc>
          <w:tcPr>
            <w:tcW w:w="3544"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1BB738D3"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Opis svake ključne etape i ciljne vrijednosti</w:t>
            </w:r>
          </w:p>
        </w:tc>
      </w:tr>
      <w:tr w:rsidR="00CF7B0C" w14:paraId="07A29F00" w14:textId="77777777" w:rsidTr="00FE43A1">
        <w:trPr>
          <w:trHeight w:val="569"/>
        </w:trPr>
        <w:tc>
          <w:tcPr>
            <w:tcW w:w="1108" w:type="dxa"/>
            <w:vMerge/>
            <w:tcBorders>
              <w:left w:val="single" w:sz="4" w:space="0" w:color="auto"/>
              <w:right w:val="single" w:sz="4" w:space="0" w:color="auto"/>
            </w:tcBorders>
            <w:vAlign w:val="center"/>
          </w:tcPr>
          <w:p w14:paraId="61F712B4" w14:textId="77777777" w:rsidR="00733DCA" w:rsidRDefault="00733DCA">
            <w:pPr>
              <w:rPr>
                <w:noProof/>
              </w:rPr>
            </w:pPr>
          </w:p>
        </w:tc>
        <w:tc>
          <w:tcPr>
            <w:tcW w:w="1329" w:type="dxa"/>
            <w:vMerge/>
            <w:tcBorders>
              <w:left w:val="single" w:sz="4" w:space="0" w:color="auto"/>
              <w:right w:val="single" w:sz="4" w:space="0" w:color="auto"/>
            </w:tcBorders>
            <w:vAlign w:val="center"/>
          </w:tcPr>
          <w:p w14:paraId="5E9576B4" w14:textId="77777777" w:rsidR="00733DCA" w:rsidRDefault="00733DCA">
            <w:pPr>
              <w:rPr>
                <w:noProof/>
              </w:rPr>
            </w:pPr>
          </w:p>
        </w:tc>
        <w:tc>
          <w:tcPr>
            <w:tcW w:w="1246" w:type="dxa"/>
            <w:vMerge/>
            <w:tcBorders>
              <w:left w:val="single" w:sz="4" w:space="0" w:color="auto"/>
              <w:right w:val="single" w:sz="4" w:space="0" w:color="auto"/>
            </w:tcBorders>
          </w:tcPr>
          <w:p w14:paraId="26F7C623" w14:textId="77777777" w:rsidR="00733DCA" w:rsidRDefault="00733DCA" w:rsidP="00A75E69">
            <w:pPr>
              <w:jc w:val="center"/>
              <w:rPr>
                <w:noProof/>
              </w:rPr>
            </w:pPr>
          </w:p>
        </w:tc>
        <w:tc>
          <w:tcPr>
            <w:tcW w:w="1384" w:type="dxa"/>
            <w:vMerge/>
            <w:tcBorders>
              <w:left w:val="single" w:sz="4" w:space="0" w:color="auto"/>
              <w:right w:val="single" w:sz="4" w:space="0" w:color="auto"/>
            </w:tcBorders>
            <w:vAlign w:val="center"/>
          </w:tcPr>
          <w:p w14:paraId="0A78F207" w14:textId="77777777" w:rsidR="00733DCA" w:rsidRDefault="00733DCA">
            <w:pPr>
              <w:rPr>
                <w:noProof/>
              </w:rPr>
            </w:pPr>
          </w:p>
        </w:tc>
        <w:tc>
          <w:tcPr>
            <w:tcW w:w="2072" w:type="dxa"/>
            <w:vMerge/>
            <w:tcBorders>
              <w:left w:val="single" w:sz="4" w:space="0" w:color="auto"/>
              <w:right w:val="single" w:sz="4" w:space="0" w:color="auto"/>
            </w:tcBorders>
            <w:vAlign w:val="center"/>
          </w:tcPr>
          <w:p w14:paraId="5CE9AAB1" w14:textId="77777777" w:rsidR="00733DCA" w:rsidRDefault="00733DCA">
            <w:pPr>
              <w:rPr>
                <w:noProof/>
              </w:rPr>
            </w:pPr>
          </w:p>
        </w:tc>
        <w:tc>
          <w:tcPr>
            <w:tcW w:w="955" w:type="dxa"/>
            <w:tcBorders>
              <w:top w:val="single" w:sz="6" w:space="0" w:color="auto"/>
              <w:left w:val="single" w:sz="4" w:space="0" w:color="auto"/>
              <w:bottom w:val="single" w:sz="6" w:space="0" w:color="auto"/>
              <w:right w:val="single" w:sz="6" w:space="0" w:color="auto"/>
            </w:tcBorders>
            <w:shd w:val="clear" w:color="auto" w:fill="BDD7EE"/>
            <w:tcMar>
              <w:left w:w="105" w:type="dxa"/>
              <w:right w:w="105" w:type="dxa"/>
            </w:tcMar>
            <w:vAlign w:val="center"/>
          </w:tcPr>
          <w:p w14:paraId="0B463254"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Mjerna jedinica</w:t>
            </w:r>
          </w:p>
        </w:tc>
        <w:tc>
          <w:tcPr>
            <w:tcW w:w="986"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1F0574D1"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 xml:space="preserve">Osnovna vrijednost </w:t>
            </w:r>
          </w:p>
        </w:tc>
        <w:tc>
          <w:tcPr>
            <w:tcW w:w="695"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2F5F4786"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 xml:space="preserve">Cilj </w:t>
            </w:r>
          </w:p>
        </w:tc>
        <w:tc>
          <w:tcPr>
            <w:tcW w:w="999" w:type="dxa"/>
            <w:tcBorders>
              <w:top w:val="single" w:sz="6" w:space="0" w:color="auto"/>
              <w:left w:val="single" w:sz="6" w:space="0" w:color="auto"/>
              <w:bottom w:val="single" w:sz="6" w:space="0" w:color="auto"/>
              <w:right w:val="single" w:sz="6" w:space="0" w:color="auto"/>
            </w:tcBorders>
            <w:shd w:val="clear" w:color="auto" w:fill="BDD7EE"/>
            <w:tcMar>
              <w:left w:w="105" w:type="dxa"/>
              <w:right w:w="105" w:type="dxa"/>
            </w:tcMar>
            <w:vAlign w:val="center"/>
          </w:tcPr>
          <w:p w14:paraId="7547B219"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Tromjesečje</w:t>
            </w:r>
          </w:p>
        </w:tc>
        <w:tc>
          <w:tcPr>
            <w:tcW w:w="709" w:type="dxa"/>
            <w:tcBorders>
              <w:top w:val="nil"/>
              <w:left w:val="single" w:sz="6" w:space="0" w:color="auto"/>
              <w:bottom w:val="single" w:sz="6" w:space="0" w:color="auto"/>
              <w:right w:val="single" w:sz="4" w:space="0" w:color="auto"/>
            </w:tcBorders>
            <w:shd w:val="clear" w:color="auto" w:fill="BDD7EE"/>
            <w:tcMar>
              <w:left w:w="105" w:type="dxa"/>
              <w:right w:w="105" w:type="dxa"/>
            </w:tcMar>
            <w:vAlign w:val="center"/>
          </w:tcPr>
          <w:p w14:paraId="5A8861CA" w14:textId="77777777" w:rsidR="00733DCA" w:rsidRPr="008314EC" w:rsidRDefault="00733DCA" w:rsidP="00A75E69">
            <w:pPr>
              <w:spacing w:before="120" w:after="120" w:line="240" w:lineRule="auto"/>
              <w:jc w:val="center"/>
              <w:rPr>
                <w:rFonts w:ascii="Times New Roman" w:eastAsia="Times New Roman" w:hAnsi="Times New Roman" w:cs="Times New Roman"/>
                <w:noProof/>
                <w:color w:val="000000" w:themeColor="text1"/>
                <w:sz w:val="20"/>
                <w:szCs w:val="20"/>
              </w:rPr>
            </w:pPr>
            <w:r>
              <w:rPr>
                <w:rFonts w:ascii="Times New Roman" w:hAnsi="Times New Roman"/>
                <w:b/>
                <w:noProof/>
                <w:color w:val="000000" w:themeColor="text1"/>
                <w:sz w:val="20"/>
              </w:rPr>
              <w:t>Godina</w:t>
            </w:r>
          </w:p>
        </w:tc>
        <w:tc>
          <w:tcPr>
            <w:tcW w:w="3544" w:type="dxa"/>
            <w:vMerge/>
            <w:tcBorders>
              <w:left w:val="single" w:sz="4" w:space="0" w:color="auto"/>
              <w:right w:val="single" w:sz="4" w:space="0" w:color="auto"/>
            </w:tcBorders>
            <w:vAlign w:val="center"/>
          </w:tcPr>
          <w:p w14:paraId="3D1C7433" w14:textId="77777777" w:rsidR="00733DCA" w:rsidRDefault="00733DCA">
            <w:pPr>
              <w:rPr>
                <w:noProof/>
              </w:rPr>
            </w:pPr>
          </w:p>
        </w:tc>
      </w:tr>
      <w:tr w:rsidR="00CF7B0C" w:rsidRPr="00A75E69" w14:paraId="554B3D0B" w14:textId="77777777" w:rsidTr="00346D23">
        <w:trPr>
          <w:trHeight w:val="315"/>
        </w:trPr>
        <w:tc>
          <w:tcPr>
            <w:tcW w:w="1108"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04BA67A5" w14:textId="0E7B9759" w:rsidR="00733DCA" w:rsidRPr="00A75E69" w:rsidRDefault="00E86628" w:rsidP="00A75E69">
            <w:pPr>
              <w:spacing w:before="120" w:after="120" w:line="240" w:lineRule="auto"/>
              <w:rPr>
                <w:rFonts w:ascii="Calibri" w:eastAsia="Calibri" w:hAnsi="Calibri" w:cs="Calibri"/>
                <w:noProof/>
                <w:sz w:val="20"/>
                <w:szCs w:val="20"/>
              </w:rPr>
            </w:pPr>
            <w:r>
              <w:rPr>
                <w:rFonts w:ascii="Calibri" w:hAnsi="Calibri"/>
                <w:noProof/>
                <w:sz w:val="20"/>
              </w:rPr>
              <w:t>373</w:t>
            </w:r>
          </w:p>
        </w:tc>
        <w:tc>
          <w:tcPr>
            <w:tcW w:w="1329"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7E26D198" w14:textId="506E0E28" w:rsidR="00733DCA" w:rsidRPr="00A75E69" w:rsidRDefault="00733DCA" w:rsidP="00A75E69">
            <w:pPr>
              <w:spacing w:before="120" w:after="120" w:line="240" w:lineRule="auto"/>
              <w:rPr>
                <w:rFonts w:ascii="Times New Roman" w:eastAsia="Times New Roman" w:hAnsi="Times New Roman" w:cs="Times New Roman"/>
                <w:noProof/>
                <w:sz w:val="24"/>
                <w:szCs w:val="24"/>
              </w:rPr>
            </w:pPr>
            <w:r>
              <w:rPr>
                <w:rFonts w:ascii="Calibri" w:hAnsi="Calibri"/>
                <w:noProof/>
                <w:sz w:val="19"/>
              </w:rPr>
              <w:t>C1.1.1. R5</w:t>
            </w:r>
          </w:p>
        </w:tc>
        <w:tc>
          <w:tcPr>
            <w:tcW w:w="1246"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3243BE50" w14:textId="77777777" w:rsidR="00733DCA" w:rsidRPr="00A75E69" w:rsidRDefault="00733DCA" w:rsidP="00A75E69">
            <w:pPr>
              <w:spacing w:before="120" w:after="120" w:line="240" w:lineRule="auto"/>
              <w:jc w:val="center"/>
              <w:rPr>
                <w:rFonts w:ascii="Calibri" w:eastAsia="Calibri" w:hAnsi="Calibri" w:cs="Calibri"/>
                <w:noProof/>
                <w:sz w:val="20"/>
                <w:szCs w:val="20"/>
              </w:rPr>
            </w:pPr>
            <w:r>
              <w:rPr>
                <w:rFonts w:ascii="Calibri" w:hAnsi="Calibri"/>
                <w:noProof/>
                <w:sz w:val="20"/>
              </w:rPr>
              <w:t>Ključna etapa</w:t>
            </w:r>
          </w:p>
        </w:tc>
        <w:tc>
          <w:tcPr>
            <w:tcW w:w="1384"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6BE8D3E8" w14:textId="77777777" w:rsidR="00733DCA" w:rsidRPr="00A75E69" w:rsidRDefault="00733DCA" w:rsidP="00A75E69">
            <w:pPr>
              <w:spacing w:before="120" w:after="120" w:line="240" w:lineRule="auto"/>
              <w:rPr>
                <w:rFonts w:ascii="Calibri" w:eastAsia="Calibri" w:hAnsi="Calibri" w:cs="Calibri"/>
                <w:strike/>
                <w:noProof/>
                <w:sz w:val="20"/>
                <w:szCs w:val="20"/>
              </w:rPr>
            </w:pPr>
            <w:r>
              <w:rPr>
                <w:rFonts w:ascii="Calibri" w:hAnsi="Calibri"/>
                <w:noProof/>
                <w:sz w:val="20"/>
              </w:rPr>
              <w:t>Donošenje strateškog okvira za razvoj tržišta kapitala u Hrvatskoj i prvog popratnog akcijskog plana</w:t>
            </w:r>
          </w:p>
          <w:p w14:paraId="5E166B1B" w14:textId="77777777" w:rsidR="00733DCA" w:rsidRPr="00BC0323" w:rsidRDefault="00733DCA" w:rsidP="00A75E69">
            <w:pPr>
              <w:spacing w:before="120" w:after="120" w:line="240" w:lineRule="auto"/>
              <w:rPr>
                <w:rFonts w:ascii="Times New Roman" w:eastAsia="Times New Roman" w:hAnsi="Times New Roman" w:cs="Times New Roman"/>
                <w:noProof/>
                <w:sz w:val="24"/>
                <w:szCs w:val="24"/>
              </w:rPr>
            </w:pPr>
          </w:p>
        </w:tc>
        <w:tc>
          <w:tcPr>
            <w:tcW w:w="2072"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1D17E685" w14:textId="3108CDE6" w:rsidR="00733DCA" w:rsidRPr="00A75E69" w:rsidRDefault="00733DCA" w:rsidP="00A75E69">
            <w:pPr>
              <w:spacing w:before="120" w:after="120" w:line="240" w:lineRule="auto"/>
              <w:rPr>
                <w:rFonts w:ascii="Times New Roman" w:eastAsia="Times New Roman" w:hAnsi="Times New Roman" w:cs="Times New Roman"/>
                <w:noProof/>
                <w:sz w:val="24"/>
                <w:szCs w:val="24"/>
              </w:rPr>
            </w:pPr>
            <w:r>
              <w:rPr>
                <w:rFonts w:ascii="Calibri" w:hAnsi="Calibri"/>
                <w:noProof/>
                <w:sz w:val="20"/>
              </w:rPr>
              <w:t>Hrvatska vlada donijela strateški okvir i prvi akcijski plan za potporu razvoju nacionalnog tržišta kapitala</w:t>
            </w:r>
          </w:p>
          <w:p w14:paraId="38F32B86" w14:textId="77777777" w:rsidR="00733DCA" w:rsidRPr="00BC0323" w:rsidRDefault="00733DCA" w:rsidP="00A75E69">
            <w:pPr>
              <w:spacing w:before="120" w:after="120" w:line="240" w:lineRule="auto"/>
              <w:rPr>
                <w:rFonts w:ascii="Times New Roman" w:eastAsia="Times New Roman" w:hAnsi="Times New Roman" w:cs="Times New Roman"/>
                <w:noProof/>
                <w:sz w:val="24"/>
                <w:szCs w:val="24"/>
              </w:rPr>
            </w:pPr>
          </w:p>
        </w:tc>
        <w:tc>
          <w:tcPr>
            <w:tcW w:w="95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63D977CA" w14:textId="77777777" w:rsidR="00733DCA" w:rsidRPr="00BC0323" w:rsidRDefault="00733DCA" w:rsidP="00A75E69">
            <w:pPr>
              <w:spacing w:before="120" w:after="120" w:line="240" w:lineRule="auto"/>
              <w:rPr>
                <w:rFonts w:ascii="Times New Roman" w:eastAsia="Times New Roman" w:hAnsi="Times New Roman" w:cs="Times New Roman"/>
                <w:noProof/>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28D55E7F" w14:textId="39CFAE85" w:rsidR="00733DCA" w:rsidRPr="00A75E69" w:rsidRDefault="00733DCA" w:rsidP="00A75E69">
            <w:pPr>
              <w:spacing w:before="120" w:after="120" w:line="240" w:lineRule="auto"/>
              <w:rPr>
                <w:rFonts w:ascii="Times New Roman" w:eastAsia="Times New Roman" w:hAnsi="Times New Roman" w:cs="Times New Roman"/>
                <w:noProof/>
                <w:sz w:val="24"/>
                <w:szCs w:val="24"/>
              </w:rPr>
            </w:pPr>
          </w:p>
        </w:tc>
        <w:tc>
          <w:tcPr>
            <w:tcW w:w="69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1C96E703" w14:textId="6F670678" w:rsidR="00733DCA" w:rsidRPr="00A75E69" w:rsidRDefault="00733DCA" w:rsidP="00A75E69">
            <w:pPr>
              <w:spacing w:before="120" w:after="120" w:line="240" w:lineRule="auto"/>
              <w:rPr>
                <w:rFonts w:ascii="Times New Roman" w:eastAsia="Times New Roman" w:hAnsi="Times New Roman" w:cs="Times New Roman"/>
                <w:noProof/>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64290C65" w14:textId="77777777" w:rsidR="00733DCA" w:rsidRPr="00A75E69" w:rsidRDefault="00733DCA" w:rsidP="00A75E69">
            <w:pPr>
              <w:spacing w:before="120" w:after="120" w:line="240" w:lineRule="auto"/>
              <w:jc w:val="center"/>
              <w:rPr>
                <w:rFonts w:ascii="Times New Roman" w:eastAsia="Times New Roman" w:hAnsi="Times New Roman" w:cs="Times New Roman"/>
                <w:strike/>
                <w:noProof/>
                <w:sz w:val="24"/>
                <w:szCs w:val="24"/>
              </w:rPr>
            </w:pPr>
            <w:r>
              <w:rPr>
                <w:rFonts w:ascii="Calibri" w:hAnsi="Calibri"/>
                <w:noProof/>
                <w:sz w:val="20"/>
              </w:rPr>
              <w:t>4.</w:t>
            </w:r>
          </w:p>
          <w:p w14:paraId="15CD6246" w14:textId="77777777" w:rsidR="00733DCA" w:rsidRPr="00A75E69" w:rsidRDefault="00733DCA" w:rsidP="00A75E69">
            <w:pPr>
              <w:spacing w:before="120" w:after="120" w:line="240" w:lineRule="auto"/>
              <w:jc w:val="center"/>
              <w:rPr>
                <w:rFonts w:ascii="Times New Roman" w:eastAsia="Times New Roman" w:hAnsi="Times New Roman" w:cs="Times New Roman"/>
                <w:noProof/>
                <w:sz w:val="24"/>
                <w:szCs w:val="24"/>
                <w:lang w:val="en-GB"/>
              </w:rPr>
            </w:pPr>
          </w:p>
        </w:tc>
        <w:tc>
          <w:tcPr>
            <w:tcW w:w="70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033FDA45" w14:textId="77777777" w:rsidR="00733DCA" w:rsidRPr="00A75E69" w:rsidRDefault="00733DCA" w:rsidP="00A75E69">
            <w:pPr>
              <w:spacing w:before="120" w:after="120" w:line="240" w:lineRule="auto"/>
              <w:jc w:val="center"/>
              <w:rPr>
                <w:rFonts w:ascii="Calibri" w:eastAsia="Calibri" w:hAnsi="Calibri" w:cs="Calibri"/>
                <w:noProof/>
                <w:sz w:val="20"/>
                <w:szCs w:val="20"/>
              </w:rPr>
            </w:pPr>
            <w:r>
              <w:rPr>
                <w:rFonts w:ascii="Calibri" w:hAnsi="Calibri"/>
                <w:noProof/>
                <w:sz w:val="20"/>
              </w:rPr>
              <w:t>2024.</w:t>
            </w:r>
          </w:p>
          <w:p w14:paraId="43A53D71" w14:textId="77777777" w:rsidR="00733DCA" w:rsidRPr="00A75E69" w:rsidRDefault="00733DCA" w:rsidP="00A75E69">
            <w:pPr>
              <w:spacing w:before="120" w:after="120" w:line="240" w:lineRule="auto"/>
              <w:jc w:val="center"/>
              <w:rPr>
                <w:rFonts w:ascii="Times New Roman" w:eastAsia="Times New Roman" w:hAnsi="Times New Roman" w:cs="Times New Roman"/>
                <w:noProof/>
                <w:sz w:val="24"/>
                <w:szCs w:val="24"/>
                <w:lang w:val="en-GB"/>
              </w:rPr>
            </w:pPr>
          </w:p>
        </w:tc>
        <w:tc>
          <w:tcPr>
            <w:tcW w:w="3544"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3532F09F" w14:textId="77777777"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U suradnji s relevantnim dionicima Ministarstvo financija izradit će strateški okvir za razvoj tržišta kapitala u Republici Hrvatskoj i prvi prateći akcijski plan, koje će donijeti Vlada Republike Hrvatske.</w:t>
            </w:r>
          </w:p>
          <w:p w14:paraId="7E45C2B3" w14:textId="77777777"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Mjere iz akcijskih planova temeljit će se na analizi i preporukama iz strateškog okvira i utvrdit će se rokovi za provedbu pojedinačnih djelovanja.</w:t>
            </w:r>
          </w:p>
        </w:tc>
      </w:tr>
      <w:tr w:rsidR="00CF7B0C" w:rsidRPr="00A75E69" w14:paraId="3150D39C" w14:textId="77777777" w:rsidTr="00346D23">
        <w:trPr>
          <w:trHeight w:val="315"/>
        </w:trPr>
        <w:tc>
          <w:tcPr>
            <w:tcW w:w="1108"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4271BE1D" w14:textId="010757B3" w:rsidR="00733DCA" w:rsidRPr="00A75E69" w:rsidRDefault="00E86628" w:rsidP="00A75E69">
            <w:pPr>
              <w:spacing w:before="120" w:after="120" w:line="240" w:lineRule="auto"/>
              <w:rPr>
                <w:rFonts w:ascii="Calibri" w:eastAsia="Calibri" w:hAnsi="Calibri" w:cs="Calibri"/>
                <w:noProof/>
                <w:sz w:val="20"/>
                <w:szCs w:val="20"/>
              </w:rPr>
            </w:pPr>
            <w:r>
              <w:rPr>
                <w:rFonts w:ascii="Calibri" w:hAnsi="Calibri"/>
                <w:noProof/>
                <w:sz w:val="20"/>
              </w:rPr>
              <w:t>374</w:t>
            </w:r>
          </w:p>
        </w:tc>
        <w:tc>
          <w:tcPr>
            <w:tcW w:w="1329"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209746B0" w14:textId="71E44FEB"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19"/>
              </w:rPr>
              <w:t>C1.1.1. R5</w:t>
            </w:r>
          </w:p>
        </w:tc>
        <w:tc>
          <w:tcPr>
            <w:tcW w:w="1246"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667F93D8" w14:textId="77777777" w:rsidR="00733DCA" w:rsidRPr="00A75E69" w:rsidRDefault="00733DCA" w:rsidP="00A75E69">
            <w:pPr>
              <w:spacing w:before="120" w:after="120" w:line="240" w:lineRule="auto"/>
              <w:jc w:val="center"/>
              <w:rPr>
                <w:rFonts w:ascii="Calibri" w:eastAsia="Calibri" w:hAnsi="Calibri" w:cs="Calibri"/>
                <w:noProof/>
                <w:sz w:val="20"/>
                <w:szCs w:val="20"/>
              </w:rPr>
            </w:pPr>
            <w:r>
              <w:rPr>
                <w:rFonts w:ascii="Calibri" w:hAnsi="Calibri"/>
                <w:noProof/>
                <w:sz w:val="20"/>
              </w:rPr>
              <w:t>Ključna etapa</w:t>
            </w:r>
          </w:p>
        </w:tc>
        <w:tc>
          <w:tcPr>
            <w:tcW w:w="1384"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4757B15E" w14:textId="77777777"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Donošenje drugog akcijskog plana za razvoj tržišta kapitala u Hrvatskoj</w:t>
            </w:r>
          </w:p>
        </w:tc>
        <w:tc>
          <w:tcPr>
            <w:tcW w:w="2072"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0A3C2C35" w14:textId="77777777"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Hrvatska vlada donijela drugi akcijski plan za potporu razvoju nacionalnog tržišta kapitala</w:t>
            </w:r>
          </w:p>
        </w:tc>
        <w:tc>
          <w:tcPr>
            <w:tcW w:w="95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178A48D" w14:textId="77777777" w:rsidR="00733DCA" w:rsidRPr="00BC0323" w:rsidRDefault="00733DCA" w:rsidP="00A75E69">
            <w:pPr>
              <w:spacing w:before="120" w:after="120" w:line="240" w:lineRule="auto"/>
              <w:rPr>
                <w:rFonts w:ascii="Times New Roman" w:eastAsia="Times New Roman" w:hAnsi="Times New Roman" w:cs="Times New Roman"/>
                <w:noProof/>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C4D9102" w14:textId="77777777" w:rsidR="00733DCA" w:rsidRPr="00BC0323" w:rsidRDefault="00733DCA" w:rsidP="00A75E69">
            <w:pPr>
              <w:spacing w:before="120" w:after="120" w:line="240" w:lineRule="auto"/>
              <w:rPr>
                <w:rFonts w:ascii="Times New Roman" w:eastAsia="Times New Roman" w:hAnsi="Times New Roman" w:cs="Times New Roman"/>
                <w:noProof/>
                <w:sz w:val="24"/>
                <w:szCs w:val="24"/>
              </w:rPr>
            </w:pPr>
          </w:p>
        </w:tc>
        <w:tc>
          <w:tcPr>
            <w:tcW w:w="69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56C0E71F" w14:textId="77777777" w:rsidR="00733DCA" w:rsidRPr="00BC0323" w:rsidRDefault="00733DCA" w:rsidP="00A75E69">
            <w:pPr>
              <w:spacing w:before="120" w:after="120" w:line="240" w:lineRule="auto"/>
              <w:rPr>
                <w:rFonts w:ascii="Times New Roman" w:eastAsia="Times New Roman" w:hAnsi="Times New Roman" w:cs="Times New Roman"/>
                <w:noProof/>
                <w:sz w:val="24"/>
                <w:szCs w:val="24"/>
              </w:rPr>
            </w:pPr>
          </w:p>
        </w:tc>
        <w:tc>
          <w:tcPr>
            <w:tcW w:w="99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16F7198" w14:textId="13BF9ED8" w:rsidR="00733DCA" w:rsidRPr="00A75E69" w:rsidRDefault="00733DCA" w:rsidP="00A75E69">
            <w:pPr>
              <w:spacing w:before="120" w:after="120" w:line="240" w:lineRule="auto"/>
              <w:jc w:val="center"/>
              <w:rPr>
                <w:rFonts w:ascii="Times New Roman" w:eastAsia="Times New Roman" w:hAnsi="Times New Roman" w:cs="Times New Roman"/>
                <w:noProof/>
                <w:sz w:val="24"/>
                <w:szCs w:val="24"/>
              </w:rPr>
            </w:pPr>
            <w:r>
              <w:rPr>
                <w:rFonts w:ascii="Calibri" w:hAnsi="Calibri"/>
                <w:noProof/>
                <w:sz w:val="20"/>
              </w:rPr>
              <w:t>1.</w:t>
            </w:r>
          </w:p>
          <w:p w14:paraId="6B65AC2F" w14:textId="77777777" w:rsidR="00733DCA" w:rsidRPr="00A75E69" w:rsidRDefault="00733DCA" w:rsidP="00A75E69">
            <w:pPr>
              <w:spacing w:before="120" w:after="120" w:line="240" w:lineRule="auto"/>
              <w:jc w:val="center"/>
              <w:rPr>
                <w:rFonts w:ascii="Calibri" w:eastAsia="Calibri" w:hAnsi="Calibri" w:cs="Calibri"/>
                <w:noProof/>
                <w:sz w:val="20"/>
                <w:szCs w:val="20"/>
                <w:lang w:val="en-GB"/>
              </w:rPr>
            </w:pPr>
          </w:p>
        </w:tc>
        <w:tc>
          <w:tcPr>
            <w:tcW w:w="70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368B6A5B" w14:textId="77777777" w:rsidR="00733DCA" w:rsidRPr="00A75E69" w:rsidRDefault="00733DCA" w:rsidP="00A75E69">
            <w:pPr>
              <w:spacing w:before="120" w:after="120" w:line="240" w:lineRule="auto"/>
              <w:jc w:val="center"/>
              <w:rPr>
                <w:rFonts w:ascii="Times New Roman" w:eastAsia="Times New Roman" w:hAnsi="Times New Roman" w:cs="Times New Roman"/>
                <w:noProof/>
                <w:sz w:val="24"/>
                <w:szCs w:val="24"/>
              </w:rPr>
            </w:pPr>
            <w:r>
              <w:rPr>
                <w:rFonts w:ascii="Calibri" w:hAnsi="Calibri"/>
                <w:noProof/>
                <w:sz w:val="20"/>
              </w:rPr>
              <w:t>2026.</w:t>
            </w:r>
          </w:p>
          <w:p w14:paraId="1D7BF276" w14:textId="77777777" w:rsidR="00733DCA" w:rsidRPr="00A75E69" w:rsidRDefault="00733DCA" w:rsidP="00A75E69">
            <w:pPr>
              <w:spacing w:before="120" w:after="120" w:line="240" w:lineRule="auto"/>
              <w:jc w:val="center"/>
              <w:rPr>
                <w:rFonts w:ascii="Calibri" w:eastAsia="Calibri" w:hAnsi="Calibri" w:cs="Calibri"/>
                <w:noProof/>
                <w:sz w:val="20"/>
                <w:szCs w:val="20"/>
                <w:lang w:val="en-GB"/>
              </w:rPr>
            </w:pPr>
          </w:p>
        </w:tc>
        <w:tc>
          <w:tcPr>
            <w:tcW w:w="354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371164B2" w14:textId="3E512B43"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Vlada Republike Hrvatske donijet će, u suradnji s relevantnim dionicima, drugi akcijski plan za razvoj tržišta kapitala u Republici Hrvatskoj. Mjere iz akcijskog plana temeljit će se na analizi i preporukama iz strateškog okvira i utvrdit će se rokovi za provedbu pojedinačnih djelovanja.</w:t>
            </w:r>
          </w:p>
        </w:tc>
      </w:tr>
      <w:tr w:rsidR="00CF7B0C" w:rsidRPr="00A75E69" w14:paraId="1DF33CE1" w14:textId="77777777" w:rsidTr="00346D23">
        <w:trPr>
          <w:trHeight w:val="315"/>
        </w:trPr>
        <w:tc>
          <w:tcPr>
            <w:tcW w:w="1108"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04D2E470" w14:textId="60EF1B9E" w:rsidR="00733DCA" w:rsidRPr="00A75E69" w:rsidRDefault="00E86628" w:rsidP="00A75E69">
            <w:pPr>
              <w:spacing w:before="120" w:after="120" w:line="240" w:lineRule="auto"/>
              <w:rPr>
                <w:rFonts w:ascii="Calibri" w:eastAsia="Calibri" w:hAnsi="Calibri" w:cs="Calibri"/>
                <w:noProof/>
                <w:sz w:val="20"/>
                <w:szCs w:val="20"/>
              </w:rPr>
            </w:pPr>
            <w:r>
              <w:rPr>
                <w:rFonts w:ascii="Calibri" w:hAnsi="Calibri"/>
                <w:noProof/>
                <w:sz w:val="20"/>
              </w:rPr>
              <w:t>375</w:t>
            </w:r>
          </w:p>
        </w:tc>
        <w:tc>
          <w:tcPr>
            <w:tcW w:w="1329"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29924B38" w14:textId="50ADFC55" w:rsidR="00733DCA" w:rsidRPr="00A75E69" w:rsidRDefault="00733DCA" w:rsidP="00A75E69">
            <w:pPr>
              <w:spacing w:before="120" w:after="120" w:line="240" w:lineRule="auto"/>
              <w:rPr>
                <w:rFonts w:ascii="Calibri" w:eastAsia="Calibri" w:hAnsi="Calibri" w:cs="Calibri"/>
                <w:noProof/>
                <w:sz w:val="19"/>
                <w:szCs w:val="19"/>
              </w:rPr>
            </w:pPr>
            <w:r>
              <w:rPr>
                <w:rFonts w:ascii="Calibri" w:hAnsi="Calibri"/>
                <w:noProof/>
                <w:sz w:val="20"/>
              </w:rPr>
              <w:t>C1.1.1. R7</w:t>
            </w:r>
          </w:p>
        </w:tc>
        <w:tc>
          <w:tcPr>
            <w:tcW w:w="1246"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6C5C7576" w14:textId="77777777" w:rsidR="00733DCA" w:rsidRPr="00A75E69" w:rsidRDefault="00733DCA" w:rsidP="00A75E69">
            <w:pPr>
              <w:spacing w:before="120" w:after="120" w:line="240" w:lineRule="auto"/>
              <w:jc w:val="center"/>
              <w:rPr>
                <w:rFonts w:ascii="Calibri" w:eastAsia="Calibri" w:hAnsi="Calibri" w:cs="Calibri"/>
                <w:noProof/>
                <w:sz w:val="20"/>
                <w:szCs w:val="20"/>
              </w:rPr>
            </w:pPr>
            <w:r>
              <w:rPr>
                <w:rFonts w:ascii="Calibri" w:hAnsi="Calibri"/>
                <w:noProof/>
                <w:sz w:val="20"/>
              </w:rPr>
              <w:t>Ključna etapa</w:t>
            </w:r>
          </w:p>
        </w:tc>
        <w:tc>
          <w:tcPr>
            <w:tcW w:w="1384"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32133311" w14:textId="77777777"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 xml:space="preserve">Donošenje prvog akcijskog plana za potporu ciljevima održivog financiranja </w:t>
            </w:r>
          </w:p>
        </w:tc>
        <w:tc>
          <w:tcPr>
            <w:tcW w:w="2072"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259AEF1D" w14:textId="77777777"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Donesen prvi akcijski plan s mjerama za potporu ciljevima održivog financiranja, u kojem su utvrđeni rokovi za provedbu</w:t>
            </w:r>
          </w:p>
        </w:tc>
        <w:tc>
          <w:tcPr>
            <w:tcW w:w="95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3D40081" w14:textId="77777777" w:rsidR="00733DCA" w:rsidRPr="00BC0323" w:rsidRDefault="00733DCA" w:rsidP="00A75E69">
            <w:pPr>
              <w:spacing w:before="120" w:after="120" w:line="240" w:lineRule="auto"/>
              <w:rPr>
                <w:rFonts w:ascii="Times New Roman" w:eastAsia="Times New Roman" w:hAnsi="Times New Roman" w:cs="Times New Roman"/>
                <w:noProof/>
                <w:sz w:val="24"/>
                <w:szCs w:val="24"/>
              </w:rPr>
            </w:pPr>
          </w:p>
        </w:tc>
        <w:tc>
          <w:tcPr>
            <w:tcW w:w="9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37242DF4" w14:textId="77777777" w:rsidR="00733DCA" w:rsidRPr="00A75E69" w:rsidRDefault="00733DCA" w:rsidP="00A75E69">
            <w:pP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69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0203C25C" w14:textId="77777777" w:rsidR="00733DCA" w:rsidRPr="00A75E69" w:rsidRDefault="00733DCA" w:rsidP="00A75E69">
            <w:pP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99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6543F94B" w14:textId="77777777" w:rsidR="00733DCA" w:rsidRPr="00A75E69" w:rsidRDefault="00733DCA" w:rsidP="00A75E69">
            <w:pPr>
              <w:spacing w:before="120" w:after="120" w:line="240" w:lineRule="auto"/>
              <w:jc w:val="center"/>
              <w:rPr>
                <w:rFonts w:ascii="Calibri" w:eastAsia="Calibri" w:hAnsi="Calibri" w:cs="Calibri"/>
                <w:noProof/>
                <w:sz w:val="20"/>
                <w:szCs w:val="20"/>
              </w:rPr>
            </w:pPr>
            <w:r>
              <w:rPr>
                <w:rFonts w:ascii="Calibri" w:hAnsi="Calibri"/>
                <w:noProof/>
                <w:sz w:val="20"/>
              </w:rPr>
              <w:t>1.</w:t>
            </w:r>
          </w:p>
        </w:tc>
        <w:tc>
          <w:tcPr>
            <w:tcW w:w="70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7BBFA316" w14:textId="77777777" w:rsidR="00733DCA" w:rsidRPr="00A75E69" w:rsidRDefault="00733DCA" w:rsidP="00A75E69">
            <w:pPr>
              <w:spacing w:before="120" w:after="120" w:line="240" w:lineRule="auto"/>
              <w:jc w:val="center"/>
              <w:rPr>
                <w:rFonts w:ascii="Calibri" w:eastAsia="Calibri" w:hAnsi="Calibri" w:cs="Calibri"/>
                <w:noProof/>
                <w:sz w:val="20"/>
                <w:szCs w:val="20"/>
              </w:rPr>
            </w:pPr>
            <w:r>
              <w:rPr>
                <w:rFonts w:ascii="Calibri" w:hAnsi="Calibri"/>
                <w:noProof/>
                <w:sz w:val="20"/>
              </w:rPr>
              <w:t>2025.</w:t>
            </w:r>
          </w:p>
        </w:tc>
        <w:tc>
          <w:tcPr>
            <w:tcW w:w="354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01E088F8" w14:textId="77777777" w:rsidR="00733DCA" w:rsidRPr="00A75E69" w:rsidRDefault="00733DCA" w:rsidP="00A75E69">
            <w:pPr>
              <w:spacing w:before="120" w:after="120" w:line="240" w:lineRule="auto"/>
              <w:rPr>
                <w:rFonts w:ascii="Calibri" w:eastAsia="Calibri" w:hAnsi="Calibri" w:cs="Calibri"/>
                <w:noProof/>
                <w:sz w:val="20"/>
                <w:szCs w:val="20"/>
              </w:rPr>
            </w:pPr>
            <w:r>
              <w:rPr>
                <w:rFonts w:ascii="Calibri" w:hAnsi="Calibri"/>
                <w:noProof/>
                <w:sz w:val="20"/>
              </w:rPr>
              <w:t>Ministarstvo financija izradit će prvi akcijski plan s mjerama i rokovima za provedbu pojedinačnih djelovanja kojima će se podupirati financijski sektor u interesu zelene tranzicije i olakšati njegova pravodobna priprema za nove regulatorne zahtjeve i druge inicijative u području održivog financiranja. Prvi akcijski plan donijet će se na temelju rada Foruma za podršku održivom financiranju, koji će se uspostaviti kao zajednička platforma za promicanje održivosti u Hrvatskoj u okviru financijskog sektora.</w:t>
            </w:r>
          </w:p>
        </w:tc>
      </w:tr>
    </w:tbl>
    <w:p w14:paraId="177352B8" w14:textId="77777777" w:rsidR="00733DCA" w:rsidRDefault="00733DCA" w:rsidP="0001477B">
      <w:pPr>
        <w:pStyle w:val="paragraph"/>
        <w:spacing w:before="0" w:beforeAutospacing="0" w:after="0" w:afterAutospacing="0"/>
        <w:ind w:firstLine="720"/>
        <w:jc w:val="both"/>
        <w:textAlignment w:val="baseline"/>
        <w:rPr>
          <w:rStyle w:val="eop"/>
          <w:noProof/>
        </w:rPr>
      </w:pPr>
    </w:p>
    <w:p w14:paraId="3E391231" w14:textId="77777777" w:rsidR="00733DCA" w:rsidRDefault="00733DCA">
      <w:pPr>
        <w:rPr>
          <w:noProof/>
        </w:rPr>
      </w:pPr>
    </w:p>
    <w:p w14:paraId="2E7BC83B" w14:textId="77777777" w:rsidR="00733DCA" w:rsidRDefault="00733DCA">
      <w:pPr>
        <w:rPr>
          <w:noProof/>
        </w:rPr>
      </w:pPr>
    </w:p>
    <w:p w14:paraId="5DBD3E86" w14:textId="77777777" w:rsidR="00733DCA" w:rsidRDefault="00733DCA">
      <w:pPr>
        <w:rPr>
          <w:noProof/>
        </w:rPr>
      </w:pPr>
    </w:p>
    <w:p w14:paraId="40147245" w14:textId="77777777" w:rsidR="00733DCA" w:rsidRDefault="00733DCA">
      <w:pPr>
        <w:rPr>
          <w:noProof/>
        </w:rPr>
      </w:pPr>
    </w:p>
    <w:p w14:paraId="6B70A7DE" w14:textId="77777777" w:rsidR="00733DCA" w:rsidRDefault="00733DCA">
      <w:pPr>
        <w:rPr>
          <w:noProof/>
        </w:rPr>
      </w:pPr>
    </w:p>
    <w:p w14:paraId="5BE4D194" w14:textId="77777777" w:rsidR="00733DCA" w:rsidRDefault="00733DCA">
      <w:pPr>
        <w:rPr>
          <w:noProof/>
        </w:rPr>
      </w:pPr>
    </w:p>
    <w:p w14:paraId="74490430" w14:textId="77777777" w:rsidR="00733DCA" w:rsidRPr="00BC0323" w:rsidRDefault="00733DCA" w:rsidP="0001477B">
      <w:pPr>
        <w:rPr>
          <w:noProof/>
        </w:rPr>
      </w:pPr>
    </w:p>
    <w:p w14:paraId="7EEBF12A" w14:textId="77777777" w:rsidR="005A3019" w:rsidRPr="00BC0323" w:rsidRDefault="005A3019" w:rsidP="0001477B">
      <w:pPr>
        <w:keepNext/>
        <w:tabs>
          <w:tab w:val="left" w:pos="850"/>
        </w:tabs>
        <w:spacing w:before="360" w:after="120" w:line="240" w:lineRule="auto"/>
        <w:ind w:left="850" w:hanging="850"/>
        <w:jc w:val="both"/>
        <w:outlineLvl w:val="0"/>
        <w:rPr>
          <w:rFonts w:ascii="Times New Roman" w:eastAsia="Calibri" w:hAnsi="Times New Roman" w:cs="Times New Roman"/>
          <w:b/>
          <w:bCs/>
          <w:smallCaps/>
          <w:noProof/>
          <w:sz w:val="24"/>
          <w:szCs w:val="24"/>
        </w:rPr>
        <w:sectPr w:rsidR="005A3019" w:rsidRPr="00BC0323" w:rsidSect="0001477B">
          <w:headerReference w:type="even" r:id="rId36"/>
          <w:headerReference w:type="default" r:id="rId37"/>
          <w:footerReference w:type="even" r:id="rId38"/>
          <w:footerReference w:type="default" r:id="rId39"/>
          <w:headerReference w:type="first" r:id="rId40"/>
          <w:footerReference w:type="first" r:id="rId41"/>
          <w:pgSz w:w="15840" w:h="12240" w:orient="landscape"/>
          <w:pgMar w:top="1440" w:right="1440" w:bottom="1440" w:left="1440" w:header="708" w:footer="708" w:gutter="0"/>
          <w:cols w:space="708"/>
          <w:docGrid w:linePitch="360"/>
        </w:sectPr>
      </w:pPr>
    </w:p>
    <w:p w14:paraId="468EF72C" w14:textId="77777777" w:rsidR="00733DCA" w:rsidRPr="006F3514" w:rsidRDefault="00733DCA" w:rsidP="0001477B">
      <w:pPr>
        <w:keepNext/>
        <w:tabs>
          <w:tab w:val="left" w:pos="850"/>
        </w:tabs>
        <w:spacing w:before="360" w:after="120" w:line="240" w:lineRule="auto"/>
        <w:ind w:left="850" w:hanging="850"/>
        <w:jc w:val="both"/>
        <w:outlineLvl w:val="0"/>
        <w:rPr>
          <w:rFonts w:ascii="Times New Roman" w:eastAsia="Calibri" w:hAnsi="Times New Roman" w:cs="Times New Roman"/>
          <w:b/>
          <w:bCs/>
          <w:smallCaps/>
          <w:noProof/>
          <w:sz w:val="24"/>
          <w:szCs w:val="24"/>
        </w:rPr>
      </w:pPr>
      <w:r>
        <w:rPr>
          <w:rFonts w:ascii="Times New Roman" w:hAnsi="Times New Roman"/>
          <w:b/>
          <w:smallCaps/>
          <w:noProof/>
          <w:sz w:val="24"/>
        </w:rPr>
        <w:t>B. KOMPONENTA 1.2.: ENERGETSKA TRANZICIJA ZA ODRŽIVO GOSPODARSTVO</w:t>
      </w:r>
    </w:p>
    <w:p w14:paraId="75AD3B95" w14:textId="77777777"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ove komponente NPOO-a olakšati dekarbonizaciju sektora energetike i prometa, među ostalim razvojem inovativnih tehnologija, i doprinijeti postizanju cilja za 2030. u pogledu udjela od 36,6 % energije iz obnovljivih izvora utvrđenog u Nacionalnom energetskom i klimatskom planu i doprinosu Republike Hrvatske u postizanju EU-ova cilja u pogledu energetske učinkovitosti od 32,5 % do 2030. Pored toga, cilj je i doprinijeti ostvarivanju udjela obnovljivih izvora energije u prometu od 14 % do 2030. Reforme u okviru potkomponente sastoje se od zakonodavnih inicijativa za: i. uklanjanje prepreka i administrativnih procedura kojima se ograničava korištenje obnovljivih izvora energije, ii. dovršetak certificiranja operatora prijenosnog sustava za plin i iii. promicanje korištenja alternativnih goriva u prometnom sektoru, uključujući vodik i napredna biogoriva. </w:t>
      </w:r>
    </w:p>
    <w:p w14:paraId="11D3B2DA" w14:textId="77777777"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Očekuje se de će reforme i ulaganja komponente doprinijeti zelenoj tranziciji i postizanju klimatskog cilja smanjenjem emisija stakleničkih plinova u sektorima energetike i prometa, u skladu s Nacionalnim energetskim i klimatskim planom. </w:t>
      </w:r>
    </w:p>
    <w:p w14:paraId="01810215" w14:textId="77777777"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Ulaganja i reforme doprinijet će ispunjenju preporuka upućenih Hrvatskoj: „usmjeriti ulagačku politiku na […] energetsku učinkovitost, obnovljive izvore energije” (3. preporuka za Hrvatsku iz 2019.) i „usmjeriti ulaganja u zelenu […] tranziciju, osobito u […] čistu i učinkovitu proizvodnju i korištenje energije” (3. preporuka za Hrvatsku iz 2020.).</w:t>
      </w:r>
    </w:p>
    <w:p w14:paraId="4D398B89" w14:textId="77777777" w:rsidR="00733DCA" w:rsidRPr="006F3514"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B.1. </w:t>
      </w:r>
      <w:r>
        <w:rPr>
          <w:rFonts w:ascii="Times New Roman" w:hAnsi="Times New Roman"/>
          <w:b/>
          <w:noProof/>
          <w:sz w:val="24"/>
          <w:u w:val="single"/>
        </w:rPr>
        <w:tab/>
        <w:t>Opis reformi i ulaganja za programe bespovratne financijske potpore</w:t>
      </w:r>
    </w:p>
    <w:p w14:paraId="33AAF18B" w14:textId="77777777" w:rsidR="00733DCA" w:rsidRPr="006F3514"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Reforma C1.2. R1 – Dekarbonizacija energetskog sektora</w:t>
      </w:r>
    </w:p>
    <w:p w14:paraId="40014095" w14:textId="77777777"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olakšati dekarbonizaciju sektora energetike i prometa i poduprijeti nacionalni doprinos Unijinu cilju u pogledu energije iz obnovljivih izvora. Reforma uključuje:</w:t>
      </w:r>
    </w:p>
    <w:p w14:paraId="0B175ADD" w14:textId="77777777" w:rsidR="00733DCA" w:rsidRPr="006F3514" w:rsidRDefault="00733DCA" w:rsidP="00733DCA">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Izmjene Zakona o tržištu električne energije i Zakona o visokoučinkovitoj kogeneraciji radi smanjenja regulatornog i administrativnog opterećenja kojim se ograničava razvoj projekata povezanih s energijom iz obnovljivih izvora, na temelju rezultatâ temeljite analize postojećih uskih grla i povezanih javnih rasprava, kao i uvođenje sustava temeljenog na premijama radi podupiranja ulaganja u obnovljive izvore energije. </w:t>
      </w:r>
    </w:p>
    <w:p w14:paraId="1A0595BF" w14:textId="3791DB71" w:rsidR="00733DCA" w:rsidRPr="006F3514" w:rsidRDefault="00733DCA" w:rsidP="00733DCA">
      <w:pPr>
        <w:numPr>
          <w:ilvl w:val="0"/>
          <w:numId w:val="9"/>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Rješenje Hrvatske energetske regulatorne agencije (HERA) o izdavanju certifikata društvu Plinacro, operatoru prijenosnog sustava za plin, na temelju kojeg će se dovršiti potpuno razdvajanje djelatnosti prijenosa na tržištu plina i nadzora nad operatorom prijenosnog sustava u vlasništvu države od djelatnosti opskrbe i proizvodnje u državnom vlasništvu.  </w:t>
      </w:r>
    </w:p>
    <w:p w14:paraId="634E8279" w14:textId="77777777" w:rsidR="00733DCA" w:rsidRPr="006F3514" w:rsidRDefault="00733DCA" w:rsidP="00733DCA">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Donošenje novog Zakona o alternativnim gorivima u prometu radi uspostave zakonodavnog okvira za uvođenje alternativnih goriva u prometni sektor i promicanje proizvodnje i korištenja naprednih biogoriva i vodika u prometu. Izradit će se Strategija razvoja vodika kojom će se definirati ciljevi za proizvodnju zelenog vodika u Hrvatskoj do 2030. </w:t>
      </w:r>
    </w:p>
    <w:p w14:paraId="18C6C77C" w14:textId="77777777" w:rsidR="005A3019" w:rsidRDefault="00733DCA" w:rsidP="005A3019">
      <w:pPr>
        <w:spacing w:after="200" w:line="276" w:lineRule="auto"/>
        <w:rPr>
          <w:rFonts w:ascii="Times New Roman" w:eastAsia="Calibri" w:hAnsi="Times New Roman" w:cs="Times New Roman"/>
          <w:noProof/>
          <w:sz w:val="24"/>
          <w:szCs w:val="24"/>
        </w:rPr>
      </w:pPr>
      <w:r>
        <w:rPr>
          <w:rFonts w:ascii="Times New Roman" w:hAnsi="Times New Roman"/>
          <w:noProof/>
          <w:sz w:val="24"/>
        </w:rPr>
        <w:t>Reforma će biti dovršena do 31. prosinca 2023.</w:t>
      </w:r>
    </w:p>
    <w:p w14:paraId="7C7D5712" w14:textId="77777777" w:rsidR="00733DCA" w:rsidRPr="006F3514" w:rsidRDefault="00733DCA" w:rsidP="00BF57BC">
      <w:pPr>
        <w:spacing w:after="200" w:line="276" w:lineRule="auto"/>
        <w:ind w:left="720"/>
        <w:rPr>
          <w:rFonts w:ascii="Calibri" w:eastAsia="Calibri" w:hAnsi="Calibri" w:cs="Arial"/>
          <w:noProof/>
        </w:rPr>
      </w:pPr>
      <w:r>
        <w:rPr>
          <w:rFonts w:ascii="Times New Roman" w:hAnsi="Times New Roman"/>
          <w:noProof/>
          <w:sz w:val="24"/>
          <w:u w:val="single"/>
        </w:rPr>
        <w:t>Ulaganje C1.2. R1-I1 – Revitalizacija, izgradnja i digitalizacija energetskog sustava i prateće infrastrukture za dekarbonizaciju energetskog sektora</w:t>
      </w:r>
    </w:p>
    <w:p w14:paraId="6F823E74" w14:textId="77777777"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poduprijeti elektrifikaciju i dekarbonizaciju energetskog sektora nadogradnjom i digitalizacijom hrvatske prijenosne i distribucijske elektroenergetske mreže. Očekuje se da će to omogućiti kreiranje novih kapaciteta za proizvodnju energije iz obnovljivih izvora, bolju povezanost mreže jug-sjever te povezivanje šest otoka s kopnenom mrežom kako bi se iskoristio njihov potencijal za proizvodnju energije iz obnovljivih izvora i osiguralo dovođenje takve električne energije s juga Hrvatske, gdje se može postaviti najviše obnovljivih izvora električne energije, na sjever Hrvatske, gdje se troši najviše energije. Cilj je ulaganja izravno doprinijeti desetogodišnjem planu razvoja mreže koji provodi Hrvatski operator prijenosnog sustava d.o.o. (HOPS), s naglaskom na najvažnije elemente nužne za osiguravanje stabilnosti sustava i stvaranje preduvjeta za razvoj kapaciteta za energiju iz obnovljivih izvora. Ulaganje uključuje sljedeće aktivnosti:</w:t>
      </w:r>
    </w:p>
    <w:p w14:paraId="72A2DE26" w14:textId="77777777" w:rsidR="00733DCA" w:rsidRPr="006F3514" w:rsidRDefault="00733DCA" w:rsidP="00733DCA">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nadogradnja 550 km visokonaponske mreže (220/110 kV) omogućit će priključenje 1 500 MW energije iz obnovljivih izvora na elektroenergetsku mrežu,</w:t>
      </w:r>
    </w:p>
    <w:p w14:paraId="6D315B4D" w14:textId="77777777" w:rsidR="00733DCA" w:rsidRPr="006F3514" w:rsidRDefault="00733DCA" w:rsidP="00733DCA">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nadogradnja šest podmorskih kabela za povezivanje šest velikih otoka (Krk, Cres, Lošinj, Brač, Hvar i Korčula) s kopnom,</w:t>
      </w:r>
    </w:p>
    <w:p w14:paraId="198890C9" w14:textId="28AB73B9" w:rsidR="00733DCA" w:rsidRPr="006F3514" w:rsidRDefault="00733DCA" w:rsidP="00733DCA">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modernizacija distribucijskog sustava, uključujući kupnju i ugradnju 100 000 pametnih brojila i razvoj „pametne mreže”,</w:t>
      </w:r>
    </w:p>
    <w:p w14:paraId="27273395" w14:textId="6D705116" w:rsidR="00733DCA" w:rsidRPr="006F3514" w:rsidRDefault="00733DCA" w:rsidP="00733DCA">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izgradnja novih sustava za skladištenje energije (100 MWh).</w:t>
      </w:r>
    </w:p>
    <w:p w14:paraId="25F29653" w14:textId="500E64F5"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Ulaganja provode Hrvatski operator prijenosnog sustava za električnu energiju (HOPS), Operator distribucijskog sustava za električnu energiju (HEP-ODS) i drugi relevantni dionici i javna tijela.</w:t>
      </w:r>
    </w:p>
    <w:p w14:paraId="667DB4A8" w14:textId="77777777"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159F0AA0" w14:textId="77777777" w:rsidR="005A3019" w:rsidRDefault="005A3019" w:rsidP="0001477B">
      <w:pPr>
        <w:spacing w:after="200" w:line="276" w:lineRule="auto"/>
        <w:ind w:left="850"/>
        <w:jc w:val="both"/>
        <w:rPr>
          <w:rFonts w:ascii="Times New Roman" w:eastAsia="Calibri" w:hAnsi="Times New Roman" w:cs="Times New Roman"/>
          <w:noProof/>
          <w:sz w:val="24"/>
          <w:szCs w:val="24"/>
          <w:u w:val="single"/>
          <w:lang w:val="en-GB"/>
        </w:rPr>
      </w:pPr>
    </w:p>
    <w:p w14:paraId="34C86183" w14:textId="7A0693E7" w:rsidR="00733DCA" w:rsidRPr="006F3514" w:rsidRDefault="00733DCA" w:rsidP="00BF57BC">
      <w:pPr>
        <w:spacing w:after="200" w:line="276" w:lineRule="auto"/>
        <w:jc w:val="both"/>
        <w:rPr>
          <w:rFonts w:ascii="Times New Roman" w:eastAsia="Calibri" w:hAnsi="Times New Roman" w:cs="Times New Roman"/>
          <w:noProof/>
          <w:sz w:val="24"/>
        </w:rPr>
      </w:pPr>
      <w:r>
        <w:rPr>
          <w:rFonts w:ascii="Times New Roman" w:hAnsi="Times New Roman"/>
          <w:noProof/>
          <w:sz w:val="24"/>
          <w:u w:val="single"/>
        </w:rPr>
        <w:t>Ulaganje C1.2. R1-I2 – Poticanje energetske učinkovitosti, toplinarstva i obnovljivih izvora energije za dekarbonizaciju energetskog sektora</w:t>
      </w:r>
      <w:r>
        <w:rPr>
          <w:rFonts w:ascii="Times New Roman" w:hAnsi="Times New Roman"/>
          <w:noProof/>
          <w:sz w:val="24"/>
        </w:rPr>
        <w:t xml:space="preserve">Cilj je ulaganja dekarbonizirati centralizirane toplinske sustave i povećati energetsku učinkovitost u industrijskim proizvodnim procesima te time povećati korištenje obnovljivih izvora. Ulaganje uključuje dvije podmjere: </w:t>
      </w:r>
    </w:p>
    <w:p w14:paraId="0651BF53" w14:textId="77777777" w:rsidR="00733DCA" w:rsidRPr="006F3514" w:rsidRDefault="00733DCA" w:rsidP="00733DCA">
      <w:pPr>
        <w:keepNext/>
        <w:numPr>
          <w:ilvl w:val="0"/>
          <w:numId w:val="1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Geotermalna energija za centralizirano grijanje – ta podmjera uključuje izradu projektne dokumentacije i istražne bušotine radi uvođenja geotermalne energije za daljinsko grijanje u šest općina. Mjerom se ne predviđa potpora centralnim toplinskim sustavima koji upotrebljavaju fosilne izvore energije ni ulaganja u postrojenja koja su obuhvaćena područjem primjene EU-ova sustava za trgovanje emisijama (ETS).</w:t>
      </w:r>
    </w:p>
    <w:p w14:paraId="092599BD" w14:textId="77777777" w:rsidR="00733DCA" w:rsidRPr="006F3514" w:rsidRDefault="00733DCA" w:rsidP="00733DCA">
      <w:pPr>
        <w:keepNext/>
        <w:numPr>
          <w:ilvl w:val="0"/>
          <w:numId w:val="1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Uvođenje programa potpore za dodjelu potpore za ulaganja malim, srednjim i velikim poduzećima kako bi se povećala energetska učinkovitost u procesima industrijske proizvodnje energetski intenzivne proizvodne industrije. Očekuje se da će potporu primiti više od 50 društava. </w:t>
      </w:r>
    </w:p>
    <w:p w14:paraId="02879F30" w14:textId="77777777"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Kako bi se osigurala usklađenost mjere s Tehničkim smjernicama za primjenu načela nenanošenja bitne štete (2021/C58/01), kriterijima prihvatljivosti navedenima u opisu poslova za buduće pozive na podnošenje projekata bit će isključene one aktivnosti u okviru EU-ova sustava za trgovanje emisijama (ETS) kojima se postižu predviđene emisije stakleničkih plinova koje nisu znatno niže od relevantnih referentnih vrijednosti. U opisu poslova tražit će se i da se mogu odabrati samo one aktivnosti koje su u skladu s relevantnim EU-ovim i nacionalnim propisima o okolišu, s naglaskom na potpori proizvodnim procesima prihvatljivima za okoliš i resursnu učinkovitost u MSP-ovima (i velikim poduzećima). </w:t>
      </w:r>
    </w:p>
    <w:p w14:paraId="27F29868" w14:textId="77777777" w:rsidR="00733DCA" w:rsidRPr="006F3514" w:rsidRDefault="00733DCA" w:rsidP="0001477B">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 Ulaganje će biti dovršeno do 30. lipnja 2026.</w:t>
      </w:r>
    </w:p>
    <w:p w14:paraId="20CD8874" w14:textId="2DAD8FCB" w:rsidR="00733DCA" w:rsidRPr="006F3514" w:rsidRDefault="00733DCA" w:rsidP="0001477B">
      <w:pPr>
        <w:spacing w:after="200" w:line="276" w:lineRule="auto"/>
        <w:ind w:left="850"/>
        <w:jc w:val="both"/>
        <w:rPr>
          <w:rFonts w:ascii="Calibri" w:eastAsia="Calibri" w:hAnsi="Calibri" w:cs="Arial"/>
          <w:noProof/>
        </w:rPr>
      </w:pPr>
      <w:r>
        <w:rPr>
          <w:rFonts w:ascii="Times New Roman" w:hAnsi="Times New Roman"/>
          <w:noProof/>
          <w:sz w:val="24"/>
          <w:u w:val="single"/>
        </w:rPr>
        <w:t>Ulaganje C1.2. R1-I3 – Korištenje vodika i novih tehnologija</w:t>
      </w:r>
    </w:p>
    <w:p w14:paraId="07F89D3D" w14:textId="6CE2C36F" w:rsidR="00733DCA" w:rsidRPr="006F3514"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tog ulaganja unaprijediti korištenje vodika i novih tehnologija u Hrvatskoj kako bi se smanjile emisije stakleničkih plinova u prometnom sektoru i industriji, donošenjem zakona o alternativnim gorivima u prometu i strategije za vodik. </w:t>
      </w:r>
    </w:p>
    <w:p w14:paraId="0AA51722" w14:textId="18D6BA11" w:rsidR="00733DCA" w:rsidRPr="006F3514" w:rsidRDefault="00733DCA" w:rsidP="0001477B">
      <w:pPr>
        <w:spacing w:after="200" w:line="276" w:lineRule="auto"/>
        <w:jc w:val="both"/>
        <w:rPr>
          <w:rFonts w:ascii="Calibri" w:eastAsia="Calibri" w:hAnsi="Calibri" w:cs="Arial"/>
          <w:noProof/>
        </w:rPr>
      </w:pPr>
      <w:r>
        <w:rPr>
          <w:rFonts w:ascii="Times New Roman" w:hAnsi="Times New Roman"/>
          <w:noProof/>
          <w:sz w:val="24"/>
        </w:rPr>
        <w:t>Ulaganje će biti dovršeno do 31. ožujka 2022.</w:t>
      </w:r>
    </w:p>
    <w:p w14:paraId="724886B8" w14:textId="77777777" w:rsidR="00733DCA" w:rsidRDefault="00733DCA">
      <w:pPr>
        <w:rPr>
          <w:noProof/>
          <w:lang w:val="en-GB"/>
        </w:rPr>
        <w:sectPr w:rsidR="00733DC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08" w:footer="708" w:gutter="0"/>
          <w:cols w:space="708"/>
          <w:docGrid w:linePitch="360"/>
        </w:sectPr>
      </w:pPr>
    </w:p>
    <w:p w14:paraId="63653FFF" w14:textId="767227F3" w:rsidR="00733DCA" w:rsidRPr="006F3514" w:rsidRDefault="00733DCA" w:rsidP="002810BF">
      <w:pPr>
        <w:keepNext/>
        <w:tabs>
          <w:tab w:val="num" w:pos="850"/>
        </w:tabs>
        <w:spacing w:after="200" w:line="276" w:lineRule="auto"/>
        <w:ind w:left="851" w:right="-873"/>
        <w:jc w:val="both"/>
        <w:outlineLvl w:val="1"/>
        <w:rPr>
          <w:rFonts w:ascii="Calibri" w:eastAsia="Calibri" w:hAnsi="Calibri" w:cs="Arial"/>
          <w:noProof/>
        </w:rPr>
      </w:pPr>
      <w:r>
        <w:rPr>
          <w:rFonts w:ascii="Times New Roman" w:hAnsi="Times New Roman"/>
          <w:b/>
          <w:noProof/>
          <w:sz w:val="24"/>
          <w:u w:val="single"/>
        </w:rPr>
        <w:t xml:space="preserve">B.2. </w:t>
      </w:r>
      <w:r>
        <w:rPr>
          <w:noProof/>
        </w:rPr>
        <w:tab/>
      </w:r>
      <w:r>
        <w:rPr>
          <w:rFonts w:ascii="Times New Roman" w:hAnsi="Times New Roman"/>
          <w:b/>
          <w:noProof/>
          <w:sz w:val="24"/>
          <w:u w:val="single"/>
        </w:rPr>
        <w:t>Ključne etape, ciljne vrijednosti, pokazatelji i vremenski raspored za praćenje i provedbu programa bespovratne financijske potpore</w:t>
      </w:r>
    </w:p>
    <w:tbl>
      <w:tblPr>
        <w:tblW w:w="15072" w:type="dxa"/>
        <w:jc w:val="center"/>
        <w:tblCellMar>
          <w:top w:w="28" w:type="dxa"/>
          <w:left w:w="28" w:type="dxa"/>
          <w:bottom w:w="28" w:type="dxa"/>
          <w:right w:w="28" w:type="dxa"/>
        </w:tblCellMar>
        <w:tblLook w:val="04A0" w:firstRow="1" w:lastRow="0" w:firstColumn="1" w:lastColumn="0" w:noHBand="0" w:noVBand="1"/>
      </w:tblPr>
      <w:tblGrid>
        <w:gridCol w:w="705"/>
        <w:gridCol w:w="1077"/>
        <w:gridCol w:w="883"/>
        <w:gridCol w:w="1965"/>
        <w:gridCol w:w="27"/>
        <w:gridCol w:w="1990"/>
        <w:gridCol w:w="725"/>
        <w:gridCol w:w="1307"/>
        <w:gridCol w:w="1244"/>
        <w:gridCol w:w="1132"/>
        <w:gridCol w:w="708"/>
        <w:gridCol w:w="3309"/>
      </w:tblGrid>
      <w:tr w:rsidR="009C0C49" w:rsidRPr="006F3514" w14:paraId="3B563EE1" w14:textId="77777777" w:rsidTr="00FE43A1">
        <w:trPr>
          <w:trHeight w:val="438"/>
          <w:tblHeader/>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54FCEB"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Broj</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7790B2"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Mjera</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F6E7E3"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Ključna etapa / ciljna vrijednost</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2AC687"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Naziv</w:t>
            </w:r>
          </w:p>
        </w:tc>
        <w:tc>
          <w:tcPr>
            <w:tcW w:w="2017"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0F2BCC"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032" w:type="dxa"/>
            <w:gridSpan w:val="2"/>
            <w:tcBorders>
              <w:top w:val="single" w:sz="4" w:space="0" w:color="auto"/>
              <w:left w:val="single" w:sz="4" w:space="0" w:color="auto"/>
              <w:bottom w:val="single" w:sz="4" w:space="0" w:color="auto"/>
              <w:right w:val="single" w:sz="4" w:space="0" w:color="auto"/>
            </w:tcBorders>
            <w:shd w:val="clear" w:color="auto" w:fill="BDD7EE"/>
            <w:hideMark/>
          </w:tcPr>
          <w:p w14:paraId="0E0FE33D"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3084" w:type="dxa"/>
            <w:gridSpan w:val="3"/>
            <w:tcBorders>
              <w:top w:val="single" w:sz="4" w:space="0" w:color="auto"/>
              <w:left w:val="nil"/>
              <w:bottom w:val="single" w:sz="4" w:space="0" w:color="auto"/>
              <w:right w:val="single" w:sz="4" w:space="0" w:color="auto"/>
            </w:tcBorders>
            <w:shd w:val="clear" w:color="auto" w:fill="BDD7EE"/>
            <w:hideMark/>
          </w:tcPr>
          <w:p w14:paraId="128D627F"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Vrijeme</w:t>
            </w:r>
          </w:p>
        </w:tc>
        <w:tc>
          <w:tcPr>
            <w:tcW w:w="3309" w:type="dxa"/>
            <w:vMerge w:val="restart"/>
            <w:tcBorders>
              <w:top w:val="single" w:sz="4" w:space="0" w:color="auto"/>
              <w:left w:val="single" w:sz="4" w:space="0" w:color="auto"/>
              <w:right w:val="single" w:sz="4" w:space="0" w:color="auto"/>
            </w:tcBorders>
            <w:shd w:val="clear" w:color="auto" w:fill="BDD7EE"/>
            <w:vAlign w:val="center"/>
            <w:hideMark/>
          </w:tcPr>
          <w:p w14:paraId="5508529D"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Opis svake ključne etape i ciljne vrijednosti</w:t>
            </w:r>
          </w:p>
        </w:tc>
      </w:tr>
      <w:tr w:rsidR="009C0C49" w:rsidRPr="006F3514" w14:paraId="1B919838" w14:textId="77777777" w:rsidTr="00FE43A1">
        <w:trPr>
          <w:trHeight w:val="122"/>
          <w:tblHeader/>
          <w:jc w:val="center"/>
        </w:trPr>
        <w:tc>
          <w:tcPr>
            <w:tcW w:w="705" w:type="dxa"/>
            <w:vMerge/>
            <w:tcBorders>
              <w:top w:val="single" w:sz="4" w:space="0" w:color="auto"/>
              <w:left w:val="single" w:sz="4" w:space="0" w:color="auto"/>
              <w:bottom w:val="single" w:sz="4" w:space="0" w:color="auto"/>
              <w:right w:val="single" w:sz="4" w:space="0" w:color="auto"/>
            </w:tcBorders>
            <w:hideMark/>
          </w:tcPr>
          <w:p w14:paraId="76B72284"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077" w:type="dxa"/>
            <w:vMerge/>
            <w:tcBorders>
              <w:top w:val="single" w:sz="4" w:space="0" w:color="auto"/>
              <w:left w:val="single" w:sz="4" w:space="0" w:color="auto"/>
              <w:bottom w:val="single" w:sz="4" w:space="0" w:color="auto"/>
              <w:right w:val="single" w:sz="4" w:space="0" w:color="auto"/>
            </w:tcBorders>
            <w:hideMark/>
          </w:tcPr>
          <w:p w14:paraId="6AB4078E"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883" w:type="dxa"/>
            <w:vMerge/>
            <w:tcBorders>
              <w:top w:val="single" w:sz="4" w:space="0" w:color="auto"/>
              <w:left w:val="single" w:sz="4" w:space="0" w:color="auto"/>
              <w:bottom w:val="single" w:sz="4" w:space="0" w:color="auto"/>
              <w:right w:val="single" w:sz="4" w:space="0" w:color="auto"/>
            </w:tcBorders>
            <w:hideMark/>
          </w:tcPr>
          <w:p w14:paraId="1792B81E"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1965" w:type="dxa"/>
            <w:vMerge/>
            <w:tcBorders>
              <w:top w:val="single" w:sz="4" w:space="0" w:color="auto"/>
              <w:left w:val="single" w:sz="4" w:space="0" w:color="auto"/>
              <w:bottom w:val="single" w:sz="4" w:space="0" w:color="auto"/>
              <w:right w:val="single" w:sz="4" w:space="0" w:color="auto"/>
            </w:tcBorders>
            <w:hideMark/>
          </w:tcPr>
          <w:p w14:paraId="72AE0F18"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2017" w:type="dxa"/>
            <w:gridSpan w:val="2"/>
            <w:vMerge/>
            <w:tcBorders>
              <w:top w:val="single" w:sz="4" w:space="0" w:color="auto"/>
              <w:left w:val="single" w:sz="4" w:space="0" w:color="auto"/>
              <w:bottom w:val="single" w:sz="4" w:space="0" w:color="auto"/>
              <w:right w:val="single" w:sz="4" w:space="0" w:color="auto"/>
            </w:tcBorders>
            <w:hideMark/>
          </w:tcPr>
          <w:p w14:paraId="1A85EE67"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725" w:type="dxa"/>
            <w:tcBorders>
              <w:top w:val="nil"/>
              <w:left w:val="single" w:sz="4" w:space="0" w:color="auto"/>
              <w:bottom w:val="single" w:sz="4" w:space="0" w:color="auto"/>
              <w:right w:val="single" w:sz="4" w:space="0" w:color="auto"/>
            </w:tcBorders>
            <w:shd w:val="clear" w:color="auto" w:fill="BDD7EE"/>
            <w:hideMark/>
          </w:tcPr>
          <w:p w14:paraId="1F17A170"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Jedinica</w:t>
            </w:r>
          </w:p>
        </w:tc>
        <w:tc>
          <w:tcPr>
            <w:tcW w:w="1307" w:type="dxa"/>
            <w:tcBorders>
              <w:top w:val="nil"/>
              <w:left w:val="nil"/>
              <w:bottom w:val="single" w:sz="4" w:space="0" w:color="auto"/>
              <w:right w:val="single" w:sz="4" w:space="0" w:color="auto"/>
            </w:tcBorders>
            <w:shd w:val="clear" w:color="auto" w:fill="BDD7EE"/>
            <w:hideMark/>
          </w:tcPr>
          <w:p w14:paraId="68990C1E"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Osnovna vrijednost</w:t>
            </w:r>
          </w:p>
        </w:tc>
        <w:tc>
          <w:tcPr>
            <w:tcW w:w="1244" w:type="dxa"/>
            <w:tcBorders>
              <w:top w:val="nil"/>
              <w:left w:val="nil"/>
              <w:bottom w:val="single" w:sz="4" w:space="0" w:color="auto"/>
              <w:right w:val="single" w:sz="4" w:space="0" w:color="auto"/>
            </w:tcBorders>
            <w:shd w:val="clear" w:color="auto" w:fill="BDD7EE"/>
            <w:hideMark/>
          </w:tcPr>
          <w:p w14:paraId="5272D136"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Cilj</w:t>
            </w:r>
          </w:p>
        </w:tc>
        <w:tc>
          <w:tcPr>
            <w:tcW w:w="1132" w:type="dxa"/>
            <w:tcBorders>
              <w:top w:val="nil"/>
              <w:left w:val="nil"/>
              <w:bottom w:val="single" w:sz="4" w:space="0" w:color="auto"/>
              <w:right w:val="single" w:sz="4" w:space="0" w:color="auto"/>
            </w:tcBorders>
            <w:shd w:val="clear" w:color="auto" w:fill="BDD7EE"/>
            <w:hideMark/>
          </w:tcPr>
          <w:p w14:paraId="19D0D731"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Q</w:t>
            </w:r>
          </w:p>
        </w:tc>
        <w:tc>
          <w:tcPr>
            <w:tcW w:w="708" w:type="dxa"/>
            <w:tcBorders>
              <w:top w:val="nil"/>
              <w:left w:val="nil"/>
              <w:bottom w:val="single" w:sz="4" w:space="0" w:color="auto"/>
              <w:right w:val="single" w:sz="4" w:space="0" w:color="auto"/>
            </w:tcBorders>
            <w:shd w:val="clear" w:color="auto" w:fill="BDD7EE"/>
            <w:hideMark/>
          </w:tcPr>
          <w:p w14:paraId="7BDC2CB8" w14:textId="77777777" w:rsidR="00733DCA" w:rsidRPr="006F3514" w:rsidRDefault="00733DCA" w:rsidP="0001477B">
            <w:pPr>
              <w:spacing w:after="200" w:line="276" w:lineRule="auto"/>
              <w:jc w:val="center"/>
              <w:rPr>
                <w:rFonts w:ascii="Calibri" w:eastAsia="Calibri" w:hAnsi="Calibri" w:cs="Arial"/>
                <w:noProof/>
              </w:rPr>
            </w:pPr>
            <w:r>
              <w:rPr>
                <w:rFonts w:ascii="Times New Roman" w:hAnsi="Times New Roman"/>
                <w:b/>
                <w:noProof/>
                <w:sz w:val="18"/>
              </w:rPr>
              <w:t>Godina</w:t>
            </w:r>
          </w:p>
        </w:tc>
        <w:tc>
          <w:tcPr>
            <w:tcW w:w="3309" w:type="dxa"/>
            <w:vMerge/>
            <w:tcBorders>
              <w:left w:val="single" w:sz="4" w:space="0" w:color="auto"/>
              <w:right w:val="single" w:sz="4" w:space="0" w:color="auto"/>
            </w:tcBorders>
            <w:hideMark/>
          </w:tcPr>
          <w:p w14:paraId="48AC7858" w14:textId="77777777" w:rsidR="00733DCA" w:rsidRPr="006F3514" w:rsidRDefault="00733DCA" w:rsidP="0001477B">
            <w:pPr>
              <w:spacing w:after="0" w:line="276" w:lineRule="auto"/>
              <w:rPr>
                <w:rFonts w:ascii="Times New Roman" w:eastAsia="Times New Roman" w:hAnsi="Times New Roman" w:cs="Times New Roman"/>
                <w:b/>
                <w:noProof/>
                <w:lang w:val="en-GB" w:eastAsia="en-GB"/>
              </w:rPr>
            </w:pPr>
          </w:p>
        </w:tc>
      </w:tr>
      <w:tr w:rsidR="001D0368" w:rsidRPr="006F3514" w14:paraId="1A736D43"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3B89646D" w14:textId="77777777" w:rsidR="00733DCA" w:rsidRPr="006F3514"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36</w:t>
            </w:r>
          </w:p>
        </w:tc>
        <w:tc>
          <w:tcPr>
            <w:tcW w:w="1077" w:type="dxa"/>
            <w:tcBorders>
              <w:top w:val="single" w:sz="4" w:space="0" w:color="auto"/>
              <w:left w:val="nil"/>
              <w:bottom w:val="single" w:sz="4" w:space="0" w:color="auto"/>
              <w:right w:val="single" w:sz="4" w:space="0" w:color="auto"/>
            </w:tcBorders>
            <w:shd w:val="clear" w:color="auto" w:fill="C6EFCE"/>
            <w:noWrap/>
          </w:tcPr>
          <w:p w14:paraId="20DE7966"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w:t>
            </w:r>
          </w:p>
        </w:tc>
        <w:tc>
          <w:tcPr>
            <w:tcW w:w="883" w:type="dxa"/>
            <w:tcBorders>
              <w:top w:val="single" w:sz="4" w:space="0" w:color="auto"/>
              <w:left w:val="nil"/>
              <w:bottom w:val="single" w:sz="4" w:space="0" w:color="auto"/>
              <w:right w:val="single" w:sz="4" w:space="0" w:color="auto"/>
            </w:tcBorders>
            <w:shd w:val="clear" w:color="auto" w:fill="C6EFCE"/>
            <w:noWrap/>
          </w:tcPr>
          <w:p w14:paraId="11E402B1"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single" w:sz="4" w:space="0" w:color="auto"/>
              <w:left w:val="nil"/>
              <w:bottom w:val="single" w:sz="4" w:space="0" w:color="auto"/>
              <w:right w:val="single" w:sz="4" w:space="0" w:color="auto"/>
            </w:tcBorders>
            <w:shd w:val="clear" w:color="auto" w:fill="C6EFCE"/>
            <w:noWrap/>
          </w:tcPr>
          <w:p w14:paraId="73480276"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dokumenta o procjeni s preporukama za uklanjanje prepreka i olakšanje administrativnih postupaka koji sprečavaju veće korištenje energije iz obnovljivih izvora</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2C93519E"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Objava dokumenta o procjeni koji je sastavio MINGOR </w:t>
            </w:r>
          </w:p>
        </w:tc>
        <w:tc>
          <w:tcPr>
            <w:tcW w:w="725" w:type="dxa"/>
            <w:tcBorders>
              <w:top w:val="single" w:sz="4" w:space="0" w:color="auto"/>
              <w:left w:val="nil"/>
              <w:bottom w:val="single" w:sz="4" w:space="0" w:color="auto"/>
              <w:right w:val="single" w:sz="4" w:space="0" w:color="auto"/>
            </w:tcBorders>
            <w:shd w:val="clear" w:color="auto" w:fill="C6EFCE"/>
            <w:noWrap/>
          </w:tcPr>
          <w:p w14:paraId="2AAEF1D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nil"/>
              <w:left w:val="nil"/>
              <w:bottom w:val="single" w:sz="4" w:space="0" w:color="auto"/>
              <w:right w:val="single" w:sz="4" w:space="0" w:color="auto"/>
            </w:tcBorders>
            <w:shd w:val="clear" w:color="auto" w:fill="C6EFCE"/>
            <w:noWrap/>
          </w:tcPr>
          <w:p w14:paraId="14809DF9"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nil"/>
              <w:left w:val="nil"/>
              <w:bottom w:val="single" w:sz="4" w:space="0" w:color="auto"/>
              <w:right w:val="single" w:sz="4" w:space="0" w:color="auto"/>
            </w:tcBorders>
            <w:shd w:val="clear" w:color="auto" w:fill="C6EFCE"/>
            <w:noWrap/>
          </w:tcPr>
          <w:p w14:paraId="25391D45"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nil"/>
              <w:left w:val="nil"/>
              <w:bottom w:val="single" w:sz="4" w:space="0" w:color="auto"/>
              <w:right w:val="single" w:sz="4" w:space="0" w:color="auto"/>
            </w:tcBorders>
            <w:shd w:val="clear" w:color="auto" w:fill="C6EFCE"/>
            <w:noWrap/>
          </w:tcPr>
          <w:p w14:paraId="1B24A24E"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8" w:type="dxa"/>
            <w:tcBorders>
              <w:top w:val="nil"/>
              <w:left w:val="nil"/>
              <w:bottom w:val="single" w:sz="4" w:space="0" w:color="auto"/>
              <w:right w:val="single" w:sz="4" w:space="0" w:color="auto"/>
            </w:tcBorders>
            <w:shd w:val="clear" w:color="auto" w:fill="C6EFCE"/>
            <w:noWrap/>
          </w:tcPr>
          <w:p w14:paraId="677353B0"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309" w:type="dxa"/>
            <w:tcBorders>
              <w:top w:val="single" w:sz="4" w:space="0" w:color="auto"/>
              <w:left w:val="nil"/>
              <w:bottom w:val="single" w:sz="4" w:space="0" w:color="auto"/>
              <w:right w:val="single" w:sz="4" w:space="0" w:color="auto"/>
            </w:tcBorders>
            <w:shd w:val="clear" w:color="auto" w:fill="C6EFCE"/>
            <w:noWrap/>
          </w:tcPr>
          <w:p w14:paraId="4E5E8078"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dokumentu se navode procjena i preporuke o mjerama politike kojima se nastoje ukloniti prepreke i olakšati administrativni postupci koji sprečavaju veće korištenje obnovljivih izvora energije. Analiza i preporuke uključivat će i mjere za promicanje potrošnje energije iz obnovljivih izvora iz vlastite proizvodnje i zajednica energije iz obnovljivih izvora. </w:t>
            </w:r>
          </w:p>
        </w:tc>
      </w:tr>
      <w:tr w:rsidR="000E63A9" w:rsidRPr="006F3514" w14:paraId="107154DD" w14:textId="77777777" w:rsidTr="00FE43A1">
        <w:trPr>
          <w:jc w:val="center"/>
        </w:trPr>
        <w:tc>
          <w:tcPr>
            <w:tcW w:w="705" w:type="dxa"/>
            <w:tcBorders>
              <w:top w:val="nil"/>
              <w:left w:val="single" w:sz="4" w:space="0" w:color="auto"/>
              <w:bottom w:val="single" w:sz="4" w:space="0" w:color="auto"/>
              <w:right w:val="single" w:sz="4" w:space="0" w:color="auto"/>
            </w:tcBorders>
            <w:shd w:val="clear" w:color="auto" w:fill="C6EFCE"/>
            <w:noWrap/>
          </w:tcPr>
          <w:p w14:paraId="59336BDF"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37</w:t>
            </w:r>
          </w:p>
        </w:tc>
        <w:tc>
          <w:tcPr>
            <w:tcW w:w="1077" w:type="dxa"/>
            <w:tcBorders>
              <w:top w:val="nil"/>
              <w:left w:val="nil"/>
              <w:bottom w:val="single" w:sz="4" w:space="0" w:color="auto"/>
              <w:right w:val="single" w:sz="4" w:space="0" w:color="auto"/>
            </w:tcBorders>
            <w:shd w:val="clear" w:color="auto" w:fill="C6EFCE"/>
            <w:noWrap/>
          </w:tcPr>
          <w:p w14:paraId="24BE1D42"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w:t>
            </w:r>
          </w:p>
        </w:tc>
        <w:tc>
          <w:tcPr>
            <w:tcW w:w="883" w:type="dxa"/>
            <w:tcBorders>
              <w:top w:val="nil"/>
              <w:left w:val="nil"/>
              <w:bottom w:val="single" w:sz="4" w:space="0" w:color="auto"/>
              <w:right w:val="single" w:sz="4" w:space="0" w:color="auto"/>
            </w:tcBorders>
            <w:shd w:val="clear" w:color="auto" w:fill="C6EFCE"/>
            <w:noWrap/>
          </w:tcPr>
          <w:p w14:paraId="2C753F40"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nil"/>
              <w:left w:val="nil"/>
              <w:bottom w:val="single" w:sz="4" w:space="0" w:color="auto"/>
              <w:right w:val="single" w:sz="4" w:space="0" w:color="auto"/>
            </w:tcBorders>
            <w:shd w:val="clear" w:color="auto" w:fill="C6EFCE"/>
            <w:noWrap/>
          </w:tcPr>
          <w:p w14:paraId="29083EA9"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zakona i/ili drugog propisa za povećanje korištenje energije iz obnovljivih izvora, uključujući uvođenje sustava temeljenog na premijama radi podupiranja obnovljivih izvora energije.</w:t>
            </w:r>
          </w:p>
        </w:tc>
        <w:tc>
          <w:tcPr>
            <w:tcW w:w="2017" w:type="dxa"/>
            <w:gridSpan w:val="2"/>
            <w:tcBorders>
              <w:top w:val="nil"/>
              <w:left w:val="nil"/>
              <w:bottom w:val="single" w:sz="4" w:space="0" w:color="auto"/>
              <w:right w:val="single" w:sz="4" w:space="0" w:color="auto"/>
            </w:tcBorders>
            <w:shd w:val="clear" w:color="auto" w:fill="C6EFCE"/>
            <w:noWrap/>
          </w:tcPr>
          <w:p w14:paraId="3C58AD04"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zakona i/ili drugog propisa </w:t>
            </w:r>
          </w:p>
        </w:tc>
        <w:tc>
          <w:tcPr>
            <w:tcW w:w="725" w:type="dxa"/>
            <w:tcBorders>
              <w:top w:val="nil"/>
              <w:left w:val="nil"/>
              <w:bottom w:val="single" w:sz="4" w:space="0" w:color="auto"/>
              <w:right w:val="single" w:sz="4" w:space="0" w:color="auto"/>
            </w:tcBorders>
            <w:shd w:val="clear" w:color="auto" w:fill="C6EFCE"/>
            <w:noWrap/>
          </w:tcPr>
          <w:p w14:paraId="30F24134"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nil"/>
              <w:left w:val="nil"/>
              <w:bottom w:val="single" w:sz="4" w:space="0" w:color="auto"/>
              <w:right w:val="single" w:sz="4" w:space="0" w:color="auto"/>
            </w:tcBorders>
            <w:shd w:val="clear" w:color="auto" w:fill="C6EFCE"/>
            <w:noWrap/>
          </w:tcPr>
          <w:p w14:paraId="58BC3E0F"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nil"/>
              <w:left w:val="nil"/>
              <w:bottom w:val="single" w:sz="4" w:space="0" w:color="auto"/>
              <w:right w:val="single" w:sz="4" w:space="0" w:color="auto"/>
            </w:tcBorders>
            <w:shd w:val="clear" w:color="auto" w:fill="C6EFCE"/>
            <w:noWrap/>
          </w:tcPr>
          <w:p w14:paraId="48A59AF1"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nil"/>
              <w:left w:val="nil"/>
              <w:bottom w:val="single" w:sz="4" w:space="0" w:color="auto"/>
              <w:right w:val="single" w:sz="4" w:space="0" w:color="auto"/>
            </w:tcBorders>
            <w:shd w:val="clear" w:color="auto" w:fill="C6EFCE"/>
            <w:noWrap/>
          </w:tcPr>
          <w:p w14:paraId="1435F30F"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8" w:type="dxa"/>
            <w:tcBorders>
              <w:top w:val="nil"/>
              <w:left w:val="nil"/>
              <w:bottom w:val="single" w:sz="4" w:space="0" w:color="auto"/>
              <w:right w:val="single" w:sz="4" w:space="0" w:color="auto"/>
            </w:tcBorders>
            <w:shd w:val="clear" w:color="auto" w:fill="C6EFCE"/>
            <w:noWrap/>
          </w:tcPr>
          <w:p w14:paraId="74BA4250"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309" w:type="dxa"/>
            <w:tcBorders>
              <w:top w:val="nil"/>
              <w:left w:val="nil"/>
              <w:bottom w:val="single" w:sz="4" w:space="0" w:color="auto"/>
              <w:right w:val="single" w:sz="4" w:space="0" w:color="auto"/>
            </w:tcBorders>
            <w:shd w:val="clear" w:color="auto" w:fill="C6EFCE"/>
            <w:noWrap/>
          </w:tcPr>
          <w:p w14:paraId="288EFC49"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Izmijenjenim Zakonom o tržištu električne energije i Zakonom o visokoučinkovitoj kogeneraciji smanjuju se prepreke i olakšavaju administrativni postupci koji sprečavaju veće korištenje obnovljivih izvora energije, uključujući mjere za promicanje potrošnje energije iz obnovljivih izvora iz vlastite proizvodnje i zajednica energije iz obnovljivih izvora. Sustav koji se temelji na premijama za potporu obnovljivim izvorima energije bit će potpuno operativan.</w:t>
            </w:r>
          </w:p>
        </w:tc>
      </w:tr>
      <w:tr w:rsidR="000E63A9" w:rsidRPr="006F3514" w14:paraId="1B444D25"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66D15BAE"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38</w:t>
            </w:r>
          </w:p>
        </w:tc>
        <w:tc>
          <w:tcPr>
            <w:tcW w:w="1077" w:type="dxa"/>
            <w:tcBorders>
              <w:top w:val="single" w:sz="4" w:space="0" w:color="auto"/>
              <w:left w:val="nil"/>
              <w:bottom w:val="single" w:sz="4" w:space="0" w:color="auto"/>
              <w:right w:val="single" w:sz="4" w:space="0" w:color="auto"/>
            </w:tcBorders>
            <w:shd w:val="clear" w:color="auto" w:fill="C6EFCE"/>
            <w:noWrap/>
          </w:tcPr>
          <w:p w14:paraId="08B7014C"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w:t>
            </w:r>
          </w:p>
        </w:tc>
        <w:tc>
          <w:tcPr>
            <w:tcW w:w="883" w:type="dxa"/>
            <w:tcBorders>
              <w:top w:val="single" w:sz="4" w:space="0" w:color="auto"/>
              <w:left w:val="nil"/>
              <w:bottom w:val="single" w:sz="4" w:space="0" w:color="auto"/>
              <w:right w:val="single" w:sz="4" w:space="0" w:color="auto"/>
            </w:tcBorders>
            <w:shd w:val="clear" w:color="auto" w:fill="C6EFCE"/>
            <w:noWrap/>
          </w:tcPr>
          <w:p w14:paraId="6FB9875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single" w:sz="4" w:space="0" w:color="auto"/>
              <w:left w:val="nil"/>
              <w:bottom w:val="single" w:sz="4" w:space="0" w:color="auto"/>
              <w:right w:val="single" w:sz="4" w:space="0" w:color="auto"/>
            </w:tcBorders>
            <w:shd w:val="clear" w:color="auto" w:fill="C6EFCE"/>
            <w:noWrap/>
          </w:tcPr>
          <w:p w14:paraId="3B8A006E" w14:textId="77777777" w:rsidR="00733DCA"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Izdavanje certifikata Hrvatske energetske regulatorne agencije (HERA) društvu Plinacro</w:t>
            </w:r>
          </w:p>
          <w:p w14:paraId="383F3E20" w14:textId="3CEE18EF" w:rsidR="00733DCA" w:rsidRPr="006F3514" w:rsidRDefault="00733DCA" w:rsidP="0001477B">
            <w:pPr>
              <w:spacing w:after="200" w:line="276" w:lineRule="auto"/>
              <w:rPr>
                <w:rFonts w:ascii="Times New Roman" w:eastAsia="Calibri" w:hAnsi="Times New Roman" w:cs="Times New Roman"/>
                <w:noProof/>
                <w:sz w:val="20"/>
                <w:szCs w:val="20"/>
                <w:lang w:val="en-GB"/>
              </w:rPr>
            </w:pP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6D3F1402" w14:textId="2BAC762D"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Hrvatska energetska regulatorna agencija (HERA) donijela rješenje o izdavanju certifikata </w:t>
            </w:r>
          </w:p>
        </w:tc>
        <w:tc>
          <w:tcPr>
            <w:tcW w:w="725" w:type="dxa"/>
            <w:tcBorders>
              <w:top w:val="single" w:sz="4" w:space="0" w:color="auto"/>
              <w:left w:val="nil"/>
              <w:bottom w:val="single" w:sz="4" w:space="0" w:color="auto"/>
              <w:right w:val="single" w:sz="4" w:space="0" w:color="auto"/>
            </w:tcBorders>
            <w:shd w:val="clear" w:color="auto" w:fill="C6EFCE"/>
            <w:noWrap/>
          </w:tcPr>
          <w:p w14:paraId="27EF8E6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single" w:sz="4" w:space="0" w:color="auto"/>
              <w:left w:val="nil"/>
              <w:bottom w:val="single" w:sz="4" w:space="0" w:color="auto"/>
              <w:right w:val="single" w:sz="4" w:space="0" w:color="auto"/>
            </w:tcBorders>
            <w:shd w:val="clear" w:color="auto" w:fill="C6EFCE"/>
            <w:noWrap/>
          </w:tcPr>
          <w:p w14:paraId="2C36109B"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single" w:sz="4" w:space="0" w:color="auto"/>
              <w:left w:val="nil"/>
              <w:bottom w:val="single" w:sz="4" w:space="0" w:color="auto"/>
              <w:right w:val="single" w:sz="4" w:space="0" w:color="auto"/>
            </w:tcBorders>
            <w:shd w:val="clear" w:color="auto" w:fill="C6EFCE"/>
            <w:noWrap/>
          </w:tcPr>
          <w:p w14:paraId="3127DD55"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single" w:sz="4" w:space="0" w:color="auto"/>
              <w:left w:val="nil"/>
              <w:bottom w:val="single" w:sz="4" w:space="0" w:color="auto"/>
              <w:right w:val="single" w:sz="4" w:space="0" w:color="auto"/>
            </w:tcBorders>
            <w:shd w:val="clear" w:color="auto" w:fill="C6EFCE"/>
            <w:noWrap/>
          </w:tcPr>
          <w:p w14:paraId="6162C33E"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8" w:type="dxa"/>
            <w:tcBorders>
              <w:top w:val="single" w:sz="4" w:space="0" w:color="auto"/>
              <w:left w:val="nil"/>
              <w:bottom w:val="single" w:sz="4" w:space="0" w:color="auto"/>
              <w:right w:val="single" w:sz="4" w:space="0" w:color="auto"/>
            </w:tcBorders>
            <w:shd w:val="clear" w:color="auto" w:fill="C6EFCE"/>
            <w:noWrap/>
          </w:tcPr>
          <w:p w14:paraId="24E918A9"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309" w:type="dxa"/>
            <w:tcBorders>
              <w:top w:val="single" w:sz="4" w:space="0" w:color="auto"/>
              <w:left w:val="nil"/>
              <w:bottom w:val="single" w:sz="4" w:space="0" w:color="auto"/>
              <w:right w:val="single" w:sz="4" w:space="0" w:color="auto"/>
            </w:tcBorders>
            <w:shd w:val="clear" w:color="auto" w:fill="C6EFCE"/>
            <w:noWrap/>
          </w:tcPr>
          <w:p w14:paraId="1D63DDE5" w14:textId="374E2EDB"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Potpuno razdvajanje upravljanja operatorom prijenosnog sustava za plin (Plinacro) od djelatnosti opskrbe i proizvodnje u državnom vlasništvu i njegova certifikacija od strane Hrvatske energetske regulatorne agencije (HERA)</w:t>
            </w:r>
          </w:p>
        </w:tc>
      </w:tr>
      <w:tr w:rsidR="000E63A9" w:rsidRPr="006F3514" w14:paraId="16E8BBE7"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26504BB3"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39</w:t>
            </w:r>
          </w:p>
        </w:tc>
        <w:tc>
          <w:tcPr>
            <w:tcW w:w="1077" w:type="dxa"/>
            <w:tcBorders>
              <w:top w:val="single" w:sz="4" w:space="0" w:color="auto"/>
              <w:left w:val="nil"/>
              <w:bottom w:val="single" w:sz="4" w:space="0" w:color="auto"/>
              <w:right w:val="single" w:sz="4" w:space="0" w:color="auto"/>
            </w:tcBorders>
            <w:shd w:val="clear" w:color="auto" w:fill="C6EFCE"/>
            <w:noWrap/>
          </w:tcPr>
          <w:p w14:paraId="7174E1E6"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2C0B2686"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single" w:sz="4" w:space="0" w:color="auto"/>
              <w:left w:val="nil"/>
              <w:bottom w:val="single" w:sz="4" w:space="0" w:color="auto"/>
              <w:right w:val="single" w:sz="4" w:space="0" w:color="auto"/>
            </w:tcBorders>
            <w:shd w:val="clear" w:color="auto" w:fill="C6EFCE"/>
            <w:noWrap/>
          </w:tcPr>
          <w:p w14:paraId="42D1A0CC"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Građevinska dozvola izdana za modernizaciju visokonaponske mreže</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7F127BD6"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Ministarstvo prostornog uređenja, graditeljstva i državne imovine (MPGI) izdalo je građevinsku dozvolu</w:t>
            </w:r>
          </w:p>
        </w:tc>
        <w:tc>
          <w:tcPr>
            <w:tcW w:w="725" w:type="dxa"/>
            <w:tcBorders>
              <w:top w:val="single" w:sz="4" w:space="0" w:color="auto"/>
              <w:left w:val="nil"/>
              <w:bottom w:val="single" w:sz="4" w:space="0" w:color="auto"/>
              <w:right w:val="single" w:sz="4" w:space="0" w:color="auto"/>
            </w:tcBorders>
            <w:shd w:val="clear" w:color="auto" w:fill="C6EFCE"/>
            <w:noWrap/>
          </w:tcPr>
          <w:p w14:paraId="0325B6C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single" w:sz="4" w:space="0" w:color="auto"/>
              <w:left w:val="nil"/>
              <w:bottom w:val="single" w:sz="4" w:space="0" w:color="auto"/>
              <w:right w:val="single" w:sz="4" w:space="0" w:color="auto"/>
            </w:tcBorders>
            <w:shd w:val="clear" w:color="auto" w:fill="C6EFCE"/>
            <w:noWrap/>
          </w:tcPr>
          <w:p w14:paraId="58E0E73F"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single" w:sz="4" w:space="0" w:color="auto"/>
              <w:left w:val="nil"/>
              <w:bottom w:val="single" w:sz="4" w:space="0" w:color="auto"/>
              <w:right w:val="single" w:sz="4" w:space="0" w:color="auto"/>
            </w:tcBorders>
            <w:shd w:val="clear" w:color="auto" w:fill="C6EFCE"/>
            <w:noWrap/>
          </w:tcPr>
          <w:p w14:paraId="471453A0"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single" w:sz="4" w:space="0" w:color="auto"/>
              <w:left w:val="nil"/>
              <w:bottom w:val="single" w:sz="4" w:space="0" w:color="auto"/>
              <w:right w:val="single" w:sz="4" w:space="0" w:color="auto"/>
            </w:tcBorders>
            <w:shd w:val="clear" w:color="auto" w:fill="C6EFCE"/>
            <w:noWrap/>
          </w:tcPr>
          <w:p w14:paraId="71D8F5A4"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8" w:type="dxa"/>
            <w:tcBorders>
              <w:top w:val="single" w:sz="4" w:space="0" w:color="auto"/>
              <w:left w:val="nil"/>
              <w:bottom w:val="single" w:sz="4" w:space="0" w:color="auto"/>
              <w:right w:val="single" w:sz="4" w:space="0" w:color="auto"/>
            </w:tcBorders>
            <w:shd w:val="clear" w:color="auto" w:fill="C6EFCE"/>
            <w:noWrap/>
          </w:tcPr>
          <w:p w14:paraId="2B549096"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309" w:type="dxa"/>
            <w:tcBorders>
              <w:top w:val="single" w:sz="4" w:space="0" w:color="auto"/>
              <w:left w:val="nil"/>
              <w:bottom w:val="single" w:sz="4" w:space="0" w:color="auto"/>
              <w:right w:val="single" w:sz="4" w:space="0" w:color="auto"/>
            </w:tcBorders>
            <w:shd w:val="clear" w:color="auto" w:fill="C6EFCE"/>
            <w:noWrap/>
          </w:tcPr>
          <w:p w14:paraId="663B95A5"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Građevinska dozvola izdana, nakon provedbe pregleda i/ili odgovarajuće procjene u skladu s člankom 6. stavkom 3. Direktive o staništima s obzirom na posebne ciljeve očuvanja područja u skladu sa zahtjevima Direktive. Dostavit će se dokazi da projekt nema bitan utjecaj na cjelovitost dotičnih područja mreže Natura 2000. </w:t>
            </w:r>
          </w:p>
        </w:tc>
      </w:tr>
      <w:tr w:rsidR="000E63A9" w:rsidRPr="006F3514" w14:paraId="0C3BA54D"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797D420A"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40</w:t>
            </w:r>
          </w:p>
        </w:tc>
        <w:tc>
          <w:tcPr>
            <w:tcW w:w="1077" w:type="dxa"/>
            <w:tcBorders>
              <w:top w:val="single" w:sz="4" w:space="0" w:color="auto"/>
              <w:left w:val="nil"/>
              <w:bottom w:val="single" w:sz="4" w:space="0" w:color="auto"/>
              <w:right w:val="single" w:sz="4" w:space="0" w:color="auto"/>
            </w:tcBorders>
            <w:shd w:val="clear" w:color="auto" w:fill="C6EFCE"/>
            <w:noWrap/>
          </w:tcPr>
          <w:p w14:paraId="555B7184"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301EC6C5"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27BC4A09"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Dovršena je nadogradnja podzemnih kabela kojima se šest otoka povezuje s kopnenom mrežom </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7D710645"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740A7E73"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307" w:type="dxa"/>
            <w:tcBorders>
              <w:top w:val="single" w:sz="4" w:space="0" w:color="auto"/>
              <w:left w:val="nil"/>
              <w:bottom w:val="single" w:sz="4" w:space="0" w:color="auto"/>
              <w:right w:val="single" w:sz="4" w:space="0" w:color="auto"/>
            </w:tcBorders>
            <w:shd w:val="clear" w:color="auto" w:fill="C6EFCE"/>
            <w:noWrap/>
          </w:tcPr>
          <w:p w14:paraId="51A1E58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4AEE7D13"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w:t>
            </w:r>
          </w:p>
        </w:tc>
        <w:tc>
          <w:tcPr>
            <w:tcW w:w="1132" w:type="dxa"/>
            <w:tcBorders>
              <w:top w:val="single" w:sz="4" w:space="0" w:color="auto"/>
              <w:left w:val="nil"/>
              <w:bottom w:val="single" w:sz="4" w:space="0" w:color="auto"/>
              <w:right w:val="single" w:sz="4" w:space="0" w:color="auto"/>
            </w:tcBorders>
            <w:shd w:val="clear" w:color="auto" w:fill="C6EFCE"/>
            <w:noWrap/>
          </w:tcPr>
          <w:p w14:paraId="3A411B5E"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8" w:type="dxa"/>
            <w:tcBorders>
              <w:top w:val="single" w:sz="4" w:space="0" w:color="auto"/>
              <w:left w:val="nil"/>
              <w:bottom w:val="single" w:sz="4" w:space="0" w:color="auto"/>
              <w:right w:val="single" w:sz="4" w:space="0" w:color="auto"/>
            </w:tcBorders>
            <w:shd w:val="clear" w:color="auto" w:fill="C6EFCE"/>
            <w:noWrap/>
          </w:tcPr>
          <w:p w14:paraId="6EC3BA5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309" w:type="dxa"/>
            <w:tcBorders>
              <w:top w:val="single" w:sz="4" w:space="0" w:color="auto"/>
              <w:left w:val="nil"/>
              <w:bottom w:val="single" w:sz="4" w:space="0" w:color="auto"/>
              <w:right w:val="single" w:sz="4" w:space="0" w:color="auto"/>
            </w:tcBorders>
            <w:shd w:val="clear" w:color="auto" w:fill="C6EFCE"/>
            <w:noWrap/>
          </w:tcPr>
          <w:p w14:paraId="65D08999"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šest otoka ima nadograđenu vezu elektroenergetske mreže s kopnom (planirani su otoci Krk, Cres, Lošinj, Brač, Hvar i Korčula). Ulaganje uključuje zamjenu starih podmorskih kabela novim, ekološki prihvatljivim kabelima.</w:t>
            </w:r>
          </w:p>
        </w:tc>
      </w:tr>
      <w:tr w:rsidR="000E63A9" w:rsidRPr="006F3514" w14:paraId="5A1590E2"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674131F8"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41</w:t>
            </w:r>
          </w:p>
        </w:tc>
        <w:tc>
          <w:tcPr>
            <w:tcW w:w="1077" w:type="dxa"/>
            <w:tcBorders>
              <w:top w:val="single" w:sz="4" w:space="0" w:color="auto"/>
              <w:left w:val="nil"/>
              <w:bottom w:val="single" w:sz="4" w:space="0" w:color="auto"/>
              <w:right w:val="single" w:sz="4" w:space="0" w:color="auto"/>
            </w:tcBorders>
            <w:shd w:val="clear" w:color="auto" w:fill="C6EFCE"/>
            <w:noWrap/>
          </w:tcPr>
          <w:p w14:paraId="4B26DD5F"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2D075D08"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0E88B561"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Dovršena nadogradnja visokonaponske mreže (220/110 kV) </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2DA309EE"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Dovršetak nadogradnje mreže visokog i srednjeg napona (220/110 kV)</w:t>
            </w:r>
          </w:p>
        </w:tc>
        <w:tc>
          <w:tcPr>
            <w:tcW w:w="725" w:type="dxa"/>
            <w:tcBorders>
              <w:top w:val="single" w:sz="4" w:space="0" w:color="auto"/>
              <w:left w:val="nil"/>
              <w:bottom w:val="single" w:sz="4" w:space="0" w:color="auto"/>
              <w:right w:val="single" w:sz="4" w:space="0" w:color="auto"/>
            </w:tcBorders>
            <w:shd w:val="clear" w:color="auto" w:fill="C6EFCE"/>
            <w:noWrap/>
          </w:tcPr>
          <w:p w14:paraId="62C0B212"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km</w:t>
            </w:r>
          </w:p>
        </w:tc>
        <w:tc>
          <w:tcPr>
            <w:tcW w:w="1307" w:type="dxa"/>
            <w:tcBorders>
              <w:top w:val="single" w:sz="4" w:space="0" w:color="auto"/>
              <w:left w:val="nil"/>
              <w:bottom w:val="single" w:sz="4" w:space="0" w:color="auto"/>
              <w:right w:val="single" w:sz="4" w:space="0" w:color="auto"/>
            </w:tcBorders>
            <w:shd w:val="clear" w:color="auto" w:fill="C6EFCE"/>
            <w:noWrap/>
          </w:tcPr>
          <w:p w14:paraId="157C48BD"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5BFF3939"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300</w:t>
            </w:r>
          </w:p>
        </w:tc>
        <w:tc>
          <w:tcPr>
            <w:tcW w:w="1132" w:type="dxa"/>
            <w:tcBorders>
              <w:top w:val="single" w:sz="4" w:space="0" w:color="auto"/>
              <w:left w:val="nil"/>
              <w:bottom w:val="single" w:sz="4" w:space="0" w:color="auto"/>
              <w:right w:val="single" w:sz="4" w:space="0" w:color="auto"/>
            </w:tcBorders>
            <w:shd w:val="clear" w:color="auto" w:fill="C6EFCE"/>
            <w:noWrap/>
          </w:tcPr>
          <w:p w14:paraId="6943333F"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3.</w:t>
            </w:r>
          </w:p>
        </w:tc>
        <w:tc>
          <w:tcPr>
            <w:tcW w:w="708" w:type="dxa"/>
            <w:tcBorders>
              <w:top w:val="single" w:sz="4" w:space="0" w:color="auto"/>
              <w:left w:val="nil"/>
              <w:bottom w:val="single" w:sz="4" w:space="0" w:color="auto"/>
              <w:right w:val="single" w:sz="4" w:space="0" w:color="auto"/>
            </w:tcBorders>
            <w:shd w:val="clear" w:color="auto" w:fill="C6EFCE"/>
            <w:noWrap/>
          </w:tcPr>
          <w:p w14:paraId="5211D52C"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2024.</w:t>
            </w:r>
          </w:p>
        </w:tc>
        <w:tc>
          <w:tcPr>
            <w:tcW w:w="3309" w:type="dxa"/>
            <w:tcBorders>
              <w:top w:val="single" w:sz="4" w:space="0" w:color="auto"/>
              <w:left w:val="nil"/>
              <w:bottom w:val="single" w:sz="4" w:space="0" w:color="auto"/>
              <w:right w:val="single" w:sz="4" w:space="0" w:color="auto"/>
            </w:tcBorders>
            <w:shd w:val="clear" w:color="auto" w:fill="C6EFCE"/>
            <w:noWrap/>
          </w:tcPr>
          <w:p w14:paraId="112BD84C"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Nadograđeno najmanje 300 km visokonaponskih vodova, čime se ojačava priključivanje na mrežu i stvaraju preduvjeti za stabilizaciju sustava i iskorištavanje potencijala za proizvodnju energije iz obnovljivih izvora u južnoj Hrvatskoj. </w:t>
            </w:r>
            <w:r>
              <w:rPr>
                <w:rFonts w:ascii="Calibri" w:hAnsi="Calibri"/>
                <w:noProof/>
                <w:color w:val="000000"/>
                <w:sz w:val="20"/>
              </w:rPr>
              <w:br/>
              <w:t xml:space="preserve">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(2021/C58/01).  </w:t>
            </w:r>
          </w:p>
        </w:tc>
      </w:tr>
      <w:tr w:rsidR="000E63A9" w:rsidRPr="006F3514" w14:paraId="79F67884"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08640D90"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42</w:t>
            </w:r>
          </w:p>
        </w:tc>
        <w:tc>
          <w:tcPr>
            <w:tcW w:w="1077" w:type="dxa"/>
            <w:tcBorders>
              <w:top w:val="single" w:sz="4" w:space="0" w:color="auto"/>
              <w:left w:val="nil"/>
              <w:bottom w:val="single" w:sz="4" w:space="0" w:color="auto"/>
              <w:right w:val="single" w:sz="4" w:space="0" w:color="auto"/>
            </w:tcBorders>
            <w:shd w:val="clear" w:color="auto" w:fill="C6EFCE"/>
            <w:noWrap/>
          </w:tcPr>
          <w:p w14:paraId="01691087"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36ABBBE6"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75542A83"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Dodatnih 1 500 MW kapaciteta obnovljivih izvora energije priključeno je na mrežu.</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38EFE597"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6647B163"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307" w:type="dxa"/>
            <w:tcBorders>
              <w:top w:val="single" w:sz="4" w:space="0" w:color="auto"/>
              <w:left w:val="nil"/>
              <w:bottom w:val="single" w:sz="4" w:space="0" w:color="auto"/>
              <w:right w:val="single" w:sz="4" w:space="0" w:color="auto"/>
            </w:tcBorders>
            <w:shd w:val="clear" w:color="auto" w:fill="C6EFCE"/>
            <w:noWrap/>
          </w:tcPr>
          <w:p w14:paraId="676D1381"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5E92355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1 500</w:t>
            </w:r>
          </w:p>
        </w:tc>
        <w:tc>
          <w:tcPr>
            <w:tcW w:w="1132" w:type="dxa"/>
            <w:tcBorders>
              <w:top w:val="single" w:sz="4" w:space="0" w:color="auto"/>
              <w:left w:val="nil"/>
              <w:bottom w:val="single" w:sz="4" w:space="0" w:color="auto"/>
              <w:right w:val="single" w:sz="4" w:space="0" w:color="auto"/>
            </w:tcBorders>
            <w:shd w:val="clear" w:color="auto" w:fill="C6EFCE"/>
            <w:noWrap/>
          </w:tcPr>
          <w:p w14:paraId="2A14757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8" w:type="dxa"/>
            <w:tcBorders>
              <w:top w:val="single" w:sz="4" w:space="0" w:color="auto"/>
              <w:left w:val="nil"/>
              <w:bottom w:val="single" w:sz="4" w:space="0" w:color="auto"/>
              <w:right w:val="single" w:sz="4" w:space="0" w:color="auto"/>
            </w:tcBorders>
            <w:shd w:val="clear" w:color="auto" w:fill="C6EFCE"/>
            <w:noWrap/>
          </w:tcPr>
          <w:p w14:paraId="6DEC090F"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309" w:type="dxa"/>
            <w:tcBorders>
              <w:top w:val="single" w:sz="4" w:space="0" w:color="auto"/>
              <w:left w:val="nil"/>
              <w:bottom w:val="single" w:sz="4" w:space="0" w:color="auto"/>
              <w:right w:val="single" w:sz="4" w:space="0" w:color="auto"/>
            </w:tcBorders>
            <w:shd w:val="clear" w:color="auto" w:fill="C6EFCE"/>
            <w:noWrap/>
          </w:tcPr>
          <w:p w14:paraId="13247DB0"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1 500 MW novoinstaliranih kapaciteta obnovljivih izvora energije priključeno na mrežu do kraja 2024.</w:t>
            </w:r>
          </w:p>
        </w:tc>
      </w:tr>
      <w:tr w:rsidR="000E63A9" w:rsidRPr="006F3514" w14:paraId="4E906DFF"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7F7A46E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43</w:t>
            </w:r>
          </w:p>
        </w:tc>
        <w:tc>
          <w:tcPr>
            <w:tcW w:w="1077" w:type="dxa"/>
            <w:tcBorders>
              <w:top w:val="single" w:sz="4" w:space="0" w:color="auto"/>
              <w:left w:val="nil"/>
              <w:bottom w:val="single" w:sz="4" w:space="0" w:color="auto"/>
              <w:right w:val="single" w:sz="4" w:space="0" w:color="auto"/>
            </w:tcBorders>
            <w:shd w:val="clear" w:color="auto" w:fill="C6EFCE"/>
            <w:noWrap/>
          </w:tcPr>
          <w:p w14:paraId="10FEFBF0"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2113EEF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14C27BB4"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Broj novih potrošača priključenih na pametnu mrežu</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04106E4D"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05644583"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307" w:type="dxa"/>
            <w:tcBorders>
              <w:top w:val="single" w:sz="4" w:space="0" w:color="auto"/>
              <w:left w:val="nil"/>
              <w:bottom w:val="single" w:sz="4" w:space="0" w:color="auto"/>
              <w:right w:val="single" w:sz="4" w:space="0" w:color="auto"/>
            </w:tcBorders>
            <w:shd w:val="clear" w:color="auto" w:fill="C6EFCE"/>
            <w:noWrap/>
          </w:tcPr>
          <w:p w14:paraId="72CB554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7D9388D0"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40 000</w:t>
            </w:r>
          </w:p>
        </w:tc>
        <w:tc>
          <w:tcPr>
            <w:tcW w:w="1132" w:type="dxa"/>
            <w:tcBorders>
              <w:top w:val="single" w:sz="4" w:space="0" w:color="auto"/>
              <w:left w:val="nil"/>
              <w:bottom w:val="single" w:sz="4" w:space="0" w:color="auto"/>
              <w:right w:val="single" w:sz="4" w:space="0" w:color="auto"/>
            </w:tcBorders>
            <w:shd w:val="clear" w:color="auto" w:fill="C6EFCE"/>
            <w:noWrap/>
          </w:tcPr>
          <w:p w14:paraId="1FF495D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8" w:type="dxa"/>
            <w:tcBorders>
              <w:top w:val="single" w:sz="4" w:space="0" w:color="auto"/>
              <w:left w:val="nil"/>
              <w:bottom w:val="single" w:sz="4" w:space="0" w:color="auto"/>
              <w:right w:val="single" w:sz="4" w:space="0" w:color="auto"/>
            </w:tcBorders>
            <w:shd w:val="clear" w:color="auto" w:fill="C6EFCE"/>
            <w:noWrap/>
          </w:tcPr>
          <w:p w14:paraId="05261455"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309" w:type="dxa"/>
            <w:tcBorders>
              <w:top w:val="single" w:sz="4" w:space="0" w:color="auto"/>
              <w:left w:val="nil"/>
              <w:bottom w:val="single" w:sz="4" w:space="0" w:color="auto"/>
              <w:right w:val="single" w:sz="4" w:space="0" w:color="auto"/>
            </w:tcBorders>
            <w:shd w:val="clear" w:color="auto" w:fill="C6EFCE"/>
            <w:noWrap/>
          </w:tcPr>
          <w:p w14:paraId="20E6BA93"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Ugrađeno je najmanje 40 000 pametnih brojila za električnu energiju; novi potrošači spojeni su na pametnu mrežu</w:t>
            </w:r>
          </w:p>
        </w:tc>
      </w:tr>
      <w:tr w:rsidR="00FC56EF" w:rsidRPr="006F3514" w14:paraId="43353688"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6A5CF7EB" w14:textId="47F09EFE"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376</w:t>
            </w:r>
          </w:p>
        </w:tc>
        <w:tc>
          <w:tcPr>
            <w:tcW w:w="1077" w:type="dxa"/>
            <w:tcBorders>
              <w:top w:val="single" w:sz="4" w:space="0" w:color="auto"/>
              <w:left w:val="nil"/>
              <w:bottom w:val="single" w:sz="4" w:space="0" w:color="auto"/>
              <w:right w:val="single" w:sz="4" w:space="0" w:color="auto"/>
            </w:tcBorders>
            <w:shd w:val="clear" w:color="auto" w:fill="C6EFCE"/>
            <w:noWrap/>
          </w:tcPr>
          <w:p w14:paraId="0B9FD8BA" w14:textId="7510471F"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0E4A0FB2" w14:textId="0C855532"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4A48D503" w14:textId="7222060D" w:rsidR="00FC56EF" w:rsidRPr="006F3514" w:rsidRDefault="00FC56EF" w:rsidP="00FC56EF">
            <w:pPr>
              <w:spacing w:after="200" w:line="276" w:lineRule="auto"/>
              <w:rPr>
                <w:rFonts w:ascii="Calibri" w:eastAsia="Calibri" w:hAnsi="Calibri" w:cs="Arial"/>
                <w:noProof/>
                <w:color w:val="000000"/>
                <w:sz w:val="20"/>
                <w:szCs w:val="20"/>
              </w:rPr>
            </w:pPr>
            <w:r>
              <w:rPr>
                <w:rFonts w:ascii="Calibri" w:hAnsi="Calibri"/>
                <w:noProof/>
                <w:color w:val="000000"/>
                <w:sz w:val="20"/>
              </w:rPr>
              <w:t>Broj novih potrošača priključenih na pametnu mrežu</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6720BA84" w14:textId="1E4F04FB" w:rsidR="00FC56EF" w:rsidRPr="006F3514" w:rsidRDefault="00FC56EF" w:rsidP="00FC56EF">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6DA03F67" w14:textId="587EC628"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w:t>
            </w:r>
          </w:p>
        </w:tc>
        <w:tc>
          <w:tcPr>
            <w:tcW w:w="1307" w:type="dxa"/>
            <w:tcBorders>
              <w:top w:val="single" w:sz="4" w:space="0" w:color="auto"/>
              <w:left w:val="nil"/>
              <w:bottom w:val="single" w:sz="4" w:space="0" w:color="auto"/>
              <w:right w:val="single" w:sz="4" w:space="0" w:color="auto"/>
            </w:tcBorders>
            <w:shd w:val="clear" w:color="auto" w:fill="C6EFCE"/>
            <w:noWrap/>
          </w:tcPr>
          <w:p w14:paraId="37AD5060" w14:textId="1284D67C"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40 000</w:t>
            </w:r>
          </w:p>
        </w:tc>
        <w:tc>
          <w:tcPr>
            <w:tcW w:w="1244" w:type="dxa"/>
            <w:tcBorders>
              <w:top w:val="single" w:sz="4" w:space="0" w:color="auto"/>
              <w:left w:val="nil"/>
              <w:bottom w:val="single" w:sz="4" w:space="0" w:color="auto"/>
              <w:right w:val="single" w:sz="4" w:space="0" w:color="auto"/>
            </w:tcBorders>
            <w:shd w:val="clear" w:color="auto" w:fill="C6EFCE"/>
            <w:noWrap/>
          </w:tcPr>
          <w:p w14:paraId="0EF13364" w14:textId="0D250062"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100 000</w:t>
            </w:r>
          </w:p>
        </w:tc>
        <w:tc>
          <w:tcPr>
            <w:tcW w:w="1132" w:type="dxa"/>
            <w:tcBorders>
              <w:top w:val="single" w:sz="4" w:space="0" w:color="auto"/>
              <w:left w:val="nil"/>
              <w:bottom w:val="single" w:sz="4" w:space="0" w:color="auto"/>
              <w:right w:val="single" w:sz="4" w:space="0" w:color="auto"/>
            </w:tcBorders>
            <w:shd w:val="clear" w:color="auto" w:fill="C6EFCE"/>
            <w:noWrap/>
          </w:tcPr>
          <w:p w14:paraId="564D45DD" w14:textId="5F8C5EF4"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w:t>
            </w:r>
          </w:p>
        </w:tc>
        <w:tc>
          <w:tcPr>
            <w:tcW w:w="708" w:type="dxa"/>
            <w:tcBorders>
              <w:top w:val="single" w:sz="4" w:space="0" w:color="auto"/>
              <w:left w:val="nil"/>
              <w:bottom w:val="single" w:sz="4" w:space="0" w:color="auto"/>
              <w:right w:val="single" w:sz="4" w:space="0" w:color="auto"/>
            </w:tcBorders>
            <w:shd w:val="clear" w:color="auto" w:fill="C6EFCE"/>
            <w:noWrap/>
          </w:tcPr>
          <w:p w14:paraId="6D7E1483" w14:textId="2723AF0D" w:rsidR="00FC56EF" w:rsidRPr="006F3514" w:rsidRDefault="00FC56EF" w:rsidP="00FC56EF">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w:t>
            </w:r>
          </w:p>
        </w:tc>
        <w:tc>
          <w:tcPr>
            <w:tcW w:w="3309" w:type="dxa"/>
            <w:tcBorders>
              <w:top w:val="single" w:sz="4" w:space="0" w:color="auto"/>
              <w:left w:val="nil"/>
              <w:bottom w:val="single" w:sz="4" w:space="0" w:color="auto"/>
              <w:right w:val="single" w:sz="4" w:space="0" w:color="auto"/>
            </w:tcBorders>
            <w:shd w:val="clear" w:color="auto" w:fill="C6EFCE"/>
            <w:noWrap/>
          </w:tcPr>
          <w:p w14:paraId="18E5CEA4" w14:textId="1EFF5B98" w:rsidR="00FC56EF" w:rsidRPr="006F3514" w:rsidRDefault="00FC56EF" w:rsidP="00FC56EF">
            <w:pPr>
              <w:spacing w:after="200" w:line="276" w:lineRule="auto"/>
              <w:rPr>
                <w:rFonts w:ascii="Calibri" w:eastAsia="Calibri" w:hAnsi="Calibri" w:cs="Arial"/>
                <w:noProof/>
                <w:color w:val="000000"/>
                <w:sz w:val="20"/>
                <w:szCs w:val="20"/>
              </w:rPr>
            </w:pPr>
            <w:r>
              <w:rPr>
                <w:rFonts w:ascii="Calibri" w:hAnsi="Calibri"/>
                <w:noProof/>
                <w:color w:val="000000"/>
                <w:sz w:val="20"/>
              </w:rPr>
              <w:t>Ugrađeno je najmanje 60 000 pametnih brojila za električnu energiju; novi potrošači spojeni su na pametnu mrežu</w:t>
            </w:r>
          </w:p>
        </w:tc>
      </w:tr>
      <w:tr w:rsidR="000E63A9" w:rsidRPr="006F3514" w14:paraId="79DCC504"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238010E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44</w:t>
            </w:r>
          </w:p>
        </w:tc>
        <w:tc>
          <w:tcPr>
            <w:tcW w:w="1077" w:type="dxa"/>
            <w:tcBorders>
              <w:top w:val="single" w:sz="4" w:space="0" w:color="auto"/>
              <w:left w:val="nil"/>
              <w:bottom w:val="single" w:sz="4" w:space="0" w:color="auto"/>
              <w:right w:val="single" w:sz="4" w:space="0" w:color="auto"/>
            </w:tcBorders>
            <w:shd w:val="clear" w:color="auto" w:fill="C6EFCE"/>
            <w:noWrap/>
          </w:tcPr>
          <w:p w14:paraId="03146CF8" w14:textId="77777777" w:rsidR="00733DCA" w:rsidRPr="006F3514" w:rsidRDefault="00733DCA" w:rsidP="003E5076">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41A528C8"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781A4D75"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Dovršena nadogradnja visokonaponske mreže (220/110 kV)</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241A7951"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Dovršetak nadogradnje mreže visokog i srednjeg napona (220/110 kV)</w:t>
            </w:r>
          </w:p>
        </w:tc>
        <w:tc>
          <w:tcPr>
            <w:tcW w:w="725" w:type="dxa"/>
            <w:tcBorders>
              <w:top w:val="single" w:sz="4" w:space="0" w:color="auto"/>
              <w:left w:val="nil"/>
              <w:bottom w:val="single" w:sz="4" w:space="0" w:color="auto"/>
              <w:right w:val="single" w:sz="4" w:space="0" w:color="auto"/>
            </w:tcBorders>
            <w:shd w:val="clear" w:color="auto" w:fill="C6EFCE"/>
            <w:noWrap/>
          </w:tcPr>
          <w:p w14:paraId="26ACDCF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km</w:t>
            </w:r>
          </w:p>
        </w:tc>
        <w:tc>
          <w:tcPr>
            <w:tcW w:w="1307" w:type="dxa"/>
            <w:tcBorders>
              <w:top w:val="single" w:sz="4" w:space="0" w:color="auto"/>
              <w:left w:val="nil"/>
              <w:bottom w:val="single" w:sz="4" w:space="0" w:color="auto"/>
              <w:right w:val="single" w:sz="4" w:space="0" w:color="auto"/>
            </w:tcBorders>
            <w:shd w:val="clear" w:color="auto" w:fill="C6EFCE"/>
            <w:noWrap/>
          </w:tcPr>
          <w:p w14:paraId="50A6911A"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21197F51" w14:textId="77777777" w:rsidR="00733DCA" w:rsidRPr="006F3514" w:rsidRDefault="00733DCA" w:rsidP="005E75E3">
            <w:pPr>
              <w:tabs>
                <w:tab w:val="left" w:pos="234"/>
              </w:tabs>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550</w:t>
            </w:r>
          </w:p>
        </w:tc>
        <w:tc>
          <w:tcPr>
            <w:tcW w:w="1132" w:type="dxa"/>
            <w:tcBorders>
              <w:top w:val="single" w:sz="4" w:space="0" w:color="auto"/>
              <w:left w:val="nil"/>
              <w:bottom w:val="single" w:sz="4" w:space="0" w:color="auto"/>
              <w:right w:val="single" w:sz="4" w:space="0" w:color="auto"/>
            </w:tcBorders>
            <w:shd w:val="clear" w:color="auto" w:fill="C6EFCE"/>
            <w:noWrap/>
          </w:tcPr>
          <w:p w14:paraId="6A361D5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8" w:type="dxa"/>
            <w:tcBorders>
              <w:top w:val="single" w:sz="4" w:space="0" w:color="auto"/>
              <w:left w:val="nil"/>
              <w:bottom w:val="single" w:sz="4" w:space="0" w:color="auto"/>
              <w:right w:val="single" w:sz="4" w:space="0" w:color="auto"/>
            </w:tcBorders>
            <w:shd w:val="clear" w:color="auto" w:fill="C6EFCE"/>
            <w:noWrap/>
          </w:tcPr>
          <w:p w14:paraId="3910876B"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309" w:type="dxa"/>
            <w:tcBorders>
              <w:top w:val="single" w:sz="4" w:space="0" w:color="auto"/>
              <w:left w:val="nil"/>
              <w:bottom w:val="single" w:sz="4" w:space="0" w:color="auto"/>
              <w:right w:val="single" w:sz="4" w:space="0" w:color="auto"/>
            </w:tcBorders>
            <w:shd w:val="clear" w:color="auto" w:fill="C6EFCE"/>
            <w:noWrap/>
          </w:tcPr>
          <w:p w14:paraId="4A27F487"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Nadograđeno najmanje 550 km visokonaponskih vodova, čime se ojačava priključivanje na mrežu i stvaraju preduvjeti za stabilizaciju sustava i iskorištavanje potencijala za proizvodnju energije iz obnovljivih izvora u južnoj Hrvatskoj.</w:t>
            </w:r>
            <w:r>
              <w:rPr>
                <w:rFonts w:ascii="Calibri" w:hAnsi="Calibri"/>
                <w:noProof/>
                <w:color w:val="000000"/>
                <w:sz w:val="20"/>
              </w:rPr>
              <w:br/>
              <w:t xml:space="preserve">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(2021/C58/01).  </w:t>
            </w:r>
          </w:p>
        </w:tc>
      </w:tr>
      <w:tr w:rsidR="000E63A9" w:rsidRPr="006F3514" w14:paraId="1FF096BA"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257F32D3" w14:textId="08FDA831" w:rsidR="00733DCA" w:rsidRPr="006F3514" w:rsidRDefault="00C17F8D"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377</w:t>
            </w:r>
          </w:p>
        </w:tc>
        <w:tc>
          <w:tcPr>
            <w:tcW w:w="1077" w:type="dxa"/>
            <w:tcBorders>
              <w:top w:val="single" w:sz="4" w:space="0" w:color="auto"/>
              <w:left w:val="nil"/>
              <w:bottom w:val="single" w:sz="4" w:space="0" w:color="auto"/>
              <w:right w:val="single" w:sz="4" w:space="0" w:color="auto"/>
            </w:tcBorders>
            <w:shd w:val="clear" w:color="auto" w:fill="C6EFCE"/>
            <w:noWrap/>
          </w:tcPr>
          <w:p w14:paraId="1BCD929C" w14:textId="77777777" w:rsidR="00733DCA" w:rsidRPr="006F3514" w:rsidRDefault="00733DCA" w:rsidP="0098156E">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C1.2. R1-I1</w:t>
            </w:r>
          </w:p>
        </w:tc>
        <w:tc>
          <w:tcPr>
            <w:tcW w:w="883" w:type="dxa"/>
            <w:tcBorders>
              <w:top w:val="single" w:sz="4" w:space="0" w:color="auto"/>
              <w:left w:val="nil"/>
              <w:bottom w:val="single" w:sz="4" w:space="0" w:color="auto"/>
              <w:right w:val="single" w:sz="4" w:space="0" w:color="auto"/>
            </w:tcBorders>
            <w:shd w:val="clear" w:color="auto" w:fill="C6EFCE"/>
            <w:noWrap/>
          </w:tcPr>
          <w:p w14:paraId="387E28DD" w14:textId="77777777" w:rsidR="00733DCA" w:rsidRPr="006F3514"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Ciljna vrijednost</w:t>
            </w:r>
          </w:p>
        </w:tc>
        <w:tc>
          <w:tcPr>
            <w:tcW w:w="1992" w:type="dxa"/>
            <w:gridSpan w:val="2"/>
            <w:tcBorders>
              <w:top w:val="single" w:sz="4" w:space="0" w:color="auto"/>
              <w:left w:val="nil"/>
              <w:bottom w:val="single" w:sz="4" w:space="0" w:color="auto"/>
              <w:right w:val="single" w:sz="4" w:space="0" w:color="auto"/>
            </w:tcBorders>
            <w:shd w:val="clear" w:color="auto" w:fill="C6EFCE"/>
            <w:noWrap/>
          </w:tcPr>
          <w:p w14:paraId="5AF276FB" w14:textId="77777777" w:rsidR="00733DCA" w:rsidRPr="006F3514"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Novi kapacitet baterijskih sustava i skladištenja energije</w:t>
            </w:r>
          </w:p>
        </w:tc>
        <w:tc>
          <w:tcPr>
            <w:tcW w:w="1990" w:type="dxa"/>
            <w:tcBorders>
              <w:top w:val="single" w:sz="4" w:space="0" w:color="auto"/>
              <w:left w:val="nil"/>
              <w:bottom w:val="single" w:sz="4" w:space="0" w:color="auto"/>
              <w:right w:val="single" w:sz="4" w:space="0" w:color="auto"/>
            </w:tcBorders>
            <w:shd w:val="clear" w:color="auto" w:fill="C6EFCE"/>
            <w:noWrap/>
          </w:tcPr>
          <w:p w14:paraId="22CB6D14" w14:textId="77777777" w:rsidR="00733DCA" w:rsidRPr="006F3514" w:rsidRDefault="00733DCA" w:rsidP="0001477B">
            <w:pPr>
              <w:spacing w:after="200" w:line="276" w:lineRule="auto"/>
              <w:rPr>
                <w:rFonts w:ascii="Calibri" w:eastAsia="Calibri" w:hAnsi="Calibri" w:cs="Arial"/>
                <w:noProof/>
                <w:color w:val="000000"/>
                <w:sz w:val="20"/>
                <w:szCs w:val="20"/>
                <w:lang w:val="en-GB"/>
              </w:rPr>
            </w:pPr>
          </w:p>
        </w:tc>
        <w:tc>
          <w:tcPr>
            <w:tcW w:w="725" w:type="dxa"/>
            <w:tcBorders>
              <w:top w:val="single" w:sz="4" w:space="0" w:color="auto"/>
              <w:left w:val="nil"/>
              <w:bottom w:val="single" w:sz="4" w:space="0" w:color="auto"/>
              <w:right w:val="single" w:sz="4" w:space="0" w:color="auto"/>
            </w:tcBorders>
            <w:shd w:val="clear" w:color="auto" w:fill="C6EFCE"/>
            <w:noWrap/>
          </w:tcPr>
          <w:p w14:paraId="71244F56" w14:textId="77777777" w:rsidR="00733DCA" w:rsidRPr="006F3514" w:rsidRDefault="00733DCA" w:rsidP="0001477B">
            <w:pPr>
              <w:spacing w:after="200" w:line="276" w:lineRule="auto"/>
              <w:jc w:val="center"/>
              <w:rPr>
                <w:rFonts w:ascii="Calibri" w:eastAsia="Calibri" w:hAnsi="Calibri" w:cs="Arial"/>
                <w:noProof/>
                <w:color w:val="000000"/>
                <w:sz w:val="20"/>
                <w:szCs w:val="20"/>
              </w:rPr>
            </w:pPr>
            <w:r>
              <w:rPr>
                <w:noProof/>
                <w:color w:val="000000"/>
                <w:sz w:val="20"/>
              </w:rPr>
              <w:t>Broj</w:t>
            </w:r>
          </w:p>
        </w:tc>
        <w:tc>
          <w:tcPr>
            <w:tcW w:w="1307" w:type="dxa"/>
            <w:tcBorders>
              <w:top w:val="single" w:sz="4" w:space="0" w:color="auto"/>
              <w:left w:val="nil"/>
              <w:bottom w:val="single" w:sz="4" w:space="0" w:color="auto"/>
              <w:right w:val="single" w:sz="4" w:space="0" w:color="auto"/>
            </w:tcBorders>
            <w:shd w:val="clear" w:color="auto" w:fill="C6EFCE"/>
            <w:noWrap/>
          </w:tcPr>
          <w:p w14:paraId="1904837E" w14:textId="77777777" w:rsidR="00733DCA" w:rsidRPr="006F3514"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5D3525F4" w14:textId="77777777" w:rsidR="00733DCA" w:rsidRPr="006F3514" w:rsidRDefault="00733DCA" w:rsidP="0001477B">
            <w:pPr>
              <w:spacing w:after="200" w:line="276" w:lineRule="auto"/>
              <w:jc w:val="center"/>
              <w:rPr>
                <w:rFonts w:ascii="Calibri" w:eastAsia="Calibri" w:hAnsi="Calibri" w:cs="Arial"/>
                <w:noProof/>
                <w:color w:val="000000"/>
                <w:sz w:val="20"/>
                <w:szCs w:val="20"/>
              </w:rPr>
            </w:pPr>
            <w:r>
              <w:rPr>
                <w:noProof/>
                <w:sz w:val="20"/>
              </w:rPr>
              <w:t>100 MWh</w:t>
            </w:r>
          </w:p>
        </w:tc>
        <w:tc>
          <w:tcPr>
            <w:tcW w:w="1132" w:type="dxa"/>
            <w:tcBorders>
              <w:top w:val="single" w:sz="4" w:space="0" w:color="auto"/>
              <w:left w:val="nil"/>
              <w:bottom w:val="single" w:sz="4" w:space="0" w:color="auto"/>
              <w:right w:val="single" w:sz="4" w:space="0" w:color="auto"/>
            </w:tcBorders>
            <w:shd w:val="clear" w:color="auto" w:fill="C6EFCE"/>
            <w:noWrap/>
          </w:tcPr>
          <w:p w14:paraId="5AFDEFC9" w14:textId="77777777" w:rsidR="00733DCA" w:rsidRPr="006F3514"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w:t>
            </w:r>
          </w:p>
        </w:tc>
        <w:tc>
          <w:tcPr>
            <w:tcW w:w="708" w:type="dxa"/>
            <w:tcBorders>
              <w:top w:val="single" w:sz="4" w:space="0" w:color="auto"/>
              <w:left w:val="nil"/>
              <w:bottom w:val="single" w:sz="4" w:space="0" w:color="auto"/>
              <w:right w:val="single" w:sz="4" w:space="0" w:color="auto"/>
            </w:tcBorders>
            <w:shd w:val="clear" w:color="auto" w:fill="C6EFCE"/>
            <w:noWrap/>
          </w:tcPr>
          <w:p w14:paraId="5AE4CC4F" w14:textId="77777777" w:rsidR="00733DCA" w:rsidRPr="006F3514"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w:t>
            </w:r>
          </w:p>
        </w:tc>
        <w:tc>
          <w:tcPr>
            <w:tcW w:w="3309" w:type="dxa"/>
            <w:tcBorders>
              <w:top w:val="single" w:sz="4" w:space="0" w:color="auto"/>
              <w:left w:val="nil"/>
              <w:bottom w:val="single" w:sz="4" w:space="0" w:color="auto"/>
              <w:right w:val="single" w:sz="4" w:space="0" w:color="auto"/>
            </w:tcBorders>
            <w:shd w:val="clear" w:color="auto" w:fill="C6EFCE"/>
            <w:noWrap/>
          </w:tcPr>
          <w:p w14:paraId="167EC7D2" w14:textId="77777777" w:rsidR="00733DCA" w:rsidRPr="006F3514"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Bit će dovršeni novi projekti baterijskih sustava i skladištenja energije ukupnog kapaciteta 100 MWh.</w:t>
            </w:r>
          </w:p>
        </w:tc>
      </w:tr>
      <w:tr w:rsidR="000E63A9" w:rsidRPr="006F3514" w14:paraId="64D88678"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4606F81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45</w:t>
            </w:r>
          </w:p>
        </w:tc>
        <w:tc>
          <w:tcPr>
            <w:tcW w:w="1077" w:type="dxa"/>
            <w:tcBorders>
              <w:top w:val="single" w:sz="4" w:space="0" w:color="auto"/>
              <w:left w:val="nil"/>
              <w:bottom w:val="single" w:sz="4" w:space="0" w:color="auto"/>
              <w:right w:val="single" w:sz="4" w:space="0" w:color="auto"/>
            </w:tcBorders>
            <w:shd w:val="clear" w:color="auto" w:fill="C6EFCE"/>
            <w:noWrap/>
          </w:tcPr>
          <w:p w14:paraId="14694D86" w14:textId="77777777" w:rsidR="00733DCA" w:rsidRPr="006F3514" w:rsidRDefault="00733DCA" w:rsidP="0098156E">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R1-I2</w:t>
            </w:r>
          </w:p>
        </w:tc>
        <w:tc>
          <w:tcPr>
            <w:tcW w:w="883" w:type="dxa"/>
            <w:tcBorders>
              <w:top w:val="single" w:sz="4" w:space="0" w:color="auto"/>
              <w:left w:val="nil"/>
              <w:bottom w:val="single" w:sz="4" w:space="0" w:color="auto"/>
              <w:right w:val="single" w:sz="4" w:space="0" w:color="auto"/>
            </w:tcBorders>
            <w:shd w:val="clear" w:color="auto" w:fill="C6EFCE"/>
            <w:noWrap/>
          </w:tcPr>
          <w:p w14:paraId="26CFD11E"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single" w:sz="4" w:space="0" w:color="auto"/>
              <w:left w:val="nil"/>
              <w:bottom w:val="single" w:sz="4" w:space="0" w:color="auto"/>
              <w:right w:val="single" w:sz="4" w:space="0" w:color="auto"/>
            </w:tcBorders>
            <w:shd w:val="clear" w:color="auto" w:fill="C6EFCE"/>
            <w:noWrap/>
          </w:tcPr>
          <w:p w14:paraId="0D9631A9"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Vlada donosi program energetske učinkovitosti radi dekarboniziranja energetskog sektora</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55FBD7FE"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programa energetske učinkovitosti radi dekarbonizacije energetskog sektora koji je izradio MINGOR</w:t>
            </w:r>
          </w:p>
        </w:tc>
        <w:tc>
          <w:tcPr>
            <w:tcW w:w="725" w:type="dxa"/>
            <w:tcBorders>
              <w:top w:val="single" w:sz="4" w:space="0" w:color="auto"/>
              <w:left w:val="nil"/>
              <w:bottom w:val="single" w:sz="4" w:space="0" w:color="auto"/>
              <w:right w:val="single" w:sz="4" w:space="0" w:color="auto"/>
            </w:tcBorders>
            <w:shd w:val="clear" w:color="auto" w:fill="C6EFCE"/>
            <w:noWrap/>
          </w:tcPr>
          <w:p w14:paraId="3999FC9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single" w:sz="4" w:space="0" w:color="auto"/>
              <w:left w:val="nil"/>
              <w:bottom w:val="single" w:sz="4" w:space="0" w:color="auto"/>
              <w:right w:val="single" w:sz="4" w:space="0" w:color="auto"/>
            </w:tcBorders>
            <w:shd w:val="clear" w:color="auto" w:fill="C6EFCE"/>
            <w:noWrap/>
          </w:tcPr>
          <w:p w14:paraId="637B49F3"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single" w:sz="4" w:space="0" w:color="auto"/>
              <w:left w:val="nil"/>
              <w:bottom w:val="single" w:sz="4" w:space="0" w:color="auto"/>
              <w:right w:val="single" w:sz="4" w:space="0" w:color="auto"/>
            </w:tcBorders>
            <w:shd w:val="clear" w:color="auto" w:fill="C6EFCE"/>
            <w:noWrap/>
          </w:tcPr>
          <w:p w14:paraId="0BD0D21C"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single" w:sz="4" w:space="0" w:color="auto"/>
              <w:left w:val="nil"/>
              <w:bottom w:val="single" w:sz="4" w:space="0" w:color="auto"/>
              <w:right w:val="single" w:sz="4" w:space="0" w:color="auto"/>
            </w:tcBorders>
            <w:shd w:val="clear" w:color="auto" w:fill="C6EFCE"/>
            <w:noWrap/>
          </w:tcPr>
          <w:p w14:paraId="6519460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8" w:type="dxa"/>
            <w:tcBorders>
              <w:top w:val="single" w:sz="4" w:space="0" w:color="auto"/>
              <w:left w:val="nil"/>
              <w:bottom w:val="single" w:sz="4" w:space="0" w:color="auto"/>
              <w:right w:val="single" w:sz="4" w:space="0" w:color="auto"/>
            </w:tcBorders>
            <w:shd w:val="clear" w:color="auto" w:fill="C6EFCE"/>
            <w:noWrap/>
          </w:tcPr>
          <w:p w14:paraId="15A13E50"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309" w:type="dxa"/>
            <w:tcBorders>
              <w:top w:val="single" w:sz="4" w:space="0" w:color="auto"/>
              <w:left w:val="nil"/>
              <w:bottom w:val="single" w:sz="4" w:space="0" w:color="auto"/>
              <w:right w:val="single" w:sz="4" w:space="0" w:color="auto"/>
            </w:tcBorders>
            <w:shd w:val="clear" w:color="auto" w:fill="C6EFCE"/>
            <w:noWrap/>
          </w:tcPr>
          <w:p w14:paraId="65E03184"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Programom energetske učinkovitosti utvrđuju se područja ulaganja u energetsku učinkovitost i centralne toplinske sustave, uključujući prioritete ulaganja do 2030. Planiranje ulaganja uključuje modernizaciju centralnog toplinskog sustava i energetski intenzivnih industrija, s naglaskom na učinkovitost i potencijal za proizvodnju energije iz obnovljivih izvora. </w:t>
            </w:r>
            <w:r>
              <w:rPr>
                <w:rFonts w:ascii="Calibri" w:hAnsi="Calibri"/>
                <w:noProof/>
                <w:color w:val="000000"/>
                <w:sz w:val="20"/>
              </w:rPr>
              <w:br/>
              <w:t>Program će biti usklađen s planiranim izmjenama Nacionalnog energetskog i klimatskog plana, u kojem će se utvrditi viši cilj za udio energije iz obnovljivih izvora u sektoru grijanja i hlađenja, uključujući posebne mjere.</w:t>
            </w:r>
          </w:p>
        </w:tc>
      </w:tr>
      <w:tr w:rsidR="000E63A9" w:rsidRPr="006F3514" w14:paraId="2E63A943"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61AB8A8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46</w:t>
            </w:r>
          </w:p>
        </w:tc>
        <w:tc>
          <w:tcPr>
            <w:tcW w:w="1077" w:type="dxa"/>
            <w:tcBorders>
              <w:top w:val="single" w:sz="4" w:space="0" w:color="auto"/>
              <w:left w:val="nil"/>
              <w:bottom w:val="single" w:sz="4" w:space="0" w:color="auto"/>
              <w:right w:val="single" w:sz="4" w:space="0" w:color="auto"/>
            </w:tcBorders>
            <w:shd w:val="clear" w:color="auto" w:fill="C6EFCE"/>
            <w:noWrap/>
          </w:tcPr>
          <w:p w14:paraId="0CEF1EB7" w14:textId="77777777" w:rsidR="00733DCA" w:rsidRPr="006F3514" w:rsidRDefault="00733DCA" w:rsidP="0098156E">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R1-I2</w:t>
            </w:r>
          </w:p>
        </w:tc>
        <w:tc>
          <w:tcPr>
            <w:tcW w:w="883" w:type="dxa"/>
            <w:tcBorders>
              <w:top w:val="single" w:sz="4" w:space="0" w:color="auto"/>
              <w:left w:val="nil"/>
              <w:bottom w:val="single" w:sz="4" w:space="0" w:color="auto"/>
              <w:right w:val="single" w:sz="4" w:space="0" w:color="auto"/>
            </w:tcBorders>
            <w:shd w:val="clear" w:color="auto" w:fill="C6EFCE"/>
            <w:noWrap/>
          </w:tcPr>
          <w:p w14:paraId="4C79FDA4"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7F044807"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Broj poduzeća koja primaju potporu za energetsku učinkovitost i korištenje energije iz obnovljivih izvora u industriji</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624C315F"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200EFB08"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307" w:type="dxa"/>
            <w:tcBorders>
              <w:top w:val="single" w:sz="4" w:space="0" w:color="auto"/>
              <w:left w:val="nil"/>
              <w:bottom w:val="single" w:sz="4" w:space="0" w:color="auto"/>
              <w:right w:val="single" w:sz="4" w:space="0" w:color="auto"/>
            </w:tcBorders>
            <w:shd w:val="clear" w:color="auto" w:fill="C6EFCE"/>
            <w:noWrap/>
          </w:tcPr>
          <w:p w14:paraId="79C11C7F"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006F35FE"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w:t>
            </w:r>
          </w:p>
        </w:tc>
        <w:tc>
          <w:tcPr>
            <w:tcW w:w="1132" w:type="dxa"/>
            <w:tcBorders>
              <w:top w:val="single" w:sz="4" w:space="0" w:color="auto"/>
              <w:left w:val="nil"/>
              <w:bottom w:val="single" w:sz="4" w:space="0" w:color="auto"/>
              <w:right w:val="single" w:sz="4" w:space="0" w:color="auto"/>
            </w:tcBorders>
            <w:shd w:val="clear" w:color="auto" w:fill="C6EFCE"/>
            <w:noWrap/>
          </w:tcPr>
          <w:p w14:paraId="4576FC8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8" w:type="dxa"/>
            <w:tcBorders>
              <w:top w:val="single" w:sz="4" w:space="0" w:color="auto"/>
              <w:left w:val="nil"/>
              <w:bottom w:val="single" w:sz="4" w:space="0" w:color="auto"/>
              <w:right w:val="single" w:sz="4" w:space="0" w:color="auto"/>
            </w:tcBorders>
            <w:shd w:val="clear" w:color="auto" w:fill="C6EFCE"/>
            <w:noWrap/>
          </w:tcPr>
          <w:p w14:paraId="00C1D9A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309" w:type="dxa"/>
            <w:tcBorders>
              <w:top w:val="single" w:sz="4" w:space="0" w:color="auto"/>
              <w:left w:val="nil"/>
              <w:bottom w:val="single" w:sz="4" w:space="0" w:color="auto"/>
              <w:right w:val="single" w:sz="4" w:space="0" w:color="auto"/>
            </w:tcBorders>
            <w:shd w:val="clear" w:color="auto" w:fill="C6EFCE"/>
            <w:noWrap/>
          </w:tcPr>
          <w:p w14:paraId="27C7931E"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Ukupno 50 ugovora dodijeljeno poduzećima korisnicima nakon javnog natječaja za potporu obnovljivim izvorima energije i mjerama povezanima s energetskom učinkovitošću u malim, srednjim i velikim poduzećima.</w:t>
            </w:r>
            <w:r>
              <w:rPr>
                <w:rFonts w:ascii="Calibri" w:hAnsi="Calibri"/>
                <w:noProof/>
                <w:color w:val="000000"/>
                <w:sz w:val="20"/>
              </w:rPr>
              <w:br/>
              <w:t xml:space="preserve">Ugovori uključuju mjere za poboljšanje proizvodnih procesa u proizvodnoj industriji te odgovaraju sljedećim intervencijskim poljima u okviru praćenja klimatskih mjera: [024 – Energetska učinkovitost i demonstracijski projekti u MSP-ovima i mjere potpore te 024bis – Energetska učinkovitost i demonstracijski projekti u velikim poduzećima i mjere potpore] iz priloga VI./VII.] te su u skladu s Tehničkim smjernicama za primjenu načela nenanošenja bitne štete (2021/C58/01). </w:t>
            </w:r>
            <w:r>
              <w:rPr>
                <w:rFonts w:ascii="Calibri" w:hAnsi="Calibri"/>
                <w:noProof/>
                <w:color w:val="000000"/>
                <w:sz w:val="20"/>
              </w:rPr>
              <w:br/>
              <w:t>Konkretno, provedbom mjera povezanih s energetskom učinkovitošću i/ili obnovljivim izvorima energije potrošnja energije u proizvodnim postrojenjima smanjit će se za minimalno 20 %. Za energetsku obnovu zgrada uz proizvodni pogon, koje su isključivo povezane s industrijskim ili proizvodnim procesima, provedbom mjera potrošnja energije smanjit će se za minimalno 40 %.</w:t>
            </w:r>
            <w:r>
              <w:rPr>
                <w:rFonts w:ascii="Calibri" w:hAnsi="Calibri"/>
                <w:noProof/>
                <w:color w:val="000000"/>
                <w:sz w:val="20"/>
              </w:rPr>
              <w:br/>
              <w:t>Kako bi se osiguralo da je mjera u skladu s Tehničkim smjernicama za primjenu načela nenanošenja bitne štete (2021/C58/01), iz mjera navedenih u ugovorima bit će isključene aktivnosti sa sljedećeg popisa: i. aktivnosti koje se odnose na fosilna goriva, uključujući daljnju upotrebu [1]; ii. aktivnosti u okviru EU-ova sustava za trgovanje emisijama (ETS) kojima se postižu predviđene emisije stakleničkih plinova koje nisu znatno niže od relevantnih referentnih vrijednosti [2]; iii. aktivnosti povezane s odlaganjem otpada na odlagališta otpada, spalionice i postrojenja za mehaničku biološku obradu [4]; i iv. aktivnosti kod kojih dugotrajno odlaganje otpada može naštetiti okolišu. U opisu poslova dodatno će se tražiti da se mogu odabrati samo one aktivnosti koje su u skladu s relevantnim EU-ovim i nacionalnim propisima o okolišu.</w:t>
            </w:r>
          </w:p>
        </w:tc>
      </w:tr>
      <w:tr w:rsidR="000E63A9" w:rsidRPr="006F3514" w14:paraId="27BEA9B4"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406139A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47</w:t>
            </w:r>
          </w:p>
        </w:tc>
        <w:tc>
          <w:tcPr>
            <w:tcW w:w="1077" w:type="dxa"/>
            <w:tcBorders>
              <w:top w:val="single" w:sz="4" w:space="0" w:color="auto"/>
              <w:left w:val="nil"/>
              <w:bottom w:val="single" w:sz="4" w:space="0" w:color="auto"/>
              <w:right w:val="single" w:sz="4" w:space="0" w:color="auto"/>
            </w:tcBorders>
            <w:shd w:val="clear" w:color="auto" w:fill="C6EFCE"/>
            <w:noWrap/>
          </w:tcPr>
          <w:p w14:paraId="6CECC637" w14:textId="77777777" w:rsidR="00733DCA" w:rsidRPr="006F3514" w:rsidRDefault="00733DCA" w:rsidP="0098156E">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R1-I2</w:t>
            </w:r>
          </w:p>
        </w:tc>
        <w:tc>
          <w:tcPr>
            <w:tcW w:w="883" w:type="dxa"/>
            <w:tcBorders>
              <w:top w:val="single" w:sz="4" w:space="0" w:color="auto"/>
              <w:left w:val="nil"/>
              <w:bottom w:val="single" w:sz="4" w:space="0" w:color="auto"/>
              <w:right w:val="single" w:sz="4" w:space="0" w:color="auto"/>
            </w:tcBorders>
            <w:shd w:val="clear" w:color="auto" w:fill="C6EFCE"/>
            <w:noWrap/>
          </w:tcPr>
          <w:p w14:paraId="527D23B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65" w:type="dxa"/>
            <w:tcBorders>
              <w:top w:val="single" w:sz="4" w:space="0" w:color="auto"/>
              <w:left w:val="nil"/>
              <w:bottom w:val="single" w:sz="4" w:space="0" w:color="auto"/>
              <w:right w:val="single" w:sz="4" w:space="0" w:color="auto"/>
            </w:tcBorders>
            <w:shd w:val="clear" w:color="auto" w:fill="C6EFCE"/>
            <w:noWrap/>
          </w:tcPr>
          <w:p w14:paraId="25D00783"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Potpisani ugovori za istraživanje geotermalnog potencijala u kontekstu centraliziranog grijanja</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38BCF2E0"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43BE3D63"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307" w:type="dxa"/>
            <w:tcBorders>
              <w:top w:val="single" w:sz="4" w:space="0" w:color="auto"/>
              <w:left w:val="nil"/>
              <w:bottom w:val="single" w:sz="4" w:space="0" w:color="auto"/>
              <w:right w:val="single" w:sz="4" w:space="0" w:color="auto"/>
            </w:tcBorders>
            <w:shd w:val="clear" w:color="auto" w:fill="C6EFCE"/>
            <w:noWrap/>
          </w:tcPr>
          <w:p w14:paraId="7445D9C6"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244" w:type="dxa"/>
            <w:tcBorders>
              <w:top w:val="single" w:sz="4" w:space="0" w:color="auto"/>
              <w:left w:val="nil"/>
              <w:bottom w:val="single" w:sz="4" w:space="0" w:color="auto"/>
              <w:right w:val="single" w:sz="4" w:space="0" w:color="auto"/>
            </w:tcBorders>
            <w:shd w:val="clear" w:color="auto" w:fill="C6EFCE"/>
            <w:noWrap/>
          </w:tcPr>
          <w:p w14:paraId="36C086D4"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w:t>
            </w:r>
          </w:p>
        </w:tc>
        <w:tc>
          <w:tcPr>
            <w:tcW w:w="1132" w:type="dxa"/>
            <w:tcBorders>
              <w:top w:val="single" w:sz="4" w:space="0" w:color="auto"/>
              <w:left w:val="nil"/>
              <w:bottom w:val="single" w:sz="4" w:space="0" w:color="auto"/>
              <w:right w:val="single" w:sz="4" w:space="0" w:color="auto"/>
            </w:tcBorders>
            <w:shd w:val="clear" w:color="auto" w:fill="C6EFCE"/>
            <w:noWrap/>
          </w:tcPr>
          <w:p w14:paraId="13013D46"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8" w:type="dxa"/>
            <w:tcBorders>
              <w:top w:val="single" w:sz="4" w:space="0" w:color="auto"/>
              <w:left w:val="nil"/>
              <w:bottom w:val="single" w:sz="4" w:space="0" w:color="auto"/>
              <w:right w:val="single" w:sz="4" w:space="0" w:color="auto"/>
            </w:tcBorders>
            <w:shd w:val="clear" w:color="auto" w:fill="C6EFCE"/>
            <w:noWrap/>
          </w:tcPr>
          <w:p w14:paraId="31985A2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309" w:type="dxa"/>
            <w:tcBorders>
              <w:top w:val="single" w:sz="4" w:space="0" w:color="auto"/>
              <w:left w:val="nil"/>
              <w:bottom w:val="single" w:sz="4" w:space="0" w:color="auto"/>
              <w:right w:val="single" w:sz="4" w:space="0" w:color="auto"/>
            </w:tcBorders>
            <w:shd w:val="clear" w:color="auto" w:fill="C6EFCE"/>
            <w:noWrap/>
          </w:tcPr>
          <w:p w14:paraId="3CC68A91"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Nakon javnog natječaja potpisat će se najmanje šest ugovora o izvođenju radova istraživanja geotermalnog potencijala u kontekstu centraliziranog grijanja. </w:t>
            </w:r>
            <w:r>
              <w:rPr>
                <w:rFonts w:ascii="Calibri" w:hAnsi="Calibri"/>
                <w:noProof/>
                <w:color w:val="000000"/>
                <w:sz w:val="20"/>
              </w:rPr>
              <w:br/>
              <w:t xml:space="preserve">Na temelju inicijalne procjene devet lokacija koju treba izraditi Agencija za ugljikovodike Republike Hrvatske, MINGOR će raspisati javni natječaj za šest lokacija za istraživanje geotermalnih voda za potrebe centraliziranoga grijanja. Natječaj će uključivati pripremne radove za sklapanje šest ugovora i provedbu šest geotermalnih projekata, uključujući analize područja na kojem se nalaze geotermalni potencijali, isključujući područja s naftnim potencijalom, i njihovo uključivanje u prostorne planove, izradu strateške studije utjecaja geotermalnih aktivnosti na okoliš u hrvatskom dijelu panonskog bazena, geotermalne aktivnosti čiji je cilj ocjenjivanje potencijala razgraničenog područja geofizičkim istraživanjem. Potpisat će se dodatna dva ugovora za radove bušenja u geotermalnim bušotinama (bušenje jedne geotermalne bušotine u svakoj od dvije među šest odabranih lokacija). </w:t>
            </w:r>
            <w:r>
              <w:rPr>
                <w:rFonts w:ascii="Calibri" w:hAnsi="Calibri"/>
                <w:noProof/>
                <w:color w:val="000000"/>
                <w:sz w:val="20"/>
              </w:rPr>
              <w:br/>
              <w:t xml:space="preserve">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(2021/C58/01). Sve aktivnosti u skladu su sa zahtjevima vodnog zakonodavstva EU-a kako je preuzeto u hrvatsko pravo. </w:t>
            </w:r>
            <w:r>
              <w:rPr>
                <w:rFonts w:ascii="Calibri" w:hAnsi="Calibri"/>
                <w:noProof/>
                <w:color w:val="000000"/>
                <w:sz w:val="20"/>
              </w:rPr>
              <w:br/>
              <w:t>Projekt ne uključuje istraživanje ili crpljenje nafte ili plina. U te se svrhe neće nabavljati ni koristiti oprema.</w:t>
            </w:r>
            <w:r>
              <w:rPr>
                <w:rFonts w:ascii="Calibri" w:hAnsi="Calibri"/>
                <w:noProof/>
                <w:color w:val="000000"/>
                <w:sz w:val="20"/>
              </w:rPr>
              <w:br/>
              <w:t xml:space="preserve">Zajamčit će se da neće biti ispuštanja metana. Također se osigurava da geotermalno bušenje nema štetan utjecaj u smislu nestašice vode i smanjenja kvalitete vode. </w:t>
            </w:r>
            <w:r>
              <w:rPr>
                <w:rFonts w:ascii="Calibri" w:hAnsi="Calibri"/>
                <w:noProof/>
                <w:color w:val="000000"/>
                <w:sz w:val="20"/>
              </w:rPr>
              <w:br/>
              <w:t>Mjerom se ne predviđaju potpore centralnim toplinskim sustavima koji upotrebljavaju fosilne izvore energije ni ulaganja u postrojenja obuhvaćena područjem primjene EU-ova sustava za trgovanje emisijama (ETS).</w:t>
            </w:r>
          </w:p>
        </w:tc>
      </w:tr>
      <w:tr w:rsidR="000E63A9" w:rsidRPr="006F3514" w14:paraId="006E552B"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58812DB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48</w:t>
            </w:r>
          </w:p>
        </w:tc>
        <w:tc>
          <w:tcPr>
            <w:tcW w:w="1077" w:type="dxa"/>
            <w:tcBorders>
              <w:top w:val="single" w:sz="4" w:space="0" w:color="auto"/>
              <w:left w:val="nil"/>
              <w:bottom w:val="single" w:sz="4" w:space="0" w:color="auto"/>
              <w:right w:val="single" w:sz="4" w:space="0" w:color="auto"/>
            </w:tcBorders>
            <w:shd w:val="clear" w:color="auto" w:fill="C6EFCE"/>
            <w:noWrap/>
          </w:tcPr>
          <w:p w14:paraId="6EC49335" w14:textId="77777777" w:rsidR="00733DCA" w:rsidRPr="006F3514" w:rsidRDefault="00733DCA" w:rsidP="0098156E">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R1-I2</w:t>
            </w:r>
          </w:p>
        </w:tc>
        <w:tc>
          <w:tcPr>
            <w:tcW w:w="883" w:type="dxa"/>
            <w:tcBorders>
              <w:top w:val="single" w:sz="4" w:space="0" w:color="auto"/>
              <w:left w:val="nil"/>
              <w:bottom w:val="single" w:sz="4" w:space="0" w:color="auto"/>
              <w:right w:val="single" w:sz="4" w:space="0" w:color="auto"/>
            </w:tcBorders>
            <w:shd w:val="clear" w:color="auto" w:fill="C6EFCE"/>
            <w:noWrap/>
          </w:tcPr>
          <w:p w14:paraId="0650598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single" w:sz="4" w:space="0" w:color="auto"/>
              <w:left w:val="nil"/>
              <w:bottom w:val="single" w:sz="4" w:space="0" w:color="auto"/>
              <w:right w:val="single" w:sz="4" w:space="0" w:color="auto"/>
            </w:tcBorders>
            <w:shd w:val="clear" w:color="auto" w:fill="C6EFCE"/>
            <w:noWrap/>
          </w:tcPr>
          <w:p w14:paraId="53869070"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Rezultati geotermalnog potencijala za centralizirano grijanje javno su dostupni </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6C600C13"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Rezultati objavljeni na internetskim stranicama hrvatske Agencije za ugljikovodike</w:t>
            </w:r>
          </w:p>
        </w:tc>
        <w:tc>
          <w:tcPr>
            <w:tcW w:w="725" w:type="dxa"/>
            <w:tcBorders>
              <w:top w:val="single" w:sz="4" w:space="0" w:color="auto"/>
              <w:left w:val="nil"/>
              <w:bottom w:val="single" w:sz="4" w:space="0" w:color="auto"/>
              <w:right w:val="single" w:sz="4" w:space="0" w:color="auto"/>
            </w:tcBorders>
            <w:shd w:val="clear" w:color="auto" w:fill="C6EFCE"/>
            <w:noWrap/>
          </w:tcPr>
          <w:p w14:paraId="3BBC2A9E"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single" w:sz="4" w:space="0" w:color="auto"/>
              <w:left w:val="nil"/>
              <w:bottom w:val="single" w:sz="4" w:space="0" w:color="auto"/>
              <w:right w:val="single" w:sz="4" w:space="0" w:color="auto"/>
            </w:tcBorders>
            <w:shd w:val="clear" w:color="auto" w:fill="C6EFCE"/>
            <w:noWrap/>
          </w:tcPr>
          <w:p w14:paraId="3CBBB0A9"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single" w:sz="4" w:space="0" w:color="auto"/>
              <w:left w:val="nil"/>
              <w:bottom w:val="single" w:sz="4" w:space="0" w:color="auto"/>
              <w:right w:val="single" w:sz="4" w:space="0" w:color="auto"/>
            </w:tcBorders>
            <w:shd w:val="clear" w:color="auto" w:fill="C6EFCE"/>
            <w:noWrap/>
          </w:tcPr>
          <w:p w14:paraId="07752541"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single" w:sz="4" w:space="0" w:color="auto"/>
              <w:left w:val="nil"/>
              <w:bottom w:val="single" w:sz="4" w:space="0" w:color="auto"/>
              <w:right w:val="single" w:sz="4" w:space="0" w:color="auto"/>
            </w:tcBorders>
            <w:shd w:val="clear" w:color="auto" w:fill="C6EFCE"/>
            <w:noWrap/>
          </w:tcPr>
          <w:p w14:paraId="3422EAA2"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8" w:type="dxa"/>
            <w:tcBorders>
              <w:top w:val="single" w:sz="4" w:space="0" w:color="auto"/>
              <w:left w:val="nil"/>
              <w:bottom w:val="single" w:sz="4" w:space="0" w:color="auto"/>
              <w:right w:val="single" w:sz="4" w:space="0" w:color="auto"/>
            </w:tcBorders>
            <w:shd w:val="clear" w:color="auto" w:fill="C6EFCE"/>
            <w:noWrap/>
          </w:tcPr>
          <w:p w14:paraId="3A900F49"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309" w:type="dxa"/>
            <w:tcBorders>
              <w:top w:val="single" w:sz="4" w:space="0" w:color="auto"/>
              <w:left w:val="nil"/>
              <w:bottom w:val="single" w:sz="4" w:space="0" w:color="auto"/>
              <w:right w:val="single" w:sz="4" w:space="0" w:color="auto"/>
            </w:tcBorders>
            <w:shd w:val="clear" w:color="auto" w:fill="C6EFCE"/>
            <w:noWrap/>
          </w:tcPr>
          <w:p w14:paraId="43A73378"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Rezultati istraživačkih aktivnosti objavit će se na internetskim stranicama Agencije za ugljikovodike. Sva relevantna dokumentacija i analize podijelit će se s općinama korisnicama. </w:t>
            </w:r>
          </w:p>
        </w:tc>
      </w:tr>
      <w:tr w:rsidR="000E63A9" w:rsidRPr="006F3514" w14:paraId="3AB58B34"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23C60C8B"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49</w:t>
            </w:r>
          </w:p>
        </w:tc>
        <w:tc>
          <w:tcPr>
            <w:tcW w:w="1077" w:type="dxa"/>
            <w:tcBorders>
              <w:top w:val="single" w:sz="4" w:space="0" w:color="auto"/>
              <w:left w:val="nil"/>
              <w:bottom w:val="single" w:sz="4" w:space="0" w:color="auto"/>
              <w:right w:val="single" w:sz="4" w:space="0" w:color="auto"/>
            </w:tcBorders>
            <w:shd w:val="clear" w:color="auto" w:fill="C6EFCE"/>
            <w:noWrap/>
          </w:tcPr>
          <w:p w14:paraId="7FDBF3A1" w14:textId="77777777" w:rsidR="00733DCA" w:rsidRPr="006F3514" w:rsidRDefault="00733DCA" w:rsidP="0098156E">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R1-I3</w:t>
            </w:r>
          </w:p>
        </w:tc>
        <w:tc>
          <w:tcPr>
            <w:tcW w:w="883" w:type="dxa"/>
            <w:tcBorders>
              <w:top w:val="single" w:sz="4" w:space="0" w:color="auto"/>
              <w:left w:val="nil"/>
              <w:bottom w:val="single" w:sz="4" w:space="0" w:color="auto"/>
              <w:right w:val="single" w:sz="4" w:space="0" w:color="auto"/>
            </w:tcBorders>
            <w:shd w:val="clear" w:color="auto" w:fill="C6EFCE"/>
            <w:noWrap/>
          </w:tcPr>
          <w:p w14:paraId="341E699A"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single" w:sz="4" w:space="0" w:color="auto"/>
              <w:left w:val="nil"/>
              <w:bottom w:val="single" w:sz="4" w:space="0" w:color="auto"/>
              <w:right w:val="single" w:sz="4" w:space="0" w:color="auto"/>
            </w:tcBorders>
            <w:shd w:val="clear" w:color="auto" w:fill="C6EFCE"/>
            <w:noWrap/>
          </w:tcPr>
          <w:p w14:paraId="0DC60FCA"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Zakona o alternativnim gorivima u prometu</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02587FDE"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Zakona o alternativnim gorivima u prometu </w:t>
            </w:r>
          </w:p>
        </w:tc>
        <w:tc>
          <w:tcPr>
            <w:tcW w:w="725" w:type="dxa"/>
            <w:tcBorders>
              <w:top w:val="single" w:sz="4" w:space="0" w:color="auto"/>
              <w:left w:val="nil"/>
              <w:bottom w:val="single" w:sz="4" w:space="0" w:color="auto"/>
              <w:right w:val="single" w:sz="4" w:space="0" w:color="auto"/>
            </w:tcBorders>
            <w:shd w:val="clear" w:color="auto" w:fill="C6EFCE"/>
            <w:noWrap/>
          </w:tcPr>
          <w:p w14:paraId="182E2611"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single" w:sz="4" w:space="0" w:color="auto"/>
              <w:left w:val="nil"/>
              <w:bottom w:val="single" w:sz="4" w:space="0" w:color="auto"/>
              <w:right w:val="single" w:sz="4" w:space="0" w:color="auto"/>
            </w:tcBorders>
            <w:shd w:val="clear" w:color="auto" w:fill="C6EFCE"/>
            <w:noWrap/>
          </w:tcPr>
          <w:p w14:paraId="3D77196B"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single" w:sz="4" w:space="0" w:color="auto"/>
              <w:left w:val="nil"/>
              <w:bottom w:val="single" w:sz="4" w:space="0" w:color="auto"/>
              <w:right w:val="single" w:sz="4" w:space="0" w:color="auto"/>
            </w:tcBorders>
            <w:shd w:val="clear" w:color="auto" w:fill="C6EFCE"/>
            <w:noWrap/>
          </w:tcPr>
          <w:p w14:paraId="1D16F40B"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single" w:sz="4" w:space="0" w:color="auto"/>
              <w:left w:val="nil"/>
              <w:bottom w:val="single" w:sz="4" w:space="0" w:color="auto"/>
              <w:right w:val="single" w:sz="4" w:space="0" w:color="auto"/>
            </w:tcBorders>
            <w:shd w:val="clear" w:color="auto" w:fill="C6EFCE"/>
            <w:noWrap/>
          </w:tcPr>
          <w:p w14:paraId="149CF921"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8" w:type="dxa"/>
            <w:tcBorders>
              <w:top w:val="single" w:sz="4" w:space="0" w:color="auto"/>
              <w:left w:val="nil"/>
              <w:bottom w:val="single" w:sz="4" w:space="0" w:color="auto"/>
              <w:right w:val="single" w:sz="4" w:space="0" w:color="auto"/>
            </w:tcBorders>
            <w:shd w:val="clear" w:color="auto" w:fill="C6EFCE"/>
            <w:noWrap/>
          </w:tcPr>
          <w:p w14:paraId="650E2421"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309" w:type="dxa"/>
            <w:tcBorders>
              <w:top w:val="single" w:sz="4" w:space="0" w:color="auto"/>
              <w:left w:val="nil"/>
              <w:bottom w:val="single" w:sz="4" w:space="0" w:color="auto"/>
              <w:right w:val="single" w:sz="4" w:space="0" w:color="auto"/>
            </w:tcBorders>
            <w:shd w:val="clear" w:color="auto" w:fill="C6EFCE"/>
            <w:noWrap/>
          </w:tcPr>
          <w:p w14:paraId="6A8CE838"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 3. tromjesečja 2021. stupio je na snagu Zakon o alternativnim gorivima u prometu u skladu s pravnom stečevinom EU-a. Tim se Zakonom potiče proizvodnja i korištenje naprednih biogoriva/vodika u prometu.</w:t>
            </w:r>
          </w:p>
        </w:tc>
      </w:tr>
      <w:tr w:rsidR="000E63A9" w:rsidRPr="006F3514" w14:paraId="109DCAFD" w14:textId="77777777" w:rsidTr="00FE43A1">
        <w:trPr>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14:paraId="61AA2214"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w:t>
            </w:r>
          </w:p>
        </w:tc>
        <w:tc>
          <w:tcPr>
            <w:tcW w:w="1077" w:type="dxa"/>
            <w:tcBorders>
              <w:top w:val="single" w:sz="4" w:space="0" w:color="auto"/>
              <w:left w:val="nil"/>
              <w:bottom w:val="single" w:sz="4" w:space="0" w:color="auto"/>
              <w:right w:val="single" w:sz="4" w:space="0" w:color="auto"/>
            </w:tcBorders>
            <w:shd w:val="clear" w:color="auto" w:fill="C6EFCE"/>
            <w:noWrap/>
          </w:tcPr>
          <w:p w14:paraId="56EA5173" w14:textId="77777777" w:rsidR="00733DCA" w:rsidRPr="006F3514" w:rsidRDefault="00733DCA" w:rsidP="0098156E">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C1.2. R1-I3</w:t>
            </w:r>
          </w:p>
        </w:tc>
        <w:tc>
          <w:tcPr>
            <w:tcW w:w="883" w:type="dxa"/>
            <w:tcBorders>
              <w:top w:val="single" w:sz="4" w:space="0" w:color="auto"/>
              <w:left w:val="nil"/>
              <w:bottom w:val="single" w:sz="4" w:space="0" w:color="auto"/>
              <w:right w:val="single" w:sz="4" w:space="0" w:color="auto"/>
            </w:tcBorders>
            <w:shd w:val="clear" w:color="auto" w:fill="C6EFCE"/>
            <w:noWrap/>
          </w:tcPr>
          <w:p w14:paraId="7643901A"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965" w:type="dxa"/>
            <w:tcBorders>
              <w:top w:val="single" w:sz="4" w:space="0" w:color="auto"/>
              <w:left w:val="nil"/>
              <w:bottom w:val="single" w:sz="4" w:space="0" w:color="auto"/>
              <w:right w:val="single" w:sz="4" w:space="0" w:color="auto"/>
            </w:tcBorders>
            <w:shd w:val="clear" w:color="auto" w:fill="C6EFCE"/>
            <w:noWrap/>
          </w:tcPr>
          <w:p w14:paraId="18FC21CB"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Strategije razvoja vodika</w:t>
            </w:r>
          </w:p>
        </w:tc>
        <w:tc>
          <w:tcPr>
            <w:tcW w:w="2017" w:type="dxa"/>
            <w:gridSpan w:val="2"/>
            <w:tcBorders>
              <w:top w:val="single" w:sz="4" w:space="0" w:color="auto"/>
              <w:left w:val="nil"/>
              <w:bottom w:val="single" w:sz="4" w:space="0" w:color="auto"/>
              <w:right w:val="single" w:sz="4" w:space="0" w:color="auto"/>
            </w:tcBorders>
            <w:shd w:val="clear" w:color="auto" w:fill="C6EFCE"/>
            <w:noWrap/>
          </w:tcPr>
          <w:p w14:paraId="1BA93566"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Hrvatske vodikove strategije </w:t>
            </w:r>
          </w:p>
        </w:tc>
        <w:tc>
          <w:tcPr>
            <w:tcW w:w="725" w:type="dxa"/>
            <w:tcBorders>
              <w:top w:val="single" w:sz="4" w:space="0" w:color="auto"/>
              <w:left w:val="nil"/>
              <w:bottom w:val="single" w:sz="4" w:space="0" w:color="auto"/>
              <w:right w:val="single" w:sz="4" w:space="0" w:color="auto"/>
            </w:tcBorders>
            <w:shd w:val="clear" w:color="auto" w:fill="C6EFCE"/>
            <w:noWrap/>
          </w:tcPr>
          <w:p w14:paraId="45725CED"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07" w:type="dxa"/>
            <w:tcBorders>
              <w:top w:val="single" w:sz="4" w:space="0" w:color="auto"/>
              <w:left w:val="nil"/>
              <w:bottom w:val="single" w:sz="4" w:space="0" w:color="auto"/>
              <w:right w:val="single" w:sz="4" w:space="0" w:color="auto"/>
            </w:tcBorders>
            <w:shd w:val="clear" w:color="auto" w:fill="C6EFCE"/>
            <w:noWrap/>
          </w:tcPr>
          <w:p w14:paraId="4F63C5E4"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244" w:type="dxa"/>
            <w:tcBorders>
              <w:top w:val="single" w:sz="4" w:space="0" w:color="auto"/>
              <w:left w:val="nil"/>
              <w:bottom w:val="single" w:sz="4" w:space="0" w:color="auto"/>
              <w:right w:val="single" w:sz="4" w:space="0" w:color="auto"/>
            </w:tcBorders>
            <w:shd w:val="clear" w:color="auto" w:fill="C6EFCE"/>
            <w:noWrap/>
          </w:tcPr>
          <w:p w14:paraId="41AB94D8"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32" w:type="dxa"/>
            <w:tcBorders>
              <w:top w:val="single" w:sz="4" w:space="0" w:color="auto"/>
              <w:left w:val="nil"/>
              <w:bottom w:val="single" w:sz="4" w:space="0" w:color="auto"/>
              <w:right w:val="single" w:sz="4" w:space="0" w:color="auto"/>
            </w:tcBorders>
            <w:shd w:val="clear" w:color="auto" w:fill="C6EFCE"/>
            <w:noWrap/>
          </w:tcPr>
          <w:p w14:paraId="6E79F437"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8" w:type="dxa"/>
            <w:tcBorders>
              <w:top w:val="single" w:sz="4" w:space="0" w:color="auto"/>
              <w:left w:val="nil"/>
              <w:bottom w:val="single" w:sz="4" w:space="0" w:color="auto"/>
              <w:right w:val="single" w:sz="4" w:space="0" w:color="auto"/>
            </w:tcBorders>
            <w:shd w:val="clear" w:color="auto" w:fill="C6EFCE"/>
            <w:noWrap/>
          </w:tcPr>
          <w:p w14:paraId="579AC256" w14:textId="77777777" w:rsidR="00733DCA" w:rsidRPr="006F3514"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309" w:type="dxa"/>
            <w:tcBorders>
              <w:top w:val="single" w:sz="4" w:space="0" w:color="auto"/>
              <w:left w:val="nil"/>
              <w:bottom w:val="single" w:sz="4" w:space="0" w:color="auto"/>
              <w:right w:val="single" w:sz="4" w:space="0" w:color="auto"/>
            </w:tcBorders>
            <w:shd w:val="clear" w:color="auto" w:fill="C6EFCE"/>
            <w:noWrap/>
          </w:tcPr>
          <w:p w14:paraId="671E4DDB" w14:textId="77777777" w:rsidR="00733DCA" w:rsidRPr="006F3514"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Strategija razvoja vodika uključuje kvantificirane ciljeve u kontekstu potencijala za proizvodnju zelenog hidrogena elektrolizom do 2030. U strategiji se posebno razrađuje potencijalna uloga zelenog vodika u dekarbonizaciji prometnog sektora.</w:t>
            </w:r>
          </w:p>
        </w:tc>
      </w:tr>
    </w:tbl>
    <w:p w14:paraId="0E6EF8D6" w14:textId="77777777" w:rsidR="00733DCA" w:rsidRPr="00BC0323" w:rsidRDefault="00733DCA">
      <w:pPr>
        <w:rPr>
          <w:noProof/>
        </w:rPr>
        <w:sectPr w:rsidR="00733DCA" w:rsidRPr="00BC0323" w:rsidSect="002810BF">
          <w:headerReference w:type="even" r:id="rId48"/>
          <w:headerReference w:type="default" r:id="rId49"/>
          <w:footerReference w:type="even" r:id="rId50"/>
          <w:footerReference w:type="default" r:id="rId51"/>
          <w:headerReference w:type="first" r:id="rId52"/>
          <w:footerReference w:type="first" r:id="rId53"/>
          <w:pgSz w:w="15840" w:h="12240" w:orient="landscape"/>
          <w:pgMar w:top="1440" w:right="1239" w:bottom="1440" w:left="1440" w:header="708" w:footer="708" w:gutter="0"/>
          <w:cols w:space="708"/>
          <w:docGrid w:linePitch="360"/>
        </w:sectPr>
      </w:pPr>
    </w:p>
    <w:p w14:paraId="4C7995EA" w14:textId="77777777" w:rsidR="00733DCA" w:rsidRPr="008A4C70" w:rsidRDefault="00733DCA" w:rsidP="0001477B">
      <w:pPr>
        <w:keepNext/>
        <w:tabs>
          <w:tab w:val="left" w:pos="850"/>
        </w:tabs>
        <w:spacing w:before="360" w:after="120" w:line="240" w:lineRule="auto"/>
        <w:ind w:left="850" w:hanging="850"/>
        <w:jc w:val="both"/>
        <w:outlineLvl w:val="0"/>
        <w:rPr>
          <w:rFonts w:ascii="Times New Roman" w:eastAsia="Calibri" w:hAnsi="Times New Roman" w:cs="Times New Roman"/>
          <w:b/>
          <w:bCs/>
          <w:smallCaps/>
          <w:noProof/>
          <w:sz w:val="24"/>
          <w:szCs w:val="24"/>
        </w:rPr>
      </w:pPr>
      <w:r>
        <w:rPr>
          <w:rFonts w:ascii="Times New Roman" w:hAnsi="Times New Roman"/>
          <w:b/>
          <w:smallCaps/>
          <w:noProof/>
          <w:sz w:val="24"/>
        </w:rPr>
        <w:t>C. KOMPONENTA 1.3.: UNAPREĐENJE VODNOG GOSPODARSTVA I GOSPODARENJA OTPADOM</w:t>
      </w:r>
    </w:p>
    <w:p w14:paraId="6F790972"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ove komponente NPOO-a doprinijeti očuvanju okoliša i bioraznolikosti te prilagodbi klimatskim promjenama, čime se stvaraju preduvjeti za jačanje ekološke, društvene i gospodarske otpornosti. </w:t>
      </w:r>
    </w:p>
    <w:p w14:paraId="116C59A5"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Planirana ulaganja u okviru komponente 1.3. usmjerena su na pokrivanje manjka ulaganja u sektorima gospodarenja vodom i otpadom koji se procjenjuje na gotovo 7 % hrvatskog BDP-a za 2019. Ulaganja će se poduprijeti reformama za konsolidaciju vodnog sektora i unapređenje vodnog gospodarstva u cijeloj Hrvatskoj. Osim toga, donijet će se novi propis o otpadu i planovi gospodarenja otpadom radi promicanja kružnoga gospodarstvo u skladu s EU-ovim akcijskim planom za kružno gospodarstvo.</w:t>
      </w:r>
    </w:p>
    <w:p w14:paraId="04B7D2E8"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Ulaganja i reforme doprinijet će ispunjenju preporuka upućenih Hrvatskoj u 2019. i 2020.: „usmjeriti ulagačku politiku na […] okolišnu infrastrukturu, vodeći računa o regionalnim razlikama” (3. preporuka za Hrvatsku iz 2019.) i „usmjeriti ulaganja u zelenu […] tranziciju, osobito u okolišnu infrastrukturu” (3. preporuka za Hrvatsku iz 2020.). </w:t>
      </w:r>
    </w:p>
    <w:p w14:paraId="54FA646E" w14:textId="77777777" w:rsidR="003E5076" w:rsidRPr="00BC0323" w:rsidRDefault="003E5076" w:rsidP="0001477B">
      <w:pPr>
        <w:spacing w:before="120" w:after="120" w:line="240" w:lineRule="auto"/>
        <w:jc w:val="both"/>
        <w:rPr>
          <w:rFonts w:ascii="Times New Roman" w:eastAsia="Calibri" w:hAnsi="Times New Roman" w:cs="Times New Roman"/>
          <w:noProof/>
          <w:sz w:val="24"/>
          <w:szCs w:val="24"/>
        </w:rPr>
      </w:pPr>
    </w:p>
    <w:p w14:paraId="1B22B818" w14:textId="77777777" w:rsidR="00733DCA" w:rsidRPr="008A4C70"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C1. </w:t>
      </w:r>
      <w:r>
        <w:rPr>
          <w:rFonts w:ascii="Times New Roman" w:hAnsi="Times New Roman"/>
          <w:b/>
          <w:noProof/>
          <w:sz w:val="24"/>
          <w:u w:val="single"/>
        </w:rPr>
        <w:tab/>
        <w:t>Opis reformi i ulaganja za programe bespovratne financijske potpore</w:t>
      </w:r>
    </w:p>
    <w:p w14:paraId="1DFD31D5" w14:textId="77777777" w:rsidR="00733DCA" w:rsidRPr="008A4C70" w:rsidRDefault="00733DCA" w:rsidP="0001477B">
      <w:pPr>
        <w:keepNext/>
        <w:tabs>
          <w:tab w:val="num" w:pos="850"/>
        </w:tabs>
        <w:spacing w:after="200" w:line="276" w:lineRule="auto"/>
        <w:ind w:left="851"/>
        <w:jc w:val="both"/>
        <w:outlineLvl w:val="2"/>
        <w:rPr>
          <w:rFonts w:ascii="Calibri" w:eastAsia="Calibri" w:hAnsi="Calibri" w:cs="Arial"/>
          <w:noProof/>
        </w:rPr>
      </w:pPr>
      <w:r>
        <w:rPr>
          <w:rFonts w:ascii="Times New Roman" w:hAnsi="Times New Roman"/>
          <w:noProof/>
          <w:sz w:val="24"/>
          <w:u w:val="single"/>
        </w:rPr>
        <w:t>Reforma C1.3. R1 – Provedba programa vodnog gospodarstva</w:t>
      </w:r>
    </w:p>
    <w:p w14:paraId="156D8C4D"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riješiti problem rascjepkanosti javnih pružatelja vodnih usluga u Hrvatskoj. Namijenjena je konsolidiranju i smanjenju broja pružatelja vodnih usluga kako bi se poboljšala njihova učinkovitost i upravljanje. Reformom se uvodi sustav referentnih vrijednosti za praćenje operativnih i financijskih rezultata isporučitelja vodnih usluga i izvješćivanje o njima te se doprinosi poboljšanju dugoročne održivosti infrastrukturnih ulaganja. </w:t>
      </w:r>
    </w:p>
    <w:p w14:paraId="26AC2A3C"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Reforma će se provesti stupanjem na snagu izmjena četiriju podzakonskih akata: </w:t>
      </w:r>
    </w:p>
    <w:p w14:paraId="35DD057B" w14:textId="77777777" w:rsidR="00733DCA" w:rsidRPr="008A4C70" w:rsidRDefault="00733DCA" w:rsidP="00733DCA">
      <w:pPr>
        <w:keepNext/>
        <w:numPr>
          <w:ilvl w:val="0"/>
          <w:numId w:val="13"/>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Uredba o uslužnim područjima, </w:t>
      </w:r>
    </w:p>
    <w:p w14:paraId="7B2816AC" w14:textId="77777777" w:rsidR="00733DCA" w:rsidRPr="008A4C70" w:rsidRDefault="00733DCA" w:rsidP="00733DCA">
      <w:pPr>
        <w:keepNext/>
        <w:numPr>
          <w:ilvl w:val="0"/>
          <w:numId w:val="13"/>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Uredba o vrednovanju učinkovitosti poslovanja isporučitelja vodnih usluga, uključujući uvođenje sustava vrednovanja,</w:t>
      </w:r>
    </w:p>
    <w:p w14:paraId="4BFAC044" w14:textId="77777777" w:rsidR="00733DCA" w:rsidRPr="008A4C70" w:rsidRDefault="00733DCA" w:rsidP="00733DCA">
      <w:pPr>
        <w:keepNext/>
        <w:numPr>
          <w:ilvl w:val="0"/>
          <w:numId w:val="13"/>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Uredba o metodologiji za određivanje cijene vodnih usluga, i </w:t>
      </w:r>
    </w:p>
    <w:p w14:paraId="6DAECD3D" w14:textId="77777777" w:rsidR="00733DCA" w:rsidRPr="008A4C70" w:rsidRDefault="00733DCA" w:rsidP="00733DCA">
      <w:pPr>
        <w:keepNext/>
        <w:numPr>
          <w:ilvl w:val="0"/>
          <w:numId w:val="13"/>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Uredba o posebnim uvjetima za obavljanje djelatnosti vodnih usluga.</w:t>
      </w:r>
    </w:p>
    <w:p w14:paraId="66048383"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 razvoj višegodišnjeg programa ulaganja za vodoopskrbnu i vodootpadnu infrastrukturu kako bi se osigurala usklađena provedba ulaganja C1.3 R1-I1 i C1.3 R1-I2 te komplementarnosti s drugim financiranjem sredstvima EU-a.</w:t>
      </w:r>
    </w:p>
    <w:p w14:paraId="56361739" w14:textId="27D46BA3"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prosinca 2024.</w:t>
      </w:r>
    </w:p>
    <w:p w14:paraId="7425CF5A" w14:textId="77777777" w:rsidR="00733DCA" w:rsidRPr="008A4C70" w:rsidRDefault="00733DCA" w:rsidP="0001477B">
      <w:pPr>
        <w:keepNext/>
        <w:tabs>
          <w:tab w:val="num" w:pos="850"/>
        </w:tabs>
        <w:spacing w:after="200" w:line="276" w:lineRule="auto"/>
        <w:ind w:left="851"/>
        <w:jc w:val="both"/>
        <w:outlineLvl w:val="2"/>
        <w:rPr>
          <w:rFonts w:ascii="Calibri" w:eastAsia="Calibri" w:hAnsi="Calibri" w:cs="Arial"/>
          <w:noProof/>
        </w:rPr>
      </w:pPr>
      <w:r>
        <w:rPr>
          <w:rFonts w:ascii="Times New Roman" w:hAnsi="Times New Roman"/>
          <w:noProof/>
          <w:sz w:val="24"/>
          <w:u w:val="single"/>
        </w:rPr>
        <w:t>Ulaganje C1.3. R1-I1 – Program razvoja javne odvodnje otpadnih voda</w:t>
      </w:r>
    </w:p>
    <w:p w14:paraId="6990B43E" w14:textId="39DD4BD8"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ulaganja obnoviti i sanirati 775 km javne mreže odvodnje otpadnih voda; te izgraditi i pustiti u rad 12 pogona za pročišćavanje otpadnih voda kako bi se osigurao pristup odgovarajućem pročišćavanju otpadnih voda za dodatnih 200 000 stanovnika</w:t>
      </w:r>
    </w:p>
    <w:p w14:paraId="6F5F94CC"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Ulaganjem se financiraju ove dvije podmjere: </w:t>
      </w:r>
    </w:p>
    <w:p w14:paraId="40DC53FD" w14:textId="77777777" w:rsidR="00733DCA" w:rsidRPr="008A4C70" w:rsidRDefault="00733DCA" w:rsidP="00733DCA">
      <w:pPr>
        <w:numPr>
          <w:ilvl w:val="0"/>
          <w:numId w:val="1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poboljšanje javne infrastrukture odvodnje otpadnih voda, uključujući kupnju opreme, uspostavu nadzorno-upravljačkih i geografsko-informacijskih sustava te nadzor nad izvođenjem radova – financiranje će zajednički osigurati Mehanizam za oporavak i otpornost, korisnici projekta, resorno ministarstvo i nacionalno poduzeće za vodu, Hrvatske vode, </w:t>
      </w:r>
    </w:p>
    <w:p w14:paraId="5F8EF0BE" w14:textId="77777777" w:rsidR="00733DCA" w:rsidRPr="008A4C70" w:rsidRDefault="00733DCA" w:rsidP="00733DCA">
      <w:pPr>
        <w:numPr>
          <w:ilvl w:val="0"/>
          <w:numId w:val="1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nadogradnja ciljanih dijelova sustava odvodnje otpadnih voda, uključujući proširenje i obnovu dijelova kanalizacijske mreže – dio sredstava posebno se izdvaja za razvoj ruralnih područja u kojima kvaliteta pružanja vodnih usluga zaostaje za nacionalnim prosjekom; financiranje će zajednički osigurati Mehanizam za oporavak i otpornost, korisnik i Hrvatske vode.</w:t>
      </w:r>
    </w:p>
    <w:p w14:paraId="09B68F14"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će se provesti dodjelom bespovratnih sredstava općinama, pri čemu će se prednost dati već razrađenim projektima. U programu ulaganja u razvoj vodne i vodootpadne infrastrukture (reforma C1.3. R1) odredit će se prioriteti projekata i upotreba drugih sredstava, među ostalim iz programa Unije. </w:t>
      </w:r>
    </w:p>
    <w:p w14:paraId="3B9BB4E1"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5F76E192" w14:textId="77777777" w:rsidR="00733DCA" w:rsidRPr="008A4C70"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C1.3. R1-I2 – Program razvoja javne vodoopskrbe</w:t>
      </w:r>
    </w:p>
    <w:p w14:paraId="6EB882F7"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obnoviti i sanirati 956 km javne vodoopskrbne mreže u Hrvatskoj kako bi se poboljšala opskrba pitkom vodom i smanjili gubici vode. Ulaganje uključuje opremanje 526 vodocrpilišta opremom potrebnom za osiguravanje praćenje i racionalno korištenje vodnih resursa. Ulaganje je predviđeno radi osiguravanja pristupa pitkoj vodi poboljšanim sustavima javne opskrbe vodom za oko 45 000 ljudi, uz istodobno smanjenje gubitka vode u javnim vodoopskrbnim sustavima uz potporu RRF-a za 25 %. Gubitak vode na nacionalnoj razini smanjit će se za 7 %. </w:t>
      </w:r>
    </w:p>
    <w:p w14:paraId="37853145"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se sastoji od dvije podmjere:</w:t>
      </w:r>
    </w:p>
    <w:p w14:paraId="0BC00181" w14:textId="77777777" w:rsidR="00733DCA" w:rsidRPr="008A4C70" w:rsidRDefault="00733DCA" w:rsidP="00733DCA">
      <w:pPr>
        <w:numPr>
          <w:ilvl w:val="0"/>
          <w:numId w:val="1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Kupnja i ugradnja mjernih uređaja na vodocrpilištima Financiranje će zajednički osigurati Mehanizam za oporavak i otpornost i Hrvatske vode.</w:t>
      </w:r>
    </w:p>
    <w:p w14:paraId="600678BE" w14:textId="77777777" w:rsidR="00733DCA" w:rsidRPr="008A4C70" w:rsidRDefault="00733DCA" w:rsidP="00733DCA">
      <w:pPr>
        <w:numPr>
          <w:ilvl w:val="0"/>
          <w:numId w:val="1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Razvoj vodoopskrbe u Hrvatskoj, uključujući obnovu vodoopskrbnih mreža na ruralnim, planinskim i demografski ugroženim područjima. Financiranje će zajednički osigurati Mehanizam za oporavak i otpornost, korisnik i Hrvatske vode. </w:t>
      </w:r>
    </w:p>
    <w:p w14:paraId="73530AC7"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će se provesti dodjelom bespovratnih sredstava općinama. U programu ulaganja u razvoj vodne i vodootpadne infrastrukture, definiranom u reformi C1.3. R1, odredit će se prioriteti projekata i upotreba drugih sredstava, među ostalim iz programa Unije. </w:t>
      </w:r>
    </w:p>
    <w:p w14:paraId="53D17ADD"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se sastoji od izgradnje sustava opskrbe vodom za piće s prosječnom potrošnjom energije od ≤ 0,5 kWh ili infrastrukturnim indeksom istjecanja (ILI) od ≤ 1,5 te od obnove postojećih sustava opskrbe vodom za piće radi smanjenja prosječne potrošnje energije za više od 20 % ili smanjenja istjecanja za više od 20 %.  </w:t>
      </w:r>
    </w:p>
    <w:p w14:paraId="266352D1"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4B6CF04B" w14:textId="77777777" w:rsidR="00733DCA" w:rsidRPr="008A4C70" w:rsidRDefault="00733DCA" w:rsidP="0001477B">
      <w:pPr>
        <w:keepNext/>
        <w:spacing w:before="120" w:after="120" w:line="240" w:lineRule="auto"/>
        <w:ind w:left="851"/>
        <w:jc w:val="both"/>
        <w:outlineLvl w:val="2"/>
        <w:rPr>
          <w:rFonts w:ascii="Times New Roman" w:eastAsia="SimSun" w:hAnsi="Times New Roman" w:cs="Times New Roman"/>
          <w:i/>
          <w:iCs/>
          <w:noProof/>
          <w:sz w:val="24"/>
          <w:szCs w:val="24"/>
        </w:rPr>
      </w:pPr>
      <w:r>
        <w:rPr>
          <w:rFonts w:ascii="Times New Roman" w:hAnsi="Times New Roman"/>
          <w:noProof/>
          <w:sz w:val="24"/>
          <w:u w:val="single"/>
        </w:rPr>
        <w:t>Ulaganje C1.3. R1-I3 – Program smanjenja rizika od katastrofa</w:t>
      </w:r>
    </w:p>
    <w:p w14:paraId="2D4B5B51"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u w:val="single"/>
        </w:rPr>
      </w:pPr>
      <w:r>
        <w:rPr>
          <w:rFonts w:ascii="Times New Roman" w:hAnsi="Times New Roman"/>
          <w:noProof/>
          <w:sz w:val="24"/>
        </w:rPr>
        <w:t>Cilj je ulaganja poboljšati mjere zaštite od poplava za 20 000 stanovnika Hrvatske, pri čemu se prednost daje prirodnim rješenjima revitalizacijom vodotoka, povezivanjem napuštenih rukavica i stvaranjem sekundarnih močvarnih staništa te uklanjanjem invazivnih vrsta.</w:t>
      </w:r>
    </w:p>
    <w:p w14:paraId="3EFB05BF"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dvije podmjere:</w:t>
      </w:r>
    </w:p>
    <w:p w14:paraId="3F1849A0" w14:textId="2BFF7AE6" w:rsidR="00733DCA" w:rsidRPr="00EA517E" w:rsidRDefault="00733DCA" w:rsidP="00733DCA">
      <w:pPr>
        <w:numPr>
          <w:ilvl w:val="0"/>
          <w:numId w:val="1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Program smanjenja rizika od poplava bit će usmjeren na smanjenje rizika od poplava najvećih hrvatskih rijeka u dunavskom slijevu i jadranskom vodnom području te na manjim bujičnim slivovima dijelom i u urbanim i semi-urbanim te ruralnim sredinama. Mjere zaštite od poplava obuhvaćat će obrambene nasipe sa širokim inundacijskim područjima duž vodotoka, u skladu s rješenjima koja se temelje na prirodi i načelom davanja prostora rijekama.</w:t>
      </w:r>
    </w:p>
    <w:p w14:paraId="21CD65C7" w14:textId="77777777" w:rsidR="00733DCA" w:rsidRPr="00EA517E" w:rsidRDefault="00733DCA" w:rsidP="00733DCA">
      <w:pPr>
        <w:numPr>
          <w:ilvl w:val="0"/>
          <w:numId w:val="1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Revitalizacija slatkovodnih sustava, uključujući regeneraciju i zaštitu područja rijeke Mirna, Vranskog i Trakošćanskog jezera te uklanjanje invazivnih vrsta u zaštićenoj delti Neretve. </w:t>
      </w:r>
    </w:p>
    <w:p w14:paraId="5FC65749"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570F7D1C" w14:textId="77777777" w:rsidR="00733DCA" w:rsidRPr="008A4C70"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 xml:space="preserve">Reforma C1.3. R2 – Provedba održivog gospodarenja otpadom </w:t>
      </w:r>
    </w:p>
    <w:p w14:paraId="083F831A"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stvoriti novi pravni okvir kako bi se olakšalo sprečavanje nastanka otpada, njegova ponovna uporaba i recikliranje te ubrzao prelazak na kružno gospodarstvo. Reforma uključuje stupanje na snagu novog Zakona o gospodarenju otpadom s ciljem smanjenja udjela miješanog komunalnog otpada i uvođenja pristupa eko-modulacije za sustave proširene odgovornosti proizvođača (EPR).</w:t>
      </w:r>
    </w:p>
    <w:p w14:paraId="07952D74"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Reforma uključuje donošenje dvaju planova gospodarenja otpadom za razdoblja 2017.–2022. i 2023.–2029. </w:t>
      </w:r>
    </w:p>
    <w:p w14:paraId="00FD66AE"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2022.</w:t>
      </w:r>
    </w:p>
    <w:p w14:paraId="1458C2C8" w14:textId="77777777" w:rsidR="00733DCA" w:rsidRPr="008A4C70"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C1.3. R2-I1 – Program smanjenja odlaganja otpada</w:t>
      </w:r>
    </w:p>
    <w:p w14:paraId="2C353485" w14:textId="1F5F6F8B" w:rsidR="00733DCA" w:rsidRPr="00256B8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osigurati potrebnu infrastrukturu za smanjenje odlaganja otpada na odlagališta i promicanje recikliranja, uključujući izgradnju i opremanje postrojenja za razvrstavanje odvojeno prikupljenog komunalnog otpada, postrojenja za odvojeno prikupljeni biootpad, reciklažnih dvorišta i reciklažnih dvorišta za građevinski otpad te uspostavu centara za ponovnu uporabu. Očekuje se da će se ulaganjem udio komunalnog otpada upućenog na odlagališta do 31. prosinca 2025. smanjiti za 45 %. </w:t>
      </w:r>
    </w:p>
    <w:p w14:paraId="79EF2BAE" w14:textId="77777777" w:rsidR="00F731C8" w:rsidRDefault="00733DCA" w:rsidP="0001477B">
      <w:pPr>
        <w:spacing w:before="120" w:after="120" w:line="240" w:lineRule="auto"/>
        <w:jc w:val="both"/>
        <w:rPr>
          <w:rFonts w:ascii="Times New Roman" w:eastAsia="Calibri" w:hAnsi="Times New Roman" w:cs="Times New Roman"/>
          <w:noProof/>
          <w:sz w:val="24"/>
          <w:szCs w:val="24"/>
          <w:shd w:val="clear" w:color="auto" w:fill="FFFFFF"/>
        </w:rPr>
      </w:pPr>
      <w:r>
        <w:rPr>
          <w:rFonts w:ascii="Times New Roman" w:hAnsi="Times New Roman"/>
          <w:noProof/>
          <w:sz w:val="24"/>
          <w:shd w:val="clear" w:color="auto" w:fill="FFFFFF"/>
        </w:rPr>
        <w:t>Ulaganje će se provesti dodjelom bespovratnih sredstava općinama i poduzećima putem otvorenog natječaja, pri čemu će se prednost dati već razrađenim projektima. U programu ulaganja u infrastrukturu za odvojeno prikupljanje i recikliranje, definiranom u reformi C1.3. R2, odredit će se korištenje drugih sredstava, među ostalim iz programa Unije.</w:t>
      </w:r>
    </w:p>
    <w:p w14:paraId="102CAAB3" w14:textId="4E54FFC5"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Najmanje 30 dijelova opreme za recikliranje i/ili ponovnu uporabu dostavit će se i početi upotrebljavati do 31. prosinca 2025.</w:t>
      </w:r>
    </w:p>
    <w:p w14:paraId="1C275927" w14:textId="5C514F20" w:rsidR="00F731C8" w:rsidRPr="008A4C70" w:rsidRDefault="00F731C8" w:rsidP="0001477B">
      <w:pPr>
        <w:spacing w:before="120" w:after="120" w:line="240" w:lineRule="auto"/>
        <w:jc w:val="both"/>
        <w:rPr>
          <w:rFonts w:ascii="Times New Roman" w:eastAsia="Calibri" w:hAnsi="Times New Roman" w:cs="Times New Roman"/>
          <w:noProof/>
          <w:sz w:val="24"/>
          <w:szCs w:val="24"/>
          <w:shd w:val="clear" w:color="auto" w:fill="FFFFFF"/>
        </w:rPr>
      </w:pPr>
      <w:r>
        <w:rPr>
          <w:rFonts w:ascii="Times New Roman" w:hAnsi="Times New Roman"/>
          <w:noProof/>
          <w:sz w:val="24"/>
        </w:rPr>
        <w:t xml:space="preserve">Provest će se informacijsko-obrazovne aktivnosti u vezi s biootpadom namijenjene građanima. </w:t>
      </w:r>
    </w:p>
    <w:p w14:paraId="1C9D3EBA" w14:textId="77777777" w:rsidR="00733DCA" w:rsidRPr="008A4C70" w:rsidRDefault="00733DCA" w:rsidP="0001477B">
      <w:pPr>
        <w:spacing w:before="120" w:after="120" w:line="240" w:lineRule="auto"/>
        <w:jc w:val="both"/>
        <w:rPr>
          <w:rFonts w:ascii="Times New Roman" w:eastAsia="Calibri" w:hAnsi="Times New Roman" w:cs="Times New Roman"/>
          <w:noProof/>
          <w:sz w:val="24"/>
          <w:shd w:val="clear" w:color="auto" w:fill="FFFFFF"/>
        </w:rPr>
      </w:pPr>
      <w:r>
        <w:rPr>
          <w:rFonts w:ascii="Times New Roman" w:hAnsi="Times New Roman"/>
          <w:noProof/>
          <w:sz w:val="24"/>
          <w:shd w:val="clear" w:color="auto" w:fill="FFFFFF"/>
        </w:rPr>
        <w:t xml:space="preserve">Pozivom će upravljati MINGOR i Fond za zaštitu okoliša i energetsku učinkovitost, a financiranje će zajednički osigurati Mehanizam za oporavak i otpornost i općine korisnice. </w:t>
      </w:r>
    </w:p>
    <w:p w14:paraId="577C2F69"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5233BC6D" w14:textId="77777777" w:rsidR="00733DCA" w:rsidRPr="008A4C70"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u w:val="single"/>
        </w:rPr>
      </w:pPr>
      <w:r>
        <w:rPr>
          <w:rFonts w:ascii="Times New Roman" w:hAnsi="Times New Roman"/>
          <w:noProof/>
          <w:sz w:val="24"/>
          <w:u w:val="single"/>
        </w:rPr>
        <w:t>Ulaganje C1.3. R2-I2 – Program sanacije zatvorenih odlagališta i lokacija onečišćenih opasnim otpadom</w:t>
      </w:r>
    </w:p>
    <w:p w14:paraId="25D08BB3"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sanirati deset zatvorenih odlagališta u Istarskoj, Ličko-senjskoj, Šibensko-kninskoj i Koprivničko-križevačkoj županiji kako bi se spriječilo daljnje onečišćenje zraka, tla i vode. Program sanacije uključuje aktivnosti uklanjanja i obrade i sanacije tla, kao i sanaciju lokacija onečišćenih opasnim otpadom, u skladu s kriterijima Direktive 1999/31/EZ. </w:t>
      </w:r>
    </w:p>
    <w:p w14:paraId="4C8C0D4C" w14:textId="77777777" w:rsidR="00733DCA" w:rsidRPr="008A4C70"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Ulaganje će se provesti dodjelom bespovratnih sredstava općinama nadležnima za upravljanje i praćenje odlagališta otpada, putem otvorenog natječaja. Pozivom će upravljati MINGOR i Fond za zaštitu okoliša i energetsku učinkovitost, a financiranje će zajednički osigurati Mehanizam za oporavak i otpornost i općine korisnice.</w:t>
      </w:r>
    </w:p>
    <w:p w14:paraId="33E6EA16" w14:textId="77777777" w:rsidR="00733DCA" w:rsidRPr="008A4C70"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3CAF20CA" w14:textId="77777777" w:rsidR="00733DCA" w:rsidRDefault="00733DCA">
      <w:pPr>
        <w:rPr>
          <w:noProof/>
          <w:lang w:val="en-GB"/>
        </w:rPr>
        <w:sectPr w:rsidR="00733DCA" w:rsidSect="005D4B78">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08" w:footer="708" w:gutter="0"/>
          <w:cols w:space="708"/>
          <w:docGrid w:linePitch="360"/>
        </w:sectPr>
      </w:pPr>
    </w:p>
    <w:p w14:paraId="2589B436" w14:textId="77777777" w:rsidR="00733DCA" w:rsidRPr="008A4C70"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C2. </w:t>
      </w:r>
      <w:r>
        <w:rPr>
          <w:rFonts w:ascii="Times New Roman" w:hAnsi="Times New Roman"/>
          <w:b/>
          <w:noProof/>
          <w:sz w:val="24"/>
          <w:u w:val="single"/>
        </w:rPr>
        <w:tab/>
        <w:t>Ključne etape, ciljne vrijednosti, pokazatelji i vremenski raspored za praćenje i provedbu programa bespovratne financijske potpore</w:t>
      </w:r>
    </w:p>
    <w:tbl>
      <w:tblPr>
        <w:tblpPr w:leftFromText="180" w:rightFromText="180" w:vertAnchor="text" w:tblpXSpec="center" w:tblpY="1"/>
        <w:tblOverlap w:val="never"/>
        <w:tblW w:w="14629" w:type="dxa"/>
        <w:tblLayout w:type="fixed"/>
        <w:tblCellMar>
          <w:top w:w="28" w:type="dxa"/>
          <w:left w:w="28" w:type="dxa"/>
          <w:bottom w:w="28" w:type="dxa"/>
          <w:right w:w="28" w:type="dxa"/>
        </w:tblCellMar>
        <w:tblLook w:val="04A0" w:firstRow="1" w:lastRow="0" w:firstColumn="1" w:lastColumn="0" w:noHBand="0" w:noVBand="1"/>
      </w:tblPr>
      <w:tblGrid>
        <w:gridCol w:w="737"/>
        <w:gridCol w:w="826"/>
        <w:gridCol w:w="895"/>
        <w:gridCol w:w="2248"/>
        <w:gridCol w:w="1985"/>
        <w:gridCol w:w="992"/>
        <w:gridCol w:w="992"/>
        <w:gridCol w:w="873"/>
        <w:gridCol w:w="539"/>
        <w:gridCol w:w="856"/>
        <w:gridCol w:w="3686"/>
      </w:tblGrid>
      <w:tr w:rsidR="00CE6E44" w:rsidRPr="00AD2AC5" w14:paraId="504D6487" w14:textId="77777777" w:rsidTr="00CF6A27">
        <w:trPr>
          <w:tblHead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D33264"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Broj</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40F7B2"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Mjera</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6B71E9"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Ključna etapa / ciljna vrijednost</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FDB011"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Naziv</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584D66"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 xml:space="preserve">Kvalitativni pokazatelji </w:t>
            </w:r>
            <w:r>
              <w:rPr>
                <w:noProof/>
                <w:sz w:val="20"/>
              </w:rPr>
              <w:br/>
            </w:r>
            <w:r>
              <w:rPr>
                <w:b/>
                <w:noProof/>
                <w:sz w:val="20"/>
              </w:rPr>
              <w:t>(za ključne etape)</w:t>
            </w:r>
          </w:p>
        </w:tc>
        <w:tc>
          <w:tcPr>
            <w:tcW w:w="2857"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479E17FF"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 xml:space="preserve">Kvantitativni pokazatelji </w:t>
            </w:r>
            <w:r>
              <w:rPr>
                <w:noProof/>
                <w:sz w:val="20"/>
              </w:rPr>
              <w:br/>
            </w:r>
            <w:r>
              <w:rPr>
                <w:b/>
                <w:noProof/>
                <w:sz w:val="20"/>
              </w:rPr>
              <w:t>(za ciljne vrijednosti)</w:t>
            </w:r>
          </w:p>
        </w:tc>
        <w:tc>
          <w:tcPr>
            <w:tcW w:w="1395" w:type="dxa"/>
            <w:gridSpan w:val="2"/>
            <w:tcBorders>
              <w:top w:val="single" w:sz="4" w:space="0" w:color="auto"/>
              <w:left w:val="single" w:sz="4" w:space="0" w:color="auto"/>
              <w:bottom w:val="single" w:sz="4" w:space="0" w:color="auto"/>
              <w:right w:val="single" w:sz="4" w:space="0" w:color="auto"/>
            </w:tcBorders>
            <w:shd w:val="clear" w:color="auto" w:fill="BDD7EE"/>
            <w:hideMark/>
          </w:tcPr>
          <w:p w14:paraId="170B7897"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Vrijeme</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1E025D"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Opis svake ključne etape i ciljne vrijednosti</w:t>
            </w:r>
          </w:p>
        </w:tc>
      </w:tr>
      <w:tr w:rsidR="00F04409" w:rsidRPr="00AD2AC5" w14:paraId="75631DE5" w14:textId="77777777" w:rsidTr="00CF6A27">
        <w:trPr>
          <w:tblHeader/>
        </w:trPr>
        <w:tc>
          <w:tcPr>
            <w:tcW w:w="737" w:type="dxa"/>
            <w:vMerge/>
            <w:tcBorders>
              <w:top w:val="single" w:sz="4" w:space="0" w:color="auto"/>
              <w:left w:val="single" w:sz="4" w:space="0" w:color="auto"/>
              <w:bottom w:val="single" w:sz="4" w:space="0" w:color="auto"/>
              <w:right w:val="single" w:sz="4" w:space="0" w:color="auto"/>
            </w:tcBorders>
            <w:hideMark/>
          </w:tcPr>
          <w:p w14:paraId="44167878" w14:textId="77777777" w:rsidR="00733DCA" w:rsidRPr="00BC0323" w:rsidRDefault="00733DCA" w:rsidP="0001477B">
            <w:pPr>
              <w:spacing w:after="0" w:line="276" w:lineRule="auto"/>
              <w:rPr>
                <w:rFonts w:eastAsia="Times New Roman" w:cstheme="minorHAnsi"/>
                <w:b/>
                <w:noProof/>
                <w:sz w:val="20"/>
                <w:szCs w:val="20"/>
                <w:lang w:eastAsia="en-GB"/>
              </w:rPr>
            </w:pPr>
          </w:p>
        </w:tc>
        <w:tc>
          <w:tcPr>
            <w:tcW w:w="826" w:type="dxa"/>
            <w:vMerge/>
            <w:tcBorders>
              <w:top w:val="single" w:sz="4" w:space="0" w:color="auto"/>
              <w:left w:val="single" w:sz="4" w:space="0" w:color="auto"/>
              <w:bottom w:val="single" w:sz="4" w:space="0" w:color="auto"/>
              <w:right w:val="single" w:sz="4" w:space="0" w:color="auto"/>
            </w:tcBorders>
            <w:hideMark/>
          </w:tcPr>
          <w:p w14:paraId="2D185CE0" w14:textId="77777777" w:rsidR="00733DCA" w:rsidRPr="00BC0323" w:rsidRDefault="00733DCA" w:rsidP="0001477B">
            <w:pPr>
              <w:spacing w:after="0" w:line="276" w:lineRule="auto"/>
              <w:jc w:val="center"/>
              <w:rPr>
                <w:rFonts w:eastAsia="Times New Roman" w:cstheme="minorHAnsi"/>
                <w:b/>
                <w:noProof/>
                <w:sz w:val="20"/>
                <w:szCs w:val="20"/>
                <w:lang w:eastAsia="en-GB"/>
              </w:rPr>
            </w:pPr>
          </w:p>
        </w:tc>
        <w:tc>
          <w:tcPr>
            <w:tcW w:w="895" w:type="dxa"/>
            <w:vMerge/>
            <w:tcBorders>
              <w:top w:val="single" w:sz="4" w:space="0" w:color="auto"/>
              <w:left w:val="single" w:sz="4" w:space="0" w:color="auto"/>
              <w:bottom w:val="single" w:sz="4" w:space="0" w:color="auto"/>
              <w:right w:val="single" w:sz="4" w:space="0" w:color="auto"/>
            </w:tcBorders>
            <w:hideMark/>
          </w:tcPr>
          <w:p w14:paraId="1AAFC994" w14:textId="77777777" w:rsidR="00733DCA" w:rsidRPr="00BC0323" w:rsidRDefault="00733DCA" w:rsidP="0001477B">
            <w:pPr>
              <w:spacing w:after="0" w:line="276" w:lineRule="auto"/>
              <w:jc w:val="center"/>
              <w:rPr>
                <w:rFonts w:eastAsia="Times New Roman" w:cstheme="minorHAnsi"/>
                <w:b/>
                <w:noProof/>
                <w:sz w:val="20"/>
                <w:szCs w:val="20"/>
                <w:lang w:eastAsia="en-GB"/>
              </w:rPr>
            </w:pPr>
          </w:p>
        </w:tc>
        <w:tc>
          <w:tcPr>
            <w:tcW w:w="2248" w:type="dxa"/>
            <w:vMerge/>
            <w:tcBorders>
              <w:top w:val="single" w:sz="4" w:space="0" w:color="auto"/>
              <w:left w:val="single" w:sz="4" w:space="0" w:color="auto"/>
              <w:bottom w:val="single" w:sz="4" w:space="0" w:color="auto"/>
              <w:right w:val="single" w:sz="4" w:space="0" w:color="auto"/>
            </w:tcBorders>
            <w:hideMark/>
          </w:tcPr>
          <w:p w14:paraId="64D50230" w14:textId="77777777" w:rsidR="00733DCA" w:rsidRPr="00BC0323" w:rsidRDefault="00733DCA" w:rsidP="0001477B">
            <w:pPr>
              <w:spacing w:after="0" w:line="276" w:lineRule="auto"/>
              <w:rPr>
                <w:rFonts w:eastAsia="Times New Roman" w:cstheme="minorHAnsi"/>
                <w:b/>
                <w:noProof/>
                <w:sz w:val="20"/>
                <w:szCs w:val="20"/>
                <w:lang w:eastAsia="en-GB"/>
              </w:rPr>
            </w:pPr>
          </w:p>
        </w:tc>
        <w:tc>
          <w:tcPr>
            <w:tcW w:w="1985" w:type="dxa"/>
            <w:vMerge/>
            <w:tcBorders>
              <w:top w:val="single" w:sz="4" w:space="0" w:color="auto"/>
              <w:left w:val="single" w:sz="4" w:space="0" w:color="auto"/>
              <w:bottom w:val="single" w:sz="4" w:space="0" w:color="auto"/>
              <w:right w:val="single" w:sz="4" w:space="0" w:color="auto"/>
            </w:tcBorders>
            <w:hideMark/>
          </w:tcPr>
          <w:p w14:paraId="5AC1D9F5" w14:textId="77777777" w:rsidR="00733DCA" w:rsidRPr="00BC0323" w:rsidRDefault="00733DCA" w:rsidP="0001477B">
            <w:pPr>
              <w:spacing w:after="0" w:line="276" w:lineRule="auto"/>
              <w:rPr>
                <w:rFonts w:eastAsia="Times New Roman" w:cstheme="minorHAnsi"/>
                <w:b/>
                <w:noProof/>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BDD7EE"/>
            <w:hideMark/>
          </w:tcPr>
          <w:p w14:paraId="59D362C5"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Jedinica</w:t>
            </w:r>
          </w:p>
        </w:tc>
        <w:tc>
          <w:tcPr>
            <w:tcW w:w="992" w:type="dxa"/>
            <w:tcBorders>
              <w:top w:val="single" w:sz="4" w:space="0" w:color="auto"/>
              <w:left w:val="nil"/>
              <w:bottom w:val="single" w:sz="4" w:space="0" w:color="auto"/>
              <w:right w:val="single" w:sz="4" w:space="0" w:color="auto"/>
            </w:tcBorders>
            <w:shd w:val="clear" w:color="auto" w:fill="BDD7EE"/>
            <w:hideMark/>
          </w:tcPr>
          <w:p w14:paraId="1D810672"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Osnovna vrijednost</w:t>
            </w:r>
          </w:p>
        </w:tc>
        <w:tc>
          <w:tcPr>
            <w:tcW w:w="873" w:type="dxa"/>
            <w:tcBorders>
              <w:top w:val="single" w:sz="4" w:space="0" w:color="auto"/>
              <w:left w:val="nil"/>
              <w:bottom w:val="single" w:sz="4" w:space="0" w:color="auto"/>
              <w:right w:val="single" w:sz="4" w:space="0" w:color="auto"/>
            </w:tcBorders>
            <w:shd w:val="clear" w:color="auto" w:fill="BDD7EE"/>
            <w:hideMark/>
          </w:tcPr>
          <w:p w14:paraId="79E105F2"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Cilj</w:t>
            </w:r>
          </w:p>
        </w:tc>
        <w:tc>
          <w:tcPr>
            <w:tcW w:w="539" w:type="dxa"/>
            <w:tcBorders>
              <w:top w:val="single" w:sz="4" w:space="0" w:color="auto"/>
              <w:left w:val="nil"/>
              <w:bottom w:val="single" w:sz="4" w:space="0" w:color="auto"/>
              <w:right w:val="single" w:sz="4" w:space="0" w:color="auto"/>
            </w:tcBorders>
            <w:shd w:val="clear" w:color="auto" w:fill="BDD7EE"/>
            <w:hideMark/>
          </w:tcPr>
          <w:p w14:paraId="48AE2081"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Q</w:t>
            </w:r>
          </w:p>
        </w:tc>
        <w:tc>
          <w:tcPr>
            <w:tcW w:w="856" w:type="dxa"/>
            <w:tcBorders>
              <w:top w:val="single" w:sz="4" w:space="0" w:color="auto"/>
              <w:left w:val="nil"/>
              <w:bottom w:val="single" w:sz="4" w:space="0" w:color="auto"/>
              <w:right w:val="single" w:sz="4" w:space="0" w:color="auto"/>
            </w:tcBorders>
            <w:shd w:val="clear" w:color="auto" w:fill="BDD7EE"/>
            <w:hideMark/>
          </w:tcPr>
          <w:p w14:paraId="5B21DDFD" w14:textId="77777777" w:rsidR="00733DCA" w:rsidRPr="00AD2AC5" w:rsidRDefault="00733DCA" w:rsidP="0001477B">
            <w:pPr>
              <w:spacing w:after="0" w:line="276" w:lineRule="auto"/>
              <w:jc w:val="center"/>
              <w:rPr>
                <w:rFonts w:eastAsia="Times New Roman" w:cstheme="minorHAnsi"/>
                <w:b/>
                <w:noProof/>
                <w:sz w:val="20"/>
                <w:szCs w:val="20"/>
              </w:rPr>
            </w:pPr>
            <w:r>
              <w:rPr>
                <w:b/>
                <w:noProof/>
                <w:sz w:val="20"/>
              </w:rPr>
              <w:t>Godina</w:t>
            </w:r>
          </w:p>
        </w:tc>
        <w:tc>
          <w:tcPr>
            <w:tcW w:w="3686" w:type="dxa"/>
            <w:vMerge/>
            <w:tcBorders>
              <w:top w:val="single" w:sz="4" w:space="0" w:color="auto"/>
              <w:bottom w:val="single" w:sz="4" w:space="0" w:color="auto"/>
              <w:right w:val="single" w:sz="4" w:space="0" w:color="auto"/>
            </w:tcBorders>
            <w:hideMark/>
          </w:tcPr>
          <w:p w14:paraId="3D4E06AE" w14:textId="77777777" w:rsidR="00733DCA" w:rsidRPr="00AD2AC5" w:rsidRDefault="00733DCA" w:rsidP="0001477B">
            <w:pPr>
              <w:spacing w:after="0" w:line="276" w:lineRule="auto"/>
              <w:rPr>
                <w:rFonts w:eastAsia="Times New Roman" w:cstheme="minorHAnsi"/>
                <w:b/>
                <w:noProof/>
                <w:sz w:val="20"/>
                <w:szCs w:val="20"/>
                <w:lang w:val="en-GB" w:eastAsia="en-GB"/>
              </w:rPr>
            </w:pPr>
          </w:p>
        </w:tc>
      </w:tr>
      <w:tr w:rsidR="00F04409" w:rsidRPr="00AD2AC5" w14:paraId="095970DB" w14:textId="77777777" w:rsidTr="00CF6A2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67ECE7A" w14:textId="77777777" w:rsidR="00733DCA" w:rsidRPr="00AD2AC5" w:rsidRDefault="00733DCA" w:rsidP="0001477B">
            <w:pPr>
              <w:spacing w:after="0" w:line="276" w:lineRule="auto"/>
              <w:jc w:val="center"/>
              <w:rPr>
                <w:rFonts w:eastAsia="Calibri" w:cstheme="minorHAnsi"/>
                <w:noProof/>
                <w:sz w:val="20"/>
                <w:szCs w:val="20"/>
              </w:rPr>
            </w:pPr>
            <w:r>
              <w:rPr>
                <w:noProof/>
                <w:color w:val="000000"/>
                <w:sz w:val="20"/>
              </w:rPr>
              <w:t>59</w:t>
            </w:r>
          </w:p>
        </w:tc>
        <w:tc>
          <w:tcPr>
            <w:tcW w:w="826" w:type="dxa"/>
            <w:tcBorders>
              <w:top w:val="single" w:sz="4" w:space="0" w:color="auto"/>
              <w:left w:val="nil"/>
              <w:bottom w:val="single" w:sz="4" w:space="0" w:color="auto"/>
              <w:right w:val="single" w:sz="4" w:space="0" w:color="auto"/>
            </w:tcBorders>
            <w:shd w:val="clear" w:color="auto" w:fill="C6EFCE"/>
            <w:noWrap/>
          </w:tcPr>
          <w:p w14:paraId="79C41AE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w:t>
            </w:r>
          </w:p>
        </w:tc>
        <w:tc>
          <w:tcPr>
            <w:tcW w:w="895" w:type="dxa"/>
            <w:tcBorders>
              <w:top w:val="single" w:sz="4" w:space="0" w:color="auto"/>
              <w:left w:val="nil"/>
              <w:bottom w:val="single" w:sz="4" w:space="0" w:color="auto"/>
              <w:right w:val="single" w:sz="4" w:space="0" w:color="auto"/>
            </w:tcBorders>
            <w:shd w:val="clear" w:color="auto" w:fill="C6EFCE"/>
            <w:noWrap/>
          </w:tcPr>
          <w:p w14:paraId="7349D2A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Ključna etapa</w:t>
            </w:r>
          </w:p>
        </w:tc>
        <w:tc>
          <w:tcPr>
            <w:tcW w:w="2248" w:type="dxa"/>
            <w:tcBorders>
              <w:top w:val="single" w:sz="4" w:space="0" w:color="auto"/>
              <w:left w:val="nil"/>
              <w:bottom w:val="single" w:sz="4" w:space="0" w:color="auto"/>
              <w:right w:val="single" w:sz="4" w:space="0" w:color="auto"/>
            </w:tcBorders>
            <w:shd w:val="clear" w:color="auto" w:fill="C6EFCE"/>
            <w:noWrap/>
          </w:tcPr>
          <w:p w14:paraId="72227747"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Donošenje Višegodišnjeg programa gradnje komunalnih vodnih građevina</w:t>
            </w:r>
          </w:p>
        </w:tc>
        <w:tc>
          <w:tcPr>
            <w:tcW w:w="1985" w:type="dxa"/>
            <w:tcBorders>
              <w:top w:val="single" w:sz="4" w:space="0" w:color="auto"/>
              <w:left w:val="nil"/>
              <w:bottom w:val="single" w:sz="4" w:space="0" w:color="auto"/>
              <w:right w:val="single" w:sz="4" w:space="0" w:color="auto"/>
            </w:tcBorders>
            <w:shd w:val="clear" w:color="auto" w:fill="C6EFCE"/>
            <w:noWrap/>
          </w:tcPr>
          <w:p w14:paraId="2F46C452"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Objava Višegodišnjeg programa gradnje komunalnih vodnih građevina </w:t>
            </w:r>
          </w:p>
        </w:tc>
        <w:tc>
          <w:tcPr>
            <w:tcW w:w="992" w:type="dxa"/>
            <w:tcBorders>
              <w:top w:val="nil"/>
              <w:left w:val="nil"/>
              <w:bottom w:val="single" w:sz="4" w:space="0" w:color="auto"/>
              <w:right w:val="single" w:sz="4" w:space="0" w:color="auto"/>
            </w:tcBorders>
            <w:shd w:val="clear" w:color="auto" w:fill="C6EFCE"/>
            <w:noWrap/>
          </w:tcPr>
          <w:p w14:paraId="48E65C6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992" w:type="dxa"/>
            <w:tcBorders>
              <w:top w:val="nil"/>
              <w:left w:val="nil"/>
              <w:bottom w:val="single" w:sz="4" w:space="0" w:color="auto"/>
              <w:right w:val="single" w:sz="4" w:space="0" w:color="auto"/>
            </w:tcBorders>
            <w:shd w:val="clear" w:color="auto" w:fill="C6EFCE"/>
            <w:noWrap/>
          </w:tcPr>
          <w:p w14:paraId="487484E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873" w:type="dxa"/>
            <w:tcBorders>
              <w:top w:val="nil"/>
              <w:left w:val="nil"/>
              <w:bottom w:val="single" w:sz="4" w:space="0" w:color="auto"/>
              <w:right w:val="single" w:sz="4" w:space="0" w:color="auto"/>
            </w:tcBorders>
            <w:shd w:val="clear" w:color="auto" w:fill="C6EFCE"/>
            <w:noWrap/>
          </w:tcPr>
          <w:p w14:paraId="391AB04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539" w:type="dxa"/>
            <w:tcBorders>
              <w:top w:val="nil"/>
              <w:left w:val="nil"/>
              <w:bottom w:val="single" w:sz="4" w:space="0" w:color="auto"/>
              <w:right w:val="single" w:sz="4" w:space="0" w:color="auto"/>
            </w:tcBorders>
            <w:shd w:val="clear" w:color="auto" w:fill="C6EFCE"/>
            <w:noWrap/>
          </w:tcPr>
          <w:p w14:paraId="4FE9C6B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nil"/>
              <w:left w:val="nil"/>
              <w:bottom w:val="single" w:sz="4" w:space="0" w:color="auto"/>
              <w:right w:val="single" w:sz="4" w:space="0" w:color="auto"/>
            </w:tcBorders>
            <w:shd w:val="clear" w:color="auto" w:fill="C6EFCE"/>
            <w:noWrap/>
          </w:tcPr>
          <w:p w14:paraId="567977C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2021.</w:t>
            </w:r>
          </w:p>
        </w:tc>
        <w:tc>
          <w:tcPr>
            <w:tcW w:w="3686" w:type="dxa"/>
            <w:tcBorders>
              <w:top w:val="single" w:sz="4" w:space="0" w:color="auto"/>
              <w:left w:val="nil"/>
              <w:bottom w:val="single" w:sz="4" w:space="0" w:color="auto"/>
              <w:right w:val="single" w:sz="4" w:space="0" w:color="auto"/>
            </w:tcBorders>
            <w:shd w:val="clear" w:color="auto" w:fill="C6EFCE"/>
            <w:noWrap/>
          </w:tcPr>
          <w:p w14:paraId="0CF40B12"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Vlada Republike Hrvatske donijet će Višegodišnji program gradnje vodnih građevina, koji će obuhvaćati potrebna ulaganja, uključujući određivanje prioriteta, radi usklađivanja sa zahtjevima Direktive o pročišćavanju komunalnih otpadnih voda. Plan će uključivati procjenu rizika i mjere ublažavanja.</w:t>
            </w:r>
          </w:p>
        </w:tc>
      </w:tr>
      <w:tr w:rsidR="00F04409" w:rsidRPr="00AD2AC5" w14:paraId="78BFD085" w14:textId="77777777" w:rsidTr="006867E3">
        <w:tc>
          <w:tcPr>
            <w:tcW w:w="737" w:type="dxa"/>
            <w:tcBorders>
              <w:top w:val="nil"/>
              <w:left w:val="single" w:sz="4" w:space="0" w:color="auto"/>
              <w:bottom w:val="single" w:sz="4" w:space="0" w:color="auto"/>
              <w:right w:val="single" w:sz="4" w:space="0" w:color="auto"/>
            </w:tcBorders>
            <w:shd w:val="clear" w:color="auto" w:fill="C6EFCE"/>
            <w:noWrap/>
          </w:tcPr>
          <w:p w14:paraId="474B47B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60</w:t>
            </w:r>
          </w:p>
        </w:tc>
        <w:tc>
          <w:tcPr>
            <w:tcW w:w="826" w:type="dxa"/>
            <w:tcBorders>
              <w:top w:val="nil"/>
              <w:left w:val="nil"/>
              <w:bottom w:val="single" w:sz="4" w:space="0" w:color="auto"/>
              <w:right w:val="single" w:sz="4" w:space="0" w:color="auto"/>
            </w:tcBorders>
            <w:shd w:val="clear" w:color="auto" w:fill="C6EFCE"/>
            <w:noWrap/>
          </w:tcPr>
          <w:p w14:paraId="2E0A2BB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w:t>
            </w:r>
          </w:p>
        </w:tc>
        <w:tc>
          <w:tcPr>
            <w:tcW w:w="895" w:type="dxa"/>
            <w:tcBorders>
              <w:top w:val="nil"/>
              <w:left w:val="nil"/>
              <w:bottom w:val="single" w:sz="4" w:space="0" w:color="auto"/>
              <w:right w:val="single" w:sz="4" w:space="0" w:color="auto"/>
            </w:tcBorders>
            <w:shd w:val="clear" w:color="auto" w:fill="C6EFCE"/>
            <w:noWrap/>
          </w:tcPr>
          <w:p w14:paraId="573CD4B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Ključna etapa</w:t>
            </w:r>
          </w:p>
        </w:tc>
        <w:tc>
          <w:tcPr>
            <w:tcW w:w="2248" w:type="dxa"/>
            <w:tcBorders>
              <w:top w:val="nil"/>
              <w:left w:val="nil"/>
              <w:bottom w:val="single" w:sz="4" w:space="0" w:color="auto"/>
              <w:right w:val="single" w:sz="4" w:space="0" w:color="auto"/>
            </w:tcBorders>
            <w:shd w:val="clear" w:color="auto" w:fill="C6EFCE"/>
            <w:noWrap/>
          </w:tcPr>
          <w:p w14:paraId="53B94F44"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Izmjene pravnog okvira u sektoru vodnih usluga </w:t>
            </w:r>
          </w:p>
        </w:tc>
        <w:tc>
          <w:tcPr>
            <w:tcW w:w="1985" w:type="dxa"/>
            <w:tcBorders>
              <w:top w:val="nil"/>
              <w:left w:val="nil"/>
              <w:bottom w:val="single" w:sz="4" w:space="0" w:color="auto"/>
              <w:right w:val="single" w:sz="4" w:space="0" w:color="auto"/>
            </w:tcBorders>
            <w:shd w:val="clear" w:color="auto" w:fill="C6EFCE"/>
            <w:noWrap/>
          </w:tcPr>
          <w:p w14:paraId="0722B4EE"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Stupanje na snagu četiri zakonske izmjene: i. izmjena Uredbe o uslužnim područjima; </w:t>
            </w:r>
            <w:r>
              <w:rPr>
                <w:noProof/>
                <w:color w:val="000000"/>
                <w:sz w:val="20"/>
              </w:rPr>
              <w:br/>
              <w:t xml:space="preserve">ii. izmjena Uredbe o vrednovanju učinkovitosti poslovanja isporučitelja vodnih usluga; iii. izmjena Uredbe o metodologiji za određivanje cijene vodnih usluga; iv. izmjena Uredbe o posebnim uvjetima za obavljanje djelatnosti vodnih usluga, čime će se provesti reforma javnih isporučitelja vodnih usluga. </w:t>
            </w:r>
          </w:p>
        </w:tc>
        <w:tc>
          <w:tcPr>
            <w:tcW w:w="992" w:type="dxa"/>
            <w:tcBorders>
              <w:top w:val="nil"/>
              <w:left w:val="nil"/>
              <w:bottom w:val="single" w:sz="4" w:space="0" w:color="auto"/>
              <w:right w:val="single" w:sz="4" w:space="0" w:color="auto"/>
            </w:tcBorders>
            <w:shd w:val="clear" w:color="auto" w:fill="C6EFCE"/>
            <w:noWrap/>
          </w:tcPr>
          <w:p w14:paraId="5983BE0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992" w:type="dxa"/>
            <w:tcBorders>
              <w:top w:val="nil"/>
              <w:left w:val="nil"/>
              <w:bottom w:val="single" w:sz="4" w:space="0" w:color="auto"/>
              <w:right w:val="single" w:sz="4" w:space="0" w:color="auto"/>
            </w:tcBorders>
            <w:shd w:val="clear" w:color="auto" w:fill="C6EFCE"/>
            <w:noWrap/>
          </w:tcPr>
          <w:p w14:paraId="2E1E6C9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873" w:type="dxa"/>
            <w:tcBorders>
              <w:top w:val="nil"/>
              <w:left w:val="nil"/>
              <w:bottom w:val="single" w:sz="4" w:space="0" w:color="auto"/>
              <w:right w:val="single" w:sz="4" w:space="0" w:color="auto"/>
            </w:tcBorders>
            <w:shd w:val="clear" w:color="auto" w:fill="C6EFCE"/>
            <w:noWrap/>
          </w:tcPr>
          <w:p w14:paraId="60387FF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539" w:type="dxa"/>
            <w:tcBorders>
              <w:top w:val="nil"/>
              <w:left w:val="nil"/>
              <w:bottom w:val="single" w:sz="4" w:space="0" w:color="auto"/>
              <w:right w:val="single" w:sz="4" w:space="0" w:color="auto"/>
            </w:tcBorders>
            <w:shd w:val="clear" w:color="auto" w:fill="C6EFCE"/>
            <w:noWrap/>
          </w:tcPr>
          <w:p w14:paraId="72933AB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nil"/>
              <w:left w:val="nil"/>
              <w:bottom w:val="single" w:sz="4" w:space="0" w:color="auto"/>
              <w:right w:val="single" w:sz="4" w:space="0" w:color="auto"/>
            </w:tcBorders>
            <w:shd w:val="clear" w:color="auto" w:fill="C6EFCE"/>
            <w:noWrap/>
          </w:tcPr>
          <w:p w14:paraId="1541747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nil"/>
              <w:left w:val="nil"/>
              <w:bottom w:val="single" w:sz="4" w:space="0" w:color="auto"/>
              <w:right w:val="single" w:sz="4" w:space="0" w:color="auto"/>
            </w:tcBorders>
            <w:shd w:val="clear" w:color="auto" w:fill="C6EFCE"/>
            <w:noWrap/>
          </w:tcPr>
          <w:p w14:paraId="0B1D292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Uredba o uslužnim područjima, Uredba o vrednovanju učinkovitosti poslovanja isporučitelja vodnih usluga, Uredba o metodologiji za određivanje cijene vodnih usluga i Uredba o posebnim uvjetima za obavljanje djelatnosti vodnih usluga izmijenit će se te će činiti pravni temelj za konsolidaciju isporučitelja vodnih usluga </w:t>
            </w:r>
            <w:r>
              <w:rPr>
                <w:noProof/>
                <w:color w:val="000000"/>
                <w:sz w:val="20"/>
              </w:rPr>
              <w:br/>
              <w:t xml:space="preserve">Uredba o procjeni učinkovitosti isporučitelja vodnih usluga uključivat će i pravnu osnovu za stvaranje obveznog sustava referentnih vrijednosti komunalnih poduzeća, koji je javno dostupan, kao i za osiguravanje javne dostupnosti barem sažetaka godišnjih revidiranih izvješća komunalnih poduzeća. </w:t>
            </w:r>
          </w:p>
        </w:tc>
      </w:tr>
      <w:tr w:rsidR="00F04409" w:rsidRPr="00AD2AC5" w14:paraId="6933DD95" w14:textId="77777777" w:rsidTr="006867E3">
        <w:tc>
          <w:tcPr>
            <w:tcW w:w="737" w:type="dxa"/>
            <w:tcBorders>
              <w:top w:val="nil"/>
              <w:left w:val="single" w:sz="4" w:space="0" w:color="auto"/>
              <w:bottom w:val="single" w:sz="4" w:space="0" w:color="auto"/>
              <w:right w:val="single" w:sz="4" w:space="0" w:color="auto"/>
            </w:tcBorders>
            <w:shd w:val="clear" w:color="auto" w:fill="C6EFCE"/>
            <w:noWrap/>
          </w:tcPr>
          <w:p w14:paraId="71AF6FF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61</w:t>
            </w:r>
          </w:p>
        </w:tc>
        <w:tc>
          <w:tcPr>
            <w:tcW w:w="826" w:type="dxa"/>
            <w:tcBorders>
              <w:top w:val="nil"/>
              <w:left w:val="nil"/>
              <w:bottom w:val="single" w:sz="4" w:space="0" w:color="auto"/>
              <w:right w:val="single" w:sz="4" w:space="0" w:color="auto"/>
            </w:tcBorders>
            <w:shd w:val="clear" w:color="auto" w:fill="C6EFCE"/>
            <w:noWrap/>
          </w:tcPr>
          <w:p w14:paraId="7267DF2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w:t>
            </w:r>
          </w:p>
        </w:tc>
        <w:tc>
          <w:tcPr>
            <w:tcW w:w="895" w:type="dxa"/>
            <w:tcBorders>
              <w:top w:val="nil"/>
              <w:left w:val="nil"/>
              <w:bottom w:val="single" w:sz="4" w:space="0" w:color="auto"/>
              <w:right w:val="single" w:sz="4" w:space="0" w:color="auto"/>
            </w:tcBorders>
            <w:shd w:val="clear" w:color="auto" w:fill="C6EFCE"/>
            <w:noWrap/>
          </w:tcPr>
          <w:p w14:paraId="15E8B57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nil"/>
              <w:left w:val="nil"/>
              <w:bottom w:val="single" w:sz="4" w:space="0" w:color="auto"/>
              <w:right w:val="single" w:sz="4" w:space="0" w:color="auto"/>
            </w:tcBorders>
            <w:shd w:val="clear" w:color="auto" w:fill="C6EFCE"/>
            <w:noWrap/>
          </w:tcPr>
          <w:p w14:paraId="1B861EB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Integracija pružatelja vodnih usluga  </w:t>
            </w:r>
          </w:p>
        </w:tc>
        <w:tc>
          <w:tcPr>
            <w:tcW w:w="1985" w:type="dxa"/>
            <w:tcBorders>
              <w:top w:val="nil"/>
              <w:left w:val="nil"/>
              <w:bottom w:val="single" w:sz="4" w:space="0" w:color="auto"/>
              <w:right w:val="single" w:sz="4" w:space="0" w:color="auto"/>
            </w:tcBorders>
            <w:shd w:val="clear" w:color="auto" w:fill="C6EFCE"/>
            <w:noWrap/>
          </w:tcPr>
          <w:p w14:paraId="035480AA"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nil"/>
              <w:left w:val="nil"/>
              <w:bottom w:val="single" w:sz="4" w:space="0" w:color="auto"/>
              <w:right w:val="single" w:sz="4" w:space="0" w:color="auto"/>
            </w:tcBorders>
            <w:shd w:val="clear" w:color="auto" w:fill="C6EFCE"/>
            <w:noWrap/>
          </w:tcPr>
          <w:p w14:paraId="5BD89FB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nil"/>
              <w:left w:val="nil"/>
              <w:bottom w:val="single" w:sz="4" w:space="0" w:color="auto"/>
              <w:right w:val="single" w:sz="4" w:space="0" w:color="auto"/>
            </w:tcBorders>
            <w:shd w:val="clear" w:color="auto" w:fill="C6EFCE"/>
            <w:noWrap/>
          </w:tcPr>
          <w:p w14:paraId="20753FC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200</w:t>
            </w:r>
          </w:p>
        </w:tc>
        <w:tc>
          <w:tcPr>
            <w:tcW w:w="873" w:type="dxa"/>
            <w:tcBorders>
              <w:top w:val="nil"/>
              <w:left w:val="nil"/>
              <w:bottom w:val="single" w:sz="4" w:space="0" w:color="auto"/>
              <w:right w:val="single" w:sz="4" w:space="0" w:color="auto"/>
            </w:tcBorders>
            <w:shd w:val="clear" w:color="auto" w:fill="C6EFCE"/>
            <w:noWrap/>
          </w:tcPr>
          <w:p w14:paraId="4D1B7FA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40</w:t>
            </w:r>
          </w:p>
        </w:tc>
        <w:tc>
          <w:tcPr>
            <w:tcW w:w="539" w:type="dxa"/>
            <w:tcBorders>
              <w:top w:val="nil"/>
              <w:left w:val="nil"/>
              <w:bottom w:val="single" w:sz="4" w:space="0" w:color="auto"/>
              <w:right w:val="single" w:sz="4" w:space="0" w:color="auto"/>
            </w:tcBorders>
            <w:shd w:val="clear" w:color="auto" w:fill="C6EFCE"/>
            <w:noWrap/>
          </w:tcPr>
          <w:p w14:paraId="32FD919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nil"/>
              <w:left w:val="nil"/>
              <w:bottom w:val="single" w:sz="4" w:space="0" w:color="auto"/>
              <w:right w:val="single" w:sz="4" w:space="0" w:color="auto"/>
            </w:tcBorders>
            <w:shd w:val="clear" w:color="auto" w:fill="C6EFCE"/>
            <w:noWrap/>
          </w:tcPr>
          <w:p w14:paraId="44C66EB2" w14:textId="2351B9A7"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2024.</w:t>
            </w:r>
          </w:p>
        </w:tc>
        <w:tc>
          <w:tcPr>
            <w:tcW w:w="3686" w:type="dxa"/>
            <w:tcBorders>
              <w:top w:val="nil"/>
              <w:left w:val="nil"/>
              <w:bottom w:val="single" w:sz="4" w:space="0" w:color="auto"/>
              <w:right w:val="single" w:sz="4" w:space="0" w:color="auto"/>
            </w:tcBorders>
            <w:shd w:val="clear" w:color="auto" w:fill="C6EFCE"/>
            <w:noWrap/>
          </w:tcPr>
          <w:p w14:paraId="0B9188A5" w14:textId="7777777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Integracija postojećih 200 javnih pružatelja vodnih usluga u njih 40, u skladu s načelom jednog pružatelja po području usluge.</w:t>
            </w:r>
          </w:p>
        </w:tc>
      </w:tr>
      <w:tr w:rsidR="00F04409" w:rsidRPr="00AD2AC5" w14:paraId="234EFE0C" w14:textId="77777777" w:rsidTr="006867E3">
        <w:tc>
          <w:tcPr>
            <w:tcW w:w="737" w:type="dxa"/>
            <w:tcBorders>
              <w:top w:val="nil"/>
              <w:left w:val="single" w:sz="4" w:space="0" w:color="auto"/>
              <w:bottom w:val="single" w:sz="4" w:space="0" w:color="auto"/>
              <w:right w:val="single" w:sz="4" w:space="0" w:color="auto"/>
            </w:tcBorders>
            <w:shd w:val="clear" w:color="auto" w:fill="C6EFCE"/>
            <w:noWrap/>
          </w:tcPr>
          <w:p w14:paraId="05C88D7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62</w:t>
            </w:r>
          </w:p>
        </w:tc>
        <w:tc>
          <w:tcPr>
            <w:tcW w:w="826" w:type="dxa"/>
            <w:tcBorders>
              <w:top w:val="nil"/>
              <w:left w:val="nil"/>
              <w:bottom w:val="single" w:sz="4" w:space="0" w:color="auto"/>
              <w:right w:val="single" w:sz="4" w:space="0" w:color="auto"/>
            </w:tcBorders>
            <w:shd w:val="clear" w:color="auto" w:fill="C6EFCE"/>
            <w:noWrap/>
          </w:tcPr>
          <w:p w14:paraId="79E732F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w:t>
            </w:r>
          </w:p>
        </w:tc>
        <w:tc>
          <w:tcPr>
            <w:tcW w:w="895" w:type="dxa"/>
            <w:tcBorders>
              <w:top w:val="nil"/>
              <w:left w:val="nil"/>
              <w:bottom w:val="single" w:sz="4" w:space="0" w:color="auto"/>
              <w:right w:val="single" w:sz="4" w:space="0" w:color="auto"/>
            </w:tcBorders>
            <w:shd w:val="clear" w:color="auto" w:fill="C6EFCE"/>
            <w:noWrap/>
          </w:tcPr>
          <w:p w14:paraId="359B24C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nil"/>
              <w:left w:val="nil"/>
              <w:bottom w:val="single" w:sz="4" w:space="0" w:color="auto"/>
              <w:right w:val="single" w:sz="4" w:space="0" w:color="auto"/>
            </w:tcBorders>
            <w:shd w:val="clear" w:color="auto" w:fill="C6EFCE"/>
            <w:noWrap/>
          </w:tcPr>
          <w:p w14:paraId="1BDF4B5A"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Smanjenje gubitaka u javnim vodoopskrbnim sustavima </w:t>
            </w:r>
          </w:p>
        </w:tc>
        <w:tc>
          <w:tcPr>
            <w:tcW w:w="1985" w:type="dxa"/>
            <w:tcBorders>
              <w:top w:val="nil"/>
              <w:left w:val="nil"/>
              <w:bottom w:val="single" w:sz="4" w:space="0" w:color="auto"/>
              <w:right w:val="single" w:sz="4" w:space="0" w:color="auto"/>
            </w:tcBorders>
            <w:shd w:val="clear" w:color="auto" w:fill="C6EFCE"/>
            <w:noWrap/>
          </w:tcPr>
          <w:p w14:paraId="605A79BC"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nil"/>
              <w:left w:val="nil"/>
              <w:bottom w:val="single" w:sz="4" w:space="0" w:color="auto"/>
              <w:right w:val="single" w:sz="4" w:space="0" w:color="auto"/>
            </w:tcBorders>
            <w:shd w:val="clear" w:color="auto" w:fill="C6EFCE"/>
            <w:noWrap/>
          </w:tcPr>
          <w:p w14:paraId="09FD0A6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(postotak)</w:t>
            </w:r>
          </w:p>
        </w:tc>
        <w:tc>
          <w:tcPr>
            <w:tcW w:w="992" w:type="dxa"/>
            <w:tcBorders>
              <w:top w:val="nil"/>
              <w:left w:val="nil"/>
              <w:bottom w:val="single" w:sz="4" w:space="0" w:color="auto"/>
              <w:right w:val="single" w:sz="4" w:space="0" w:color="auto"/>
            </w:tcBorders>
            <w:shd w:val="clear" w:color="auto" w:fill="C6EFCE"/>
            <w:noWrap/>
          </w:tcPr>
          <w:p w14:paraId="4B85A50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44</w:t>
            </w:r>
          </w:p>
        </w:tc>
        <w:tc>
          <w:tcPr>
            <w:tcW w:w="873" w:type="dxa"/>
            <w:tcBorders>
              <w:top w:val="nil"/>
              <w:left w:val="nil"/>
              <w:bottom w:val="single" w:sz="4" w:space="0" w:color="auto"/>
              <w:right w:val="single" w:sz="4" w:space="0" w:color="auto"/>
            </w:tcBorders>
            <w:shd w:val="clear" w:color="auto" w:fill="C6EFCE"/>
            <w:noWrap/>
          </w:tcPr>
          <w:p w14:paraId="6117F40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37</w:t>
            </w:r>
          </w:p>
        </w:tc>
        <w:tc>
          <w:tcPr>
            <w:tcW w:w="539" w:type="dxa"/>
            <w:tcBorders>
              <w:top w:val="nil"/>
              <w:left w:val="nil"/>
              <w:bottom w:val="single" w:sz="4" w:space="0" w:color="auto"/>
              <w:right w:val="single" w:sz="4" w:space="0" w:color="auto"/>
            </w:tcBorders>
            <w:shd w:val="clear" w:color="auto" w:fill="C6EFCE"/>
            <w:noWrap/>
          </w:tcPr>
          <w:p w14:paraId="6EFA64A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856" w:type="dxa"/>
            <w:tcBorders>
              <w:top w:val="nil"/>
              <w:left w:val="nil"/>
              <w:bottom w:val="single" w:sz="4" w:space="0" w:color="auto"/>
              <w:right w:val="single" w:sz="4" w:space="0" w:color="auto"/>
            </w:tcBorders>
            <w:shd w:val="clear" w:color="auto" w:fill="C6EFCE"/>
            <w:noWrap/>
          </w:tcPr>
          <w:p w14:paraId="16F40A8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2026.</w:t>
            </w:r>
          </w:p>
        </w:tc>
        <w:tc>
          <w:tcPr>
            <w:tcW w:w="3686" w:type="dxa"/>
            <w:tcBorders>
              <w:top w:val="nil"/>
              <w:left w:val="nil"/>
              <w:bottom w:val="single" w:sz="4" w:space="0" w:color="auto"/>
              <w:right w:val="single" w:sz="4" w:space="0" w:color="auto"/>
            </w:tcBorders>
            <w:shd w:val="clear" w:color="auto" w:fill="C6EFCE"/>
            <w:noWrap/>
          </w:tcPr>
          <w:p w14:paraId="2B457966"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Smanjenje gubitka vode za barem 7 % na nacionalnoj razini odnosi se na postotak smanjenje gubitka u sustavima javne vodoopskrbe koje podupiru ulaganja u okviru RRF-a.</w:t>
            </w:r>
          </w:p>
        </w:tc>
      </w:tr>
      <w:tr w:rsidR="00F04409" w:rsidRPr="00AD2AC5" w14:paraId="07221F08"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874CA7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63</w:t>
            </w:r>
          </w:p>
        </w:tc>
        <w:tc>
          <w:tcPr>
            <w:tcW w:w="826" w:type="dxa"/>
            <w:tcBorders>
              <w:top w:val="single" w:sz="4" w:space="0" w:color="auto"/>
              <w:left w:val="nil"/>
              <w:bottom w:val="single" w:sz="4" w:space="0" w:color="auto"/>
              <w:right w:val="single" w:sz="4" w:space="0" w:color="auto"/>
            </w:tcBorders>
            <w:shd w:val="clear" w:color="auto" w:fill="C6EFCE"/>
            <w:noWrap/>
          </w:tcPr>
          <w:p w14:paraId="2388AC6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4D4A851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3EE1B55A"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Izgrađena ili rekonstruirana mreža javne odvodnje otpadnih voda </w:t>
            </w:r>
          </w:p>
        </w:tc>
        <w:tc>
          <w:tcPr>
            <w:tcW w:w="1985" w:type="dxa"/>
            <w:tcBorders>
              <w:top w:val="single" w:sz="4" w:space="0" w:color="auto"/>
              <w:left w:val="nil"/>
              <w:bottom w:val="single" w:sz="4" w:space="0" w:color="auto"/>
              <w:right w:val="single" w:sz="4" w:space="0" w:color="auto"/>
            </w:tcBorders>
            <w:shd w:val="clear" w:color="auto" w:fill="C6EFCE"/>
            <w:noWrap/>
          </w:tcPr>
          <w:p w14:paraId="73F71549"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8F8785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1F2CC3B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135D533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115</w:t>
            </w:r>
          </w:p>
        </w:tc>
        <w:tc>
          <w:tcPr>
            <w:tcW w:w="539" w:type="dxa"/>
            <w:tcBorders>
              <w:top w:val="single" w:sz="4" w:space="0" w:color="auto"/>
              <w:left w:val="nil"/>
              <w:bottom w:val="single" w:sz="4" w:space="0" w:color="auto"/>
              <w:right w:val="single" w:sz="4" w:space="0" w:color="auto"/>
            </w:tcBorders>
            <w:shd w:val="clear" w:color="auto" w:fill="C6EFCE"/>
            <w:noWrap/>
          </w:tcPr>
          <w:p w14:paraId="7E4D677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7A8783A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3BD21FFE"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Izgrađeno ili rekonstruirano najmanje 115 km mreže javne odvodnje otpadnih voda </w:t>
            </w:r>
            <w:r>
              <w:rPr>
                <w:noProof/>
                <w:color w:val="000000"/>
                <w:sz w:val="20"/>
              </w:rPr>
              <w:br/>
              <w:t>Ulaganjem će se osigurati usklađenost s Direktivom o pročišćavanju komunalnih otpadnih voda na dotičnim područjima, u skladu s Višegodišnjim programom gradnje komunalnih vodnih građevina.</w:t>
            </w:r>
          </w:p>
        </w:tc>
      </w:tr>
      <w:tr w:rsidR="00F04409" w:rsidRPr="00AD2AC5" w14:paraId="564A33CD"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30D1B8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64</w:t>
            </w:r>
          </w:p>
        </w:tc>
        <w:tc>
          <w:tcPr>
            <w:tcW w:w="826" w:type="dxa"/>
            <w:tcBorders>
              <w:top w:val="single" w:sz="4" w:space="0" w:color="auto"/>
              <w:left w:val="nil"/>
              <w:bottom w:val="single" w:sz="4" w:space="0" w:color="auto"/>
              <w:right w:val="single" w:sz="4" w:space="0" w:color="auto"/>
            </w:tcBorders>
            <w:shd w:val="clear" w:color="auto" w:fill="C6EFCE"/>
            <w:noWrap/>
          </w:tcPr>
          <w:p w14:paraId="68E59E3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4BF2DF0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3F63A501"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Ugovori o izvođenju radova sklopljeni za vodootpadne infrastrukturne projekte </w:t>
            </w:r>
          </w:p>
        </w:tc>
        <w:tc>
          <w:tcPr>
            <w:tcW w:w="1985" w:type="dxa"/>
            <w:tcBorders>
              <w:top w:val="single" w:sz="4" w:space="0" w:color="auto"/>
              <w:left w:val="nil"/>
              <w:bottom w:val="single" w:sz="4" w:space="0" w:color="auto"/>
              <w:right w:val="single" w:sz="4" w:space="0" w:color="auto"/>
            </w:tcBorders>
            <w:shd w:val="clear" w:color="auto" w:fill="C6EFCE"/>
            <w:noWrap/>
          </w:tcPr>
          <w:p w14:paraId="6CBDE270"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4BA4E30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0FA6D65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0E78B98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60</w:t>
            </w:r>
          </w:p>
        </w:tc>
        <w:tc>
          <w:tcPr>
            <w:tcW w:w="539" w:type="dxa"/>
            <w:tcBorders>
              <w:top w:val="single" w:sz="4" w:space="0" w:color="auto"/>
              <w:left w:val="nil"/>
              <w:bottom w:val="single" w:sz="4" w:space="0" w:color="auto"/>
              <w:right w:val="single" w:sz="4" w:space="0" w:color="auto"/>
            </w:tcBorders>
            <w:shd w:val="clear" w:color="auto" w:fill="C6EFCE"/>
            <w:noWrap/>
          </w:tcPr>
          <w:p w14:paraId="4872D45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784945C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2023.</w:t>
            </w:r>
          </w:p>
        </w:tc>
        <w:tc>
          <w:tcPr>
            <w:tcW w:w="3686" w:type="dxa"/>
            <w:tcBorders>
              <w:top w:val="single" w:sz="4" w:space="0" w:color="auto"/>
              <w:left w:val="nil"/>
              <w:bottom w:val="single" w:sz="4" w:space="0" w:color="auto"/>
              <w:right w:val="single" w:sz="4" w:space="0" w:color="auto"/>
            </w:tcBorders>
            <w:shd w:val="clear" w:color="auto" w:fill="C6EFCE"/>
            <w:noWrap/>
          </w:tcPr>
          <w:p w14:paraId="2E06CF44"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Potpisano najmanje 60 ugovora o izvođenju radova za vodootpadne infrastrukturne projekte povezane s ugovorima koji će se dodijeliti do kraja 2023.</w:t>
            </w:r>
            <w:r>
              <w:rPr>
                <w:noProof/>
                <w:color w:val="000000"/>
                <w:sz w:val="20"/>
              </w:rPr>
              <w:br/>
              <w:t>Procjena utjecaja na okoliš provodi se u skladu s postupcima odobrenja u okviru procjene utjecaja na okoliš na temelju Direktive 2011/92/EU i u skladu pregledom i/ili odgovarajućom procjenom na temelju članka 6. stavka 3. Direktive o staništima. Dostavit će se dokazi da projekt nema bitan utjecaj na cjelovitost dotičnih područja mreže Natura 2000.</w:t>
            </w:r>
          </w:p>
        </w:tc>
      </w:tr>
      <w:tr w:rsidR="00F04409" w:rsidRPr="00AD2AC5" w14:paraId="374E2784"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7B21FF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65</w:t>
            </w:r>
          </w:p>
        </w:tc>
        <w:tc>
          <w:tcPr>
            <w:tcW w:w="826" w:type="dxa"/>
            <w:tcBorders>
              <w:top w:val="single" w:sz="4" w:space="0" w:color="auto"/>
              <w:left w:val="nil"/>
              <w:bottom w:val="single" w:sz="4" w:space="0" w:color="auto"/>
              <w:right w:val="single" w:sz="4" w:space="0" w:color="auto"/>
            </w:tcBorders>
            <w:shd w:val="clear" w:color="auto" w:fill="C6EFCE"/>
            <w:noWrap/>
          </w:tcPr>
          <w:p w14:paraId="0781B83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16854D0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12E8FC15" w14:textId="7777777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Postrojenja za pročišćavanje otpadnih voda izgrađena su i u funkciji</w:t>
            </w:r>
          </w:p>
        </w:tc>
        <w:tc>
          <w:tcPr>
            <w:tcW w:w="1985" w:type="dxa"/>
            <w:tcBorders>
              <w:top w:val="single" w:sz="4" w:space="0" w:color="auto"/>
              <w:left w:val="nil"/>
              <w:bottom w:val="single" w:sz="4" w:space="0" w:color="auto"/>
              <w:right w:val="single" w:sz="4" w:space="0" w:color="auto"/>
            </w:tcBorders>
            <w:shd w:val="clear" w:color="auto" w:fill="C6EFCE"/>
            <w:noWrap/>
          </w:tcPr>
          <w:p w14:paraId="0F1B72BF"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2B0DB6F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4830262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7A35520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12</w:t>
            </w:r>
          </w:p>
        </w:tc>
        <w:tc>
          <w:tcPr>
            <w:tcW w:w="539" w:type="dxa"/>
            <w:tcBorders>
              <w:top w:val="single" w:sz="4" w:space="0" w:color="auto"/>
              <w:left w:val="nil"/>
              <w:bottom w:val="single" w:sz="4" w:space="0" w:color="auto"/>
              <w:right w:val="single" w:sz="4" w:space="0" w:color="auto"/>
            </w:tcBorders>
            <w:shd w:val="clear" w:color="auto" w:fill="C6EFCE"/>
            <w:noWrap/>
          </w:tcPr>
          <w:p w14:paraId="6A98D3E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0405F40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737053DD" w14:textId="7777777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 xml:space="preserve">Najmanje 12 uređaja za pročišćavanje otpadnih voda nadograđeno je ili izgrađeno i u funkciji. </w:t>
            </w:r>
            <w:r>
              <w:rPr>
                <w:noProof/>
                <w:sz w:val="20"/>
              </w:rPr>
              <w:br/>
            </w:r>
            <w:r>
              <w:rPr>
                <w:noProof/>
                <w:color w:val="000000" w:themeColor="text1"/>
                <w:sz w:val="20"/>
              </w:rPr>
              <w:t xml:space="preserve">Ulaganjem će se osigurati usklađenost s Direktivom o pročišćavanju komunalnih otpadnih voda na dotičnim područjima, u skladu s Višegodišnjim programom gradnje komunalnih vodnih građevina. </w:t>
            </w:r>
          </w:p>
        </w:tc>
      </w:tr>
      <w:tr w:rsidR="00F04409" w:rsidRPr="00AD2AC5" w14:paraId="4D5AB089"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C4ED1E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66</w:t>
            </w:r>
          </w:p>
        </w:tc>
        <w:tc>
          <w:tcPr>
            <w:tcW w:w="826" w:type="dxa"/>
            <w:tcBorders>
              <w:top w:val="single" w:sz="4" w:space="0" w:color="auto"/>
              <w:left w:val="nil"/>
              <w:bottom w:val="single" w:sz="4" w:space="0" w:color="auto"/>
              <w:right w:val="single" w:sz="4" w:space="0" w:color="auto"/>
            </w:tcBorders>
            <w:shd w:val="clear" w:color="auto" w:fill="C6EFCE"/>
            <w:noWrap/>
          </w:tcPr>
          <w:p w14:paraId="06D6D0A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7A0E57D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134C215B"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Izgrađena ili rekonstruirana javna mreža odvodnje otpadnih voda </w:t>
            </w:r>
          </w:p>
        </w:tc>
        <w:tc>
          <w:tcPr>
            <w:tcW w:w="1985" w:type="dxa"/>
            <w:tcBorders>
              <w:top w:val="single" w:sz="4" w:space="0" w:color="auto"/>
              <w:left w:val="nil"/>
              <w:bottom w:val="single" w:sz="4" w:space="0" w:color="auto"/>
              <w:right w:val="single" w:sz="4" w:space="0" w:color="auto"/>
            </w:tcBorders>
            <w:shd w:val="clear" w:color="auto" w:fill="C6EFCE"/>
            <w:noWrap/>
          </w:tcPr>
          <w:p w14:paraId="6AA8628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8D8669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00E4029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46438DD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775</w:t>
            </w:r>
          </w:p>
        </w:tc>
        <w:tc>
          <w:tcPr>
            <w:tcW w:w="539" w:type="dxa"/>
            <w:tcBorders>
              <w:top w:val="single" w:sz="4" w:space="0" w:color="auto"/>
              <w:left w:val="nil"/>
              <w:bottom w:val="single" w:sz="4" w:space="0" w:color="auto"/>
              <w:right w:val="single" w:sz="4" w:space="0" w:color="auto"/>
            </w:tcBorders>
            <w:shd w:val="clear" w:color="auto" w:fill="C6EFCE"/>
            <w:noWrap/>
          </w:tcPr>
          <w:p w14:paraId="28A4E25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588C379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163D6BBB"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Izgrađeno ili rekonstruirano najmanje 775 km javne mreže odvodnje otpadnih voda</w:t>
            </w:r>
            <w:r>
              <w:rPr>
                <w:noProof/>
                <w:color w:val="000000"/>
                <w:sz w:val="20"/>
              </w:rPr>
              <w:br/>
              <w:t>Ulaganjem će se osigurati usklađenost s Direktivom o pročišćavanju komunalnih otpadnih voda na dotičnim područjima, u skladu s Višegodišnjim programom gradnje komunalnih vodnih građevina.</w:t>
            </w:r>
          </w:p>
        </w:tc>
      </w:tr>
      <w:tr w:rsidR="00F04409" w:rsidRPr="00AD2AC5" w14:paraId="1515483B"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B335C2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67</w:t>
            </w:r>
          </w:p>
        </w:tc>
        <w:tc>
          <w:tcPr>
            <w:tcW w:w="826" w:type="dxa"/>
            <w:tcBorders>
              <w:top w:val="single" w:sz="4" w:space="0" w:color="auto"/>
              <w:left w:val="nil"/>
              <w:bottom w:val="single" w:sz="4" w:space="0" w:color="auto"/>
              <w:right w:val="single" w:sz="4" w:space="0" w:color="auto"/>
            </w:tcBorders>
            <w:shd w:val="clear" w:color="auto" w:fill="C6EFCE"/>
            <w:noWrap/>
          </w:tcPr>
          <w:p w14:paraId="6C63ED1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508C1EF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2A8BE063" w14:textId="7777777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Broj stanovnika koji imaju koristi od poboljšanog pristupa unaprijeđenom sustavu pročišćavanja otpadnih voda</w:t>
            </w:r>
          </w:p>
        </w:tc>
        <w:tc>
          <w:tcPr>
            <w:tcW w:w="1985" w:type="dxa"/>
            <w:tcBorders>
              <w:top w:val="single" w:sz="4" w:space="0" w:color="auto"/>
              <w:left w:val="nil"/>
              <w:bottom w:val="single" w:sz="4" w:space="0" w:color="auto"/>
              <w:right w:val="single" w:sz="4" w:space="0" w:color="auto"/>
            </w:tcBorders>
            <w:shd w:val="clear" w:color="auto" w:fill="C6EFCE"/>
            <w:noWrap/>
          </w:tcPr>
          <w:p w14:paraId="532C11D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CB4C00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1D3736A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6A38F01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200 000</w:t>
            </w:r>
          </w:p>
        </w:tc>
        <w:tc>
          <w:tcPr>
            <w:tcW w:w="539" w:type="dxa"/>
            <w:tcBorders>
              <w:top w:val="single" w:sz="4" w:space="0" w:color="auto"/>
              <w:left w:val="nil"/>
              <w:bottom w:val="single" w:sz="4" w:space="0" w:color="auto"/>
              <w:right w:val="single" w:sz="4" w:space="0" w:color="auto"/>
            </w:tcBorders>
            <w:shd w:val="clear" w:color="auto" w:fill="C6EFCE"/>
            <w:noWrap/>
          </w:tcPr>
          <w:p w14:paraId="255FCED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678EED3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712E3788" w14:textId="7777777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Broj stanovnika čije otpadne vode otječu u postrojenje za pročišćavanje otpadnih voda kroz vodne građevine uslijed povećanja kapaciteta (proširenja) sustava za prikupljanje i pročišćavanje otpadnih voda u okviru projekta. To se odnosi na stanovništvo koje prethodno nije bilo priključeno na javni sustav odvodnje ili čije otpadne vode nisu bile pročišćavane na odgovarajućoj razini. Uključuje i povećanje razine pročišćavanja otpadnih voda. Pokazatelj se odnosi na stanovništvo koje je stvarno (a ne potencijalno) priključeno na sustav za pročišćavanje otpadnih voda.</w:t>
            </w:r>
          </w:p>
        </w:tc>
      </w:tr>
      <w:tr w:rsidR="00F04409" w:rsidRPr="00AD2AC5" w14:paraId="676CB494"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6C80C19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68</w:t>
            </w:r>
          </w:p>
        </w:tc>
        <w:tc>
          <w:tcPr>
            <w:tcW w:w="826" w:type="dxa"/>
            <w:tcBorders>
              <w:top w:val="single" w:sz="4" w:space="0" w:color="auto"/>
              <w:left w:val="nil"/>
              <w:bottom w:val="single" w:sz="4" w:space="0" w:color="auto"/>
              <w:right w:val="single" w:sz="4" w:space="0" w:color="auto"/>
            </w:tcBorders>
            <w:shd w:val="clear" w:color="auto" w:fill="C6EFCE"/>
            <w:noWrap/>
          </w:tcPr>
          <w:p w14:paraId="228FCCF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01B71D8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68F4E9A2"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Izgrađena ili rekonstruirana javna vodoopskrbna mreža </w:t>
            </w:r>
          </w:p>
        </w:tc>
        <w:tc>
          <w:tcPr>
            <w:tcW w:w="1985" w:type="dxa"/>
            <w:tcBorders>
              <w:top w:val="single" w:sz="4" w:space="0" w:color="auto"/>
              <w:left w:val="nil"/>
              <w:bottom w:val="single" w:sz="4" w:space="0" w:color="auto"/>
              <w:right w:val="single" w:sz="4" w:space="0" w:color="auto"/>
            </w:tcBorders>
            <w:shd w:val="clear" w:color="auto" w:fill="C6EFCE"/>
            <w:noWrap/>
          </w:tcPr>
          <w:p w14:paraId="16B3D608"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C26A3C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4166164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0472A8B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226</w:t>
            </w:r>
          </w:p>
        </w:tc>
        <w:tc>
          <w:tcPr>
            <w:tcW w:w="539" w:type="dxa"/>
            <w:tcBorders>
              <w:top w:val="single" w:sz="4" w:space="0" w:color="auto"/>
              <w:left w:val="nil"/>
              <w:bottom w:val="single" w:sz="4" w:space="0" w:color="auto"/>
              <w:right w:val="single" w:sz="4" w:space="0" w:color="auto"/>
            </w:tcBorders>
            <w:shd w:val="clear" w:color="auto" w:fill="C6EFCE"/>
            <w:noWrap/>
          </w:tcPr>
          <w:p w14:paraId="3DBE7FE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503D35C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5744047B"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Izgrađeno ili obnovljeno najmanje 226 km javne vodoopskrbne mreže.</w:t>
            </w:r>
            <w:r>
              <w:rPr>
                <w:noProof/>
                <w:color w:val="000000"/>
                <w:sz w:val="20"/>
              </w:rPr>
              <w:br/>
              <w:t xml:space="preserve">Ulaganje se sastoji od izgradnje sustava opskrbe vodom za piće s prosječnom potrošnjom energije od ≤ 0,5 kWh ili infrastrukturnim indeksom istjecanja (ILI) od ≤ 1,5 te od obnove postojećih sustava opskrbe vodom za piće radi smanjenja prosječne potrošnje energije za više od 20 % ili smanjenja istjecanja za više od 20 %.  </w:t>
            </w:r>
          </w:p>
        </w:tc>
      </w:tr>
      <w:tr w:rsidR="00F04409" w:rsidRPr="00AD2AC5" w14:paraId="68767545"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058800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69</w:t>
            </w:r>
          </w:p>
        </w:tc>
        <w:tc>
          <w:tcPr>
            <w:tcW w:w="826" w:type="dxa"/>
            <w:tcBorders>
              <w:top w:val="single" w:sz="4" w:space="0" w:color="auto"/>
              <w:left w:val="nil"/>
              <w:bottom w:val="single" w:sz="4" w:space="0" w:color="auto"/>
              <w:right w:val="single" w:sz="4" w:space="0" w:color="auto"/>
            </w:tcBorders>
            <w:shd w:val="clear" w:color="auto" w:fill="C6EFCE"/>
            <w:noWrap/>
          </w:tcPr>
          <w:p w14:paraId="6E35A7A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1B6E64B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751AF521"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Mjerni uređaji ugrađeni na vodocrpilištima </w:t>
            </w:r>
          </w:p>
        </w:tc>
        <w:tc>
          <w:tcPr>
            <w:tcW w:w="1985" w:type="dxa"/>
            <w:tcBorders>
              <w:top w:val="single" w:sz="4" w:space="0" w:color="auto"/>
              <w:left w:val="nil"/>
              <w:bottom w:val="single" w:sz="4" w:space="0" w:color="auto"/>
              <w:right w:val="single" w:sz="4" w:space="0" w:color="auto"/>
            </w:tcBorders>
            <w:shd w:val="clear" w:color="auto" w:fill="C6EFCE"/>
            <w:noWrap/>
          </w:tcPr>
          <w:p w14:paraId="263AF0B8"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3E3194E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0F29C4B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506BC0A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526</w:t>
            </w:r>
          </w:p>
        </w:tc>
        <w:tc>
          <w:tcPr>
            <w:tcW w:w="539" w:type="dxa"/>
            <w:tcBorders>
              <w:top w:val="single" w:sz="4" w:space="0" w:color="auto"/>
              <w:left w:val="nil"/>
              <w:bottom w:val="single" w:sz="4" w:space="0" w:color="auto"/>
              <w:right w:val="single" w:sz="4" w:space="0" w:color="auto"/>
            </w:tcBorders>
            <w:shd w:val="clear" w:color="auto" w:fill="C6EFCE"/>
            <w:noWrap/>
          </w:tcPr>
          <w:p w14:paraId="50CA6DE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00E8243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64C158BF"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Najmanje 526 mjernih uređaja ugrađeno na vodocrpilištima, za mjerenje količine vode </w:t>
            </w:r>
          </w:p>
        </w:tc>
      </w:tr>
      <w:tr w:rsidR="00F04409" w:rsidRPr="00AD2AC5" w14:paraId="4FB7A715"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37DD43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70</w:t>
            </w:r>
          </w:p>
        </w:tc>
        <w:tc>
          <w:tcPr>
            <w:tcW w:w="826" w:type="dxa"/>
            <w:tcBorders>
              <w:top w:val="single" w:sz="4" w:space="0" w:color="auto"/>
              <w:left w:val="nil"/>
              <w:bottom w:val="single" w:sz="4" w:space="0" w:color="auto"/>
              <w:right w:val="single" w:sz="4" w:space="0" w:color="auto"/>
            </w:tcBorders>
            <w:shd w:val="clear" w:color="auto" w:fill="C6EFCE"/>
            <w:noWrap/>
          </w:tcPr>
          <w:p w14:paraId="2D4367B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0DEEF5F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235E7200"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Ugovori o izvođenju radovima sklopljeni za vodoopskrbne projekte </w:t>
            </w:r>
          </w:p>
        </w:tc>
        <w:tc>
          <w:tcPr>
            <w:tcW w:w="1985" w:type="dxa"/>
            <w:tcBorders>
              <w:top w:val="single" w:sz="4" w:space="0" w:color="auto"/>
              <w:left w:val="nil"/>
              <w:bottom w:val="single" w:sz="4" w:space="0" w:color="auto"/>
              <w:right w:val="single" w:sz="4" w:space="0" w:color="auto"/>
            </w:tcBorders>
            <w:shd w:val="clear" w:color="auto" w:fill="C6EFCE"/>
            <w:noWrap/>
          </w:tcPr>
          <w:p w14:paraId="7948341A"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203BBE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444DAEA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7331BC3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100</w:t>
            </w:r>
          </w:p>
        </w:tc>
        <w:tc>
          <w:tcPr>
            <w:tcW w:w="539" w:type="dxa"/>
            <w:tcBorders>
              <w:top w:val="single" w:sz="4" w:space="0" w:color="auto"/>
              <w:left w:val="nil"/>
              <w:bottom w:val="single" w:sz="4" w:space="0" w:color="auto"/>
              <w:right w:val="single" w:sz="4" w:space="0" w:color="auto"/>
            </w:tcBorders>
            <w:shd w:val="clear" w:color="auto" w:fill="C6EFCE"/>
            <w:noWrap/>
          </w:tcPr>
          <w:p w14:paraId="560E86B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0653C4C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2023.</w:t>
            </w:r>
          </w:p>
        </w:tc>
        <w:tc>
          <w:tcPr>
            <w:tcW w:w="3686" w:type="dxa"/>
            <w:tcBorders>
              <w:top w:val="single" w:sz="4" w:space="0" w:color="auto"/>
              <w:left w:val="nil"/>
              <w:bottom w:val="single" w:sz="4" w:space="0" w:color="auto"/>
              <w:right w:val="single" w:sz="4" w:space="0" w:color="auto"/>
            </w:tcBorders>
            <w:shd w:val="clear" w:color="auto" w:fill="C6EFCE"/>
            <w:noWrap/>
          </w:tcPr>
          <w:p w14:paraId="56B097AD"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Broj potpisanih ugovora o izvođenju radova za projekte povezane s vodom odnosi se na ugovore koji će se dodijeliti do kraja 2023.</w:t>
            </w:r>
            <w:r>
              <w:rPr>
                <w:noProof/>
                <w:color w:val="000000"/>
                <w:sz w:val="20"/>
              </w:rPr>
              <w:br/>
              <w:t>Procjena utjecaja na okoliš provodi se u skladu s postupcima odobrenja u okviru procjene utjecaja na okoliš na temelju Direktive 2011/92/EU i u skladu pregledom i/ili odgovarajućom procjenom na temelju članka 6. stavka 3. Direktive o staništima. Dostavit će se dokazi da projekt nema bitan utjecaj na cjelovitost dotičnih područja mreže Natura 2000.</w:t>
            </w:r>
          </w:p>
        </w:tc>
      </w:tr>
      <w:tr w:rsidR="00F04409" w:rsidRPr="00AD2AC5" w14:paraId="6AE1F014"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391A54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71</w:t>
            </w:r>
          </w:p>
        </w:tc>
        <w:tc>
          <w:tcPr>
            <w:tcW w:w="826" w:type="dxa"/>
            <w:tcBorders>
              <w:top w:val="single" w:sz="4" w:space="0" w:color="auto"/>
              <w:left w:val="nil"/>
              <w:bottom w:val="single" w:sz="4" w:space="0" w:color="auto"/>
              <w:right w:val="single" w:sz="4" w:space="0" w:color="auto"/>
            </w:tcBorders>
            <w:shd w:val="clear" w:color="auto" w:fill="C6EFCE"/>
            <w:noWrap/>
          </w:tcPr>
          <w:p w14:paraId="157F383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4C9B72A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0289B1F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Izgrađena ili rekonstruirana javna vodoopskrbna mreža </w:t>
            </w:r>
          </w:p>
        </w:tc>
        <w:tc>
          <w:tcPr>
            <w:tcW w:w="1985" w:type="dxa"/>
            <w:tcBorders>
              <w:top w:val="single" w:sz="4" w:space="0" w:color="auto"/>
              <w:left w:val="nil"/>
              <w:bottom w:val="single" w:sz="4" w:space="0" w:color="auto"/>
              <w:right w:val="single" w:sz="4" w:space="0" w:color="auto"/>
            </w:tcBorders>
            <w:shd w:val="clear" w:color="auto" w:fill="C6EFCE"/>
            <w:noWrap/>
          </w:tcPr>
          <w:p w14:paraId="777CB634"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666DD8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334E7A5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64B70DDA" w14:textId="4A69B509" w:rsidR="00733DCA" w:rsidRPr="00AD2AC5" w:rsidRDefault="00733DCA" w:rsidP="0001477B">
            <w:pPr>
              <w:spacing w:after="200" w:line="276" w:lineRule="auto"/>
              <w:jc w:val="center"/>
              <w:rPr>
                <w:rFonts w:eastAsia="Calibri" w:cstheme="minorHAnsi"/>
                <w:noProof/>
                <w:sz w:val="20"/>
                <w:szCs w:val="20"/>
              </w:rPr>
            </w:pPr>
            <w:r>
              <w:rPr>
                <w:noProof/>
                <w:color w:val="000000"/>
                <w:sz w:val="20"/>
              </w:rPr>
              <w:t>517</w:t>
            </w:r>
          </w:p>
        </w:tc>
        <w:tc>
          <w:tcPr>
            <w:tcW w:w="539" w:type="dxa"/>
            <w:tcBorders>
              <w:top w:val="single" w:sz="4" w:space="0" w:color="auto"/>
              <w:left w:val="nil"/>
              <w:bottom w:val="single" w:sz="4" w:space="0" w:color="auto"/>
              <w:right w:val="single" w:sz="4" w:space="0" w:color="auto"/>
            </w:tcBorders>
            <w:shd w:val="clear" w:color="auto" w:fill="C6EFCE"/>
            <w:noWrap/>
          </w:tcPr>
          <w:p w14:paraId="5D9B464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28E3E2B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2023.</w:t>
            </w:r>
          </w:p>
        </w:tc>
        <w:tc>
          <w:tcPr>
            <w:tcW w:w="3686" w:type="dxa"/>
            <w:tcBorders>
              <w:top w:val="single" w:sz="4" w:space="0" w:color="auto"/>
              <w:left w:val="nil"/>
              <w:bottom w:val="single" w:sz="4" w:space="0" w:color="auto"/>
              <w:right w:val="single" w:sz="4" w:space="0" w:color="auto"/>
            </w:tcBorders>
            <w:shd w:val="clear" w:color="auto" w:fill="C6EFCE"/>
            <w:noWrap/>
          </w:tcPr>
          <w:p w14:paraId="497D66EA" w14:textId="6F6C586F" w:rsidR="00733DCA" w:rsidRPr="00AD2AC5" w:rsidRDefault="00733DCA" w:rsidP="0001477B">
            <w:pPr>
              <w:spacing w:after="200" w:line="276" w:lineRule="auto"/>
              <w:rPr>
                <w:rFonts w:eastAsia="Calibri" w:cstheme="minorHAnsi"/>
                <w:noProof/>
                <w:sz w:val="20"/>
                <w:szCs w:val="20"/>
              </w:rPr>
            </w:pPr>
            <w:r>
              <w:rPr>
                <w:noProof/>
                <w:color w:val="000000"/>
                <w:sz w:val="20"/>
              </w:rPr>
              <w:t>Izgrađeno ili obnovljeno najmanje 517 km javne vodoopskrbne mreže.</w:t>
            </w:r>
            <w:r>
              <w:rPr>
                <w:noProof/>
                <w:color w:val="000000"/>
                <w:sz w:val="20"/>
              </w:rPr>
              <w:br/>
              <w:t xml:space="preserve">Ulaganje se sastoji od izgradnje sustava opskrbe vodom za piće s prosječnom potrošnjom energije od ≤ 0,5 kWh ili infrastrukturnim indeksom istjecanja (ILI) od ≤ 1,5 te od obnove postojećih sustava opskrbe vodom za piće radi smanjenja prosječne potrošnje energije za više od 20 % ili smanjenja istjecanja za više od 20 %.  </w:t>
            </w:r>
          </w:p>
        </w:tc>
      </w:tr>
      <w:tr w:rsidR="00F04409" w:rsidRPr="00AD2AC5" w14:paraId="06E623AC"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8C41DA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72</w:t>
            </w:r>
          </w:p>
        </w:tc>
        <w:tc>
          <w:tcPr>
            <w:tcW w:w="826" w:type="dxa"/>
            <w:tcBorders>
              <w:top w:val="single" w:sz="4" w:space="0" w:color="auto"/>
              <w:left w:val="nil"/>
              <w:bottom w:val="single" w:sz="4" w:space="0" w:color="auto"/>
              <w:right w:val="single" w:sz="4" w:space="0" w:color="auto"/>
            </w:tcBorders>
            <w:shd w:val="clear" w:color="auto" w:fill="C6EFCE"/>
            <w:noWrap/>
          </w:tcPr>
          <w:p w14:paraId="16B1BF1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3BFDD81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1456A27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Izgrađena ili rekonstruirana javna vodoopskrbna mreža </w:t>
            </w:r>
          </w:p>
        </w:tc>
        <w:tc>
          <w:tcPr>
            <w:tcW w:w="1985" w:type="dxa"/>
            <w:tcBorders>
              <w:top w:val="single" w:sz="4" w:space="0" w:color="auto"/>
              <w:left w:val="nil"/>
              <w:bottom w:val="single" w:sz="4" w:space="0" w:color="auto"/>
              <w:right w:val="single" w:sz="4" w:space="0" w:color="auto"/>
            </w:tcBorders>
            <w:shd w:val="clear" w:color="auto" w:fill="C6EFCE"/>
            <w:noWrap/>
          </w:tcPr>
          <w:p w14:paraId="5AA2D7F0"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3442FAF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08A1A07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3B96599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956</w:t>
            </w:r>
          </w:p>
        </w:tc>
        <w:tc>
          <w:tcPr>
            <w:tcW w:w="539" w:type="dxa"/>
            <w:tcBorders>
              <w:top w:val="single" w:sz="4" w:space="0" w:color="auto"/>
              <w:left w:val="nil"/>
              <w:bottom w:val="single" w:sz="4" w:space="0" w:color="auto"/>
              <w:right w:val="single" w:sz="4" w:space="0" w:color="auto"/>
            </w:tcBorders>
            <w:shd w:val="clear" w:color="auto" w:fill="C6EFCE"/>
            <w:noWrap/>
          </w:tcPr>
          <w:p w14:paraId="11F8A81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0B553BD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FE59DDD" w14:textId="7777777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 xml:space="preserve">Izgrađeno ili obnovljeno najmanje 956 km javne vodoopskrbne mreže. </w:t>
            </w:r>
            <w:r>
              <w:rPr>
                <w:noProof/>
                <w:sz w:val="20"/>
              </w:rPr>
              <w:br/>
            </w:r>
            <w:r>
              <w:rPr>
                <w:noProof/>
                <w:color w:val="000000" w:themeColor="text1"/>
                <w:sz w:val="20"/>
              </w:rPr>
              <w:t xml:space="preserve"> Ulaganje se sastoji od izgradnje sustava opskrbe vodom za piće s prosječnom potrošnjom energije od ≤ 0,5 kWh ili infrastrukturnim indeksom istjecanja (ILI) od ≤ 1,5 te od obnove postojećih sustava opskrbe vodom za piće radi smanjenja prosječne potrošnje energije za više od 20 % ili smanjenja istjecanja za više od 20 %.  </w:t>
            </w:r>
          </w:p>
        </w:tc>
      </w:tr>
      <w:tr w:rsidR="00F04409" w:rsidRPr="00AD2AC5" w14:paraId="4B2D21EC"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5F31EA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73</w:t>
            </w:r>
          </w:p>
        </w:tc>
        <w:tc>
          <w:tcPr>
            <w:tcW w:w="826" w:type="dxa"/>
            <w:tcBorders>
              <w:top w:val="single" w:sz="4" w:space="0" w:color="auto"/>
              <w:left w:val="nil"/>
              <w:bottom w:val="single" w:sz="4" w:space="0" w:color="auto"/>
              <w:right w:val="single" w:sz="4" w:space="0" w:color="auto"/>
            </w:tcBorders>
            <w:shd w:val="clear" w:color="auto" w:fill="C6EFCE"/>
            <w:noWrap/>
          </w:tcPr>
          <w:p w14:paraId="1AECBE9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0758AEB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7032EEED"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Stanovništvo s poboljšanim pristupom vodoopskrbi</w:t>
            </w:r>
          </w:p>
        </w:tc>
        <w:tc>
          <w:tcPr>
            <w:tcW w:w="1985" w:type="dxa"/>
            <w:tcBorders>
              <w:top w:val="single" w:sz="4" w:space="0" w:color="auto"/>
              <w:left w:val="nil"/>
              <w:bottom w:val="single" w:sz="4" w:space="0" w:color="auto"/>
              <w:right w:val="single" w:sz="4" w:space="0" w:color="auto"/>
            </w:tcBorders>
            <w:shd w:val="clear" w:color="auto" w:fill="C6EFCE"/>
            <w:noWrap/>
          </w:tcPr>
          <w:p w14:paraId="6D04FB7F"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73312BA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40646A8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6757942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45 000</w:t>
            </w:r>
          </w:p>
        </w:tc>
        <w:tc>
          <w:tcPr>
            <w:tcW w:w="539" w:type="dxa"/>
            <w:tcBorders>
              <w:top w:val="single" w:sz="4" w:space="0" w:color="auto"/>
              <w:left w:val="nil"/>
              <w:bottom w:val="single" w:sz="4" w:space="0" w:color="auto"/>
              <w:right w:val="single" w:sz="4" w:space="0" w:color="auto"/>
            </w:tcBorders>
            <w:shd w:val="clear" w:color="auto" w:fill="C6EFCE"/>
            <w:noWrap/>
          </w:tcPr>
          <w:p w14:paraId="25DCB26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1EB5FA4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64E76B7"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Najmanje 45 000 stanovnika opskrbljuje se vodom za piće iz javne vodoopskrbe uslijed nadogradnje i proširenja vodoopskrbne mreže. To se odnosi na stanovništvo koje prethodno nije bilo priključeno na javni vodoopskrbni sustav ili koje je imalo neodgovarajuću kvalitetu vode. Uključuje i stanovnike čija se kvaliteta vode za piće poboljšala.</w:t>
            </w:r>
            <w:r>
              <w:rPr>
                <w:noProof/>
                <w:color w:val="000000"/>
                <w:sz w:val="20"/>
              </w:rPr>
              <w:br/>
              <w:t xml:space="preserve">Pokazatelj se odnosi na stanovništvo koje je stvarno (a ne potencijalno) priključeno na sustav javne vodoopskrbe. To uključuje projekte obnove, no ne uključuje projekte povezane s izgradnjom/poboljšanjem sustava navodnjavanja.  </w:t>
            </w:r>
          </w:p>
        </w:tc>
      </w:tr>
      <w:tr w:rsidR="00F04409" w:rsidRPr="00AD2AC5" w14:paraId="67EC7165"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D7B339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74</w:t>
            </w:r>
          </w:p>
        </w:tc>
        <w:tc>
          <w:tcPr>
            <w:tcW w:w="826" w:type="dxa"/>
            <w:tcBorders>
              <w:top w:val="single" w:sz="4" w:space="0" w:color="auto"/>
              <w:left w:val="nil"/>
              <w:bottom w:val="single" w:sz="4" w:space="0" w:color="auto"/>
              <w:right w:val="single" w:sz="4" w:space="0" w:color="auto"/>
            </w:tcBorders>
            <w:shd w:val="clear" w:color="auto" w:fill="C6EFCE"/>
            <w:noWrap/>
          </w:tcPr>
          <w:p w14:paraId="1A775EC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07AFAB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38F107D6"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Sklopljeni ugovori o izvođenju radova za projekte zaštite od poplava </w:t>
            </w:r>
          </w:p>
        </w:tc>
        <w:tc>
          <w:tcPr>
            <w:tcW w:w="1985" w:type="dxa"/>
            <w:tcBorders>
              <w:top w:val="single" w:sz="4" w:space="0" w:color="auto"/>
              <w:left w:val="nil"/>
              <w:bottom w:val="single" w:sz="4" w:space="0" w:color="auto"/>
              <w:right w:val="single" w:sz="4" w:space="0" w:color="auto"/>
            </w:tcBorders>
            <w:shd w:val="clear" w:color="auto" w:fill="C6EFCE"/>
            <w:noWrap/>
          </w:tcPr>
          <w:p w14:paraId="11C66FFE"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4C30F2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4A2A427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524562A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w:t>
            </w:r>
          </w:p>
        </w:tc>
        <w:tc>
          <w:tcPr>
            <w:tcW w:w="539" w:type="dxa"/>
            <w:tcBorders>
              <w:top w:val="single" w:sz="4" w:space="0" w:color="auto"/>
              <w:left w:val="nil"/>
              <w:bottom w:val="single" w:sz="4" w:space="0" w:color="auto"/>
              <w:right w:val="single" w:sz="4" w:space="0" w:color="auto"/>
            </w:tcBorders>
            <w:shd w:val="clear" w:color="auto" w:fill="C6EFCE"/>
            <w:noWrap/>
          </w:tcPr>
          <w:p w14:paraId="4AE708D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1C4C292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30D49F3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Najmanje 20 ugovora o izvođenju radova sklopljeno za projekte u sektoru zaštite od poplava, u vezi s ugovorima koji će se dodijeliti do kraja 2022. </w:t>
            </w:r>
            <w:r>
              <w:rPr>
                <w:noProof/>
                <w:color w:val="000000"/>
                <w:sz w:val="20"/>
              </w:rPr>
              <w:br/>
              <w:t>U natječajnim kriterijima prednost se daje rješenjima koje se temelje na prirodi i zelenoj infrastrukturi. Ugovorima se osigurava da će se projekti provoditi u skladu s pravnom stečevinom i propisima EU-a u području okoliša te prilozima Delegiranoj uredbi Komisije (C(2021) 2800 final) o dopuni Uredbe (EU) 2020/852.</w:t>
            </w:r>
            <w:r>
              <w:rPr>
                <w:noProof/>
                <w:color w:val="000000"/>
                <w:sz w:val="20"/>
              </w:rPr>
              <w:br/>
              <w:t>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(2021/C58/01). Sve aktivnosti u skladu su sa zahtjevima vodnog zakonodavstva EU-a kako je preuzeto u hrvatsko pravo. Procjena utjecaja na okoliš provodi se u skladu s postupcima odobrenja u okviru procjene utjecaja na okoliš na temelju Direktive 2011/92/EU i u skladu pregledom i/ili odgovarajućom procjenom na temelju članka 6. stavka 3. Direktive o staništima. Dostavit će se dokazi da projekt nema bitan utjecaj na cjelovitost dotičnih područja mreže Natura 2000.</w:t>
            </w:r>
          </w:p>
        </w:tc>
      </w:tr>
      <w:tr w:rsidR="00F04409" w:rsidRPr="00AD2AC5" w14:paraId="04B25258"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4C711E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75</w:t>
            </w:r>
          </w:p>
        </w:tc>
        <w:tc>
          <w:tcPr>
            <w:tcW w:w="826" w:type="dxa"/>
            <w:tcBorders>
              <w:top w:val="single" w:sz="4" w:space="0" w:color="auto"/>
              <w:left w:val="nil"/>
              <w:bottom w:val="single" w:sz="4" w:space="0" w:color="auto"/>
              <w:right w:val="single" w:sz="4" w:space="0" w:color="auto"/>
            </w:tcBorders>
            <w:shd w:val="clear" w:color="auto" w:fill="C6EFCE"/>
            <w:noWrap/>
          </w:tcPr>
          <w:p w14:paraId="1407699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B6AC48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4A0381B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Izgrađene strukture za zaštitu od poplava </w:t>
            </w:r>
          </w:p>
        </w:tc>
        <w:tc>
          <w:tcPr>
            <w:tcW w:w="1985" w:type="dxa"/>
            <w:tcBorders>
              <w:top w:val="single" w:sz="4" w:space="0" w:color="auto"/>
              <w:left w:val="nil"/>
              <w:bottom w:val="single" w:sz="4" w:space="0" w:color="auto"/>
              <w:right w:val="single" w:sz="4" w:space="0" w:color="auto"/>
            </w:tcBorders>
            <w:shd w:val="clear" w:color="auto" w:fill="C6EFCE"/>
            <w:noWrap/>
          </w:tcPr>
          <w:p w14:paraId="0393DBFE"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A6B4D9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618C0A5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5475BB2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13</w:t>
            </w:r>
          </w:p>
        </w:tc>
        <w:tc>
          <w:tcPr>
            <w:tcW w:w="539" w:type="dxa"/>
            <w:tcBorders>
              <w:top w:val="single" w:sz="4" w:space="0" w:color="auto"/>
              <w:left w:val="nil"/>
              <w:bottom w:val="single" w:sz="4" w:space="0" w:color="auto"/>
              <w:right w:val="single" w:sz="4" w:space="0" w:color="auto"/>
            </w:tcBorders>
            <w:shd w:val="clear" w:color="auto" w:fill="C6EFCE"/>
            <w:noWrap/>
          </w:tcPr>
          <w:p w14:paraId="439A3B5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0EE410F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5E6C883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Najmanje 13 km struktura za zaštitu od poplava izgrađeno radi zaštite od štetnih učinaka vode</w:t>
            </w:r>
          </w:p>
        </w:tc>
      </w:tr>
      <w:tr w:rsidR="00F04409" w:rsidRPr="00AD2AC5" w14:paraId="0808FEB0"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80D9B7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76</w:t>
            </w:r>
          </w:p>
        </w:tc>
        <w:tc>
          <w:tcPr>
            <w:tcW w:w="826" w:type="dxa"/>
            <w:tcBorders>
              <w:top w:val="single" w:sz="4" w:space="0" w:color="auto"/>
              <w:left w:val="nil"/>
              <w:bottom w:val="single" w:sz="4" w:space="0" w:color="auto"/>
              <w:right w:val="single" w:sz="4" w:space="0" w:color="auto"/>
            </w:tcBorders>
            <w:shd w:val="clear" w:color="auto" w:fill="C6EFCE"/>
            <w:noWrap/>
          </w:tcPr>
          <w:p w14:paraId="4D11DF2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41A99F9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235D7E2A"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Revitalizirani vodotoci </w:t>
            </w:r>
          </w:p>
        </w:tc>
        <w:tc>
          <w:tcPr>
            <w:tcW w:w="1985" w:type="dxa"/>
            <w:tcBorders>
              <w:top w:val="single" w:sz="4" w:space="0" w:color="auto"/>
              <w:left w:val="nil"/>
              <w:bottom w:val="single" w:sz="4" w:space="0" w:color="auto"/>
              <w:right w:val="single" w:sz="4" w:space="0" w:color="auto"/>
            </w:tcBorders>
            <w:shd w:val="clear" w:color="auto" w:fill="C6EFCE"/>
            <w:noWrap/>
          </w:tcPr>
          <w:p w14:paraId="54BDDE3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302860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62DB734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17E3783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539" w:type="dxa"/>
            <w:tcBorders>
              <w:top w:val="single" w:sz="4" w:space="0" w:color="auto"/>
              <w:left w:val="nil"/>
              <w:bottom w:val="single" w:sz="4" w:space="0" w:color="auto"/>
              <w:right w:val="single" w:sz="4" w:space="0" w:color="auto"/>
            </w:tcBorders>
            <w:shd w:val="clear" w:color="auto" w:fill="C6EFCE"/>
            <w:noWrap/>
          </w:tcPr>
          <w:p w14:paraId="0C8799A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491E033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1F6F331F"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Najmanje 2 km obnovljenih vodotokova, uključujući revitalizaciju napuštenih rukavaca, stalni kontakt rijeka i rukavaca te ulaganje u povezanu infrastrukturu</w:t>
            </w:r>
          </w:p>
        </w:tc>
      </w:tr>
      <w:tr w:rsidR="00F04409" w:rsidRPr="00AD2AC5" w14:paraId="6873EA13"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C1F51E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77</w:t>
            </w:r>
          </w:p>
        </w:tc>
        <w:tc>
          <w:tcPr>
            <w:tcW w:w="826" w:type="dxa"/>
            <w:tcBorders>
              <w:top w:val="single" w:sz="4" w:space="0" w:color="auto"/>
              <w:left w:val="nil"/>
              <w:bottom w:val="single" w:sz="4" w:space="0" w:color="auto"/>
              <w:right w:val="single" w:sz="4" w:space="0" w:color="auto"/>
            </w:tcBorders>
            <w:shd w:val="clear" w:color="auto" w:fill="C6EFCE"/>
            <w:noWrap/>
          </w:tcPr>
          <w:p w14:paraId="3896961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0409A60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01337666"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Izgrađene strukture za zaštitu od poplava </w:t>
            </w:r>
          </w:p>
        </w:tc>
        <w:tc>
          <w:tcPr>
            <w:tcW w:w="1985" w:type="dxa"/>
            <w:tcBorders>
              <w:top w:val="single" w:sz="4" w:space="0" w:color="auto"/>
              <w:left w:val="nil"/>
              <w:bottom w:val="single" w:sz="4" w:space="0" w:color="auto"/>
              <w:right w:val="single" w:sz="4" w:space="0" w:color="auto"/>
            </w:tcBorders>
            <w:shd w:val="clear" w:color="auto" w:fill="C6EFCE"/>
            <w:noWrap/>
          </w:tcPr>
          <w:p w14:paraId="2E51D357"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425717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7B7FDFA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73B3E8F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65</w:t>
            </w:r>
          </w:p>
        </w:tc>
        <w:tc>
          <w:tcPr>
            <w:tcW w:w="539" w:type="dxa"/>
            <w:tcBorders>
              <w:top w:val="single" w:sz="4" w:space="0" w:color="auto"/>
              <w:left w:val="nil"/>
              <w:bottom w:val="single" w:sz="4" w:space="0" w:color="auto"/>
              <w:right w:val="single" w:sz="4" w:space="0" w:color="auto"/>
            </w:tcBorders>
            <w:shd w:val="clear" w:color="auto" w:fill="C6EFCE"/>
            <w:noWrap/>
          </w:tcPr>
          <w:p w14:paraId="57FC2A8F" w14:textId="079B7045"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7FF99506" w14:textId="5B40BA0C"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2024.</w:t>
            </w:r>
          </w:p>
        </w:tc>
        <w:tc>
          <w:tcPr>
            <w:tcW w:w="3686" w:type="dxa"/>
            <w:tcBorders>
              <w:top w:val="single" w:sz="4" w:space="0" w:color="auto"/>
              <w:left w:val="nil"/>
              <w:bottom w:val="single" w:sz="4" w:space="0" w:color="auto"/>
              <w:right w:val="single" w:sz="4" w:space="0" w:color="auto"/>
            </w:tcBorders>
            <w:shd w:val="clear" w:color="auto" w:fill="C6EFCE"/>
            <w:noWrap/>
          </w:tcPr>
          <w:p w14:paraId="24D708A8" w14:textId="77777777" w:rsidR="00733DCA" w:rsidRPr="00AD2AC5" w:rsidRDefault="00733DCA" w:rsidP="0001477B">
            <w:pPr>
              <w:spacing w:after="200" w:line="276" w:lineRule="auto"/>
              <w:rPr>
                <w:rFonts w:eastAsia="Calibri" w:cstheme="minorHAnsi"/>
                <w:noProof/>
                <w:color w:val="000000" w:themeColor="text1"/>
                <w:sz w:val="20"/>
                <w:szCs w:val="20"/>
              </w:rPr>
            </w:pPr>
            <w:r>
              <w:rPr>
                <w:noProof/>
                <w:color w:val="000000" w:themeColor="text1"/>
                <w:sz w:val="20"/>
              </w:rPr>
              <w:t>Najmanje 65 km struktura za zaštitu od poplava izgrađeno radi zaštite od štetnih učinaka vode</w:t>
            </w:r>
          </w:p>
        </w:tc>
      </w:tr>
      <w:tr w:rsidR="00F04409" w:rsidRPr="00AD2AC5" w14:paraId="4288F380"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1E7BAF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78</w:t>
            </w:r>
          </w:p>
        </w:tc>
        <w:tc>
          <w:tcPr>
            <w:tcW w:w="826" w:type="dxa"/>
            <w:tcBorders>
              <w:top w:val="single" w:sz="4" w:space="0" w:color="auto"/>
              <w:left w:val="nil"/>
              <w:bottom w:val="single" w:sz="4" w:space="0" w:color="auto"/>
              <w:right w:val="single" w:sz="4" w:space="0" w:color="auto"/>
            </w:tcBorders>
            <w:shd w:val="clear" w:color="auto" w:fill="C6EFCE"/>
            <w:noWrap/>
          </w:tcPr>
          <w:p w14:paraId="71FC43F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5C810F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1740342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Revitalizirani vodotoci </w:t>
            </w:r>
          </w:p>
        </w:tc>
        <w:tc>
          <w:tcPr>
            <w:tcW w:w="1985" w:type="dxa"/>
            <w:tcBorders>
              <w:top w:val="single" w:sz="4" w:space="0" w:color="auto"/>
              <w:left w:val="nil"/>
              <w:bottom w:val="single" w:sz="4" w:space="0" w:color="auto"/>
              <w:right w:val="single" w:sz="4" w:space="0" w:color="auto"/>
            </w:tcBorders>
            <w:shd w:val="clear" w:color="auto" w:fill="C6EFCE"/>
            <w:noWrap/>
          </w:tcPr>
          <w:p w14:paraId="151D238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9E8620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0304C58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691A03C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16</w:t>
            </w:r>
          </w:p>
        </w:tc>
        <w:tc>
          <w:tcPr>
            <w:tcW w:w="539" w:type="dxa"/>
            <w:tcBorders>
              <w:top w:val="single" w:sz="4" w:space="0" w:color="auto"/>
              <w:left w:val="nil"/>
              <w:bottom w:val="single" w:sz="4" w:space="0" w:color="auto"/>
              <w:right w:val="single" w:sz="4" w:space="0" w:color="auto"/>
            </w:tcBorders>
            <w:shd w:val="clear" w:color="auto" w:fill="C6EFCE"/>
            <w:noWrap/>
          </w:tcPr>
          <w:p w14:paraId="26111882" w14:textId="25D606C6"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78E60AD1" w14:textId="3930793D"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2C39DABB" w14:textId="7777777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Najmanje 16 km obnovljenih vodotokova, uključujući revitalizaciju napuštenih rukavaca, stalni kontakt između rijeka i rukavaca te ulaganje u povezanu infrastrukturu</w:t>
            </w:r>
          </w:p>
        </w:tc>
      </w:tr>
      <w:tr w:rsidR="00F04409" w:rsidRPr="00AD2AC5" w14:paraId="72247D85"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AF25ED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79</w:t>
            </w:r>
          </w:p>
        </w:tc>
        <w:tc>
          <w:tcPr>
            <w:tcW w:w="826" w:type="dxa"/>
            <w:tcBorders>
              <w:top w:val="single" w:sz="4" w:space="0" w:color="auto"/>
              <w:left w:val="nil"/>
              <w:bottom w:val="single" w:sz="4" w:space="0" w:color="auto"/>
              <w:right w:val="single" w:sz="4" w:space="0" w:color="auto"/>
            </w:tcBorders>
            <w:shd w:val="clear" w:color="auto" w:fill="C6EFCE"/>
            <w:noWrap/>
          </w:tcPr>
          <w:p w14:paraId="5F2D938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280B28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4E4E9A4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Izgrađene strukture za zaštitu od poplava </w:t>
            </w:r>
          </w:p>
        </w:tc>
        <w:tc>
          <w:tcPr>
            <w:tcW w:w="1985" w:type="dxa"/>
            <w:tcBorders>
              <w:top w:val="single" w:sz="4" w:space="0" w:color="auto"/>
              <w:left w:val="nil"/>
              <w:bottom w:val="single" w:sz="4" w:space="0" w:color="auto"/>
              <w:right w:val="single" w:sz="4" w:space="0" w:color="auto"/>
            </w:tcBorders>
            <w:shd w:val="clear" w:color="auto" w:fill="C6EFCE"/>
            <w:noWrap/>
          </w:tcPr>
          <w:p w14:paraId="38813B2F"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0C8460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2E34419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25C5ABD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77</w:t>
            </w:r>
          </w:p>
        </w:tc>
        <w:tc>
          <w:tcPr>
            <w:tcW w:w="539" w:type="dxa"/>
            <w:tcBorders>
              <w:top w:val="single" w:sz="4" w:space="0" w:color="auto"/>
              <w:left w:val="nil"/>
              <w:bottom w:val="single" w:sz="4" w:space="0" w:color="auto"/>
              <w:right w:val="single" w:sz="4" w:space="0" w:color="auto"/>
            </w:tcBorders>
            <w:shd w:val="clear" w:color="auto" w:fill="C6EFCE"/>
            <w:noWrap/>
          </w:tcPr>
          <w:p w14:paraId="2B5DB9A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45A8537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659722F2" w14:textId="77777777" w:rsidR="00733DCA" w:rsidRPr="00AD2AC5" w:rsidRDefault="00733DCA" w:rsidP="0001477B">
            <w:pPr>
              <w:spacing w:after="200" w:line="276" w:lineRule="auto"/>
              <w:rPr>
                <w:rFonts w:eastAsia="Calibri" w:cstheme="minorHAnsi"/>
                <w:noProof/>
                <w:color w:val="000000" w:themeColor="text1"/>
                <w:sz w:val="20"/>
                <w:szCs w:val="20"/>
              </w:rPr>
            </w:pPr>
            <w:r>
              <w:rPr>
                <w:noProof/>
                <w:color w:val="000000" w:themeColor="text1"/>
                <w:sz w:val="20"/>
              </w:rPr>
              <w:t>Najmanje 77 km struktura za zaštitu od poplava izgrađeno radi zaštite od štetnih učinaka vode</w:t>
            </w:r>
          </w:p>
        </w:tc>
      </w:tr>
      <w:tr w:rsidR="00F04409" w:rsidRPr="00AD2AC5" w14:paraId="6E615540"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CF04ED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80</w:t>
            </w:r>
          </w:p>
        </w:tc>
        <w:tc>
          <w:tcPr>
            <w:tcW w:w="826" w:type="dxa"/>
            <w:tcBorders>
              <w:top w:val="single" w:sz="4" w:space="0" w:color="auto"/>
              <w:left w:val="nil"/>
              <w:bottom w:val="single" w:sz="4" w:space="0" w:color="auto"/>
              <w:right w:val="single" w:sz="4" w:space="0" w:color="auto"/>
            </w:tcBorders>
            <w:shd w:val="clear" w:color="auto" w:fill="C6EFCE"/>
            <w:noWrap/>
          </w:tcPr>
          <w:p w14:paraId="2A0CEA1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4C7C59E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5992CB70"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Stanovništvo obuhvaćeno poboljšanim mjerama zaštite od poplava</w:t>
            </w:r>
          </w:p>
        </w:tc>
        <w:tc>
          <w:tcPr>
            <w:tcW w:w="1985" w:type="dxa"/>
            <w:tcBorders>
              <w:top w:val="single" w:sz="4" w:space="0" w:color="auto"/>
              <w:left w:val="nil"/>
              <w:bottom w:val="single" w:sz="4" w:space="0" w:color="auto"/>
              <w:right w:val="single" w:sz="4" w:space="0" w:color="auto"/>
            </w:tcBorders>
            <w:shd w:val="clear" w:color="auto" w:fill="C6EFCE"/>
            <w:noWrap/>
          </w:tcPr>
          <w:p w14:paraId="6F936891"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51F7D9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2420AC9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148A0E4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20 000</w:t>
            </w:r>
          </w:p>
        </w:tc>
        <w:tc>
          <w:tcPr>
            <w:tcW w:w="539" w:type="dxa"/>
            <w:tcBorders>
              <w:top w:val="single" w:sz="4" w:space="0" w:color="auto"/>
              <w:left w:val="nil"/>
              <w:bottom w:val="single" w:sz="4" w:space="0" w:color="auto"/>
              <w:right w:val="single" w:sz="4" w:space="0" w:color="auto"/>
            </w:tcBorders>
            <w:shd w:val="clear" w:color="auto" w:fill="C6EFCE"/>
            <w:noWrap/>
          </w:tcPr>
          <w:p w14:paraId="0F53539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0ABAF43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136CCF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Najmanje 20 000 stanovnika ima koristi od poboljšanih mjera zaštite od poplava               </w:t>
            </w:r>
          </w:p>
        </w:tc>
      </w:tr>
      <w:tr w:rsidR="00F04409" w:rsidRPr="00AD2AC5" w14:paraId="20385DF7"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710635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81</w:t>
            </w:r>
          </w:p>
        </w:tc>
        <w:tc>
          <w:tcPr>
            <w:tcW w:w="826" w:type="dxa"/>
            <w:tcBorders>
              <w:top w:val="single" w:sz="4" w:space="0" w:color="auto"/>
              <w:left w:val="nil"/>
              <w:bottom w:val="single" w:sz="4" w:space="0" w:color="auto"/>
              <w:right w:val="single" w:sz="4" w:space="0" w:color="auto"/>
            </w:tcBorders>
            <w:shd w:val="clear" w:color="auto" w:fill="C6EFCE"/>
            <w:noWrap/>
          </w:tcPr>
          <w:p w14:paraId="3ABF305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w:t>
            </w:r>
          </w:p>
        </w:tc>
        <w:tc>
          <w:tcPr>
            <w:tcW w:w="895" w:type="dxa"/>
            <w:tcBorders>
              <w:top w:val="single" w:sz="4" w:space="0" w:color="auto"/>
              <w:left w:val="nil"/>
              <w:bottom w:val="single" w:sz="4" w:space="0" w:color="auto"/>
              <w:right w:val="single" w:sz="4" w:space="0" w:color="auto"/>
            </w:tcBorders>
            <w:shd w:val="clear" w:color="auto" w:fill="C6EFCE"/>
            <w:noWrap/>
          </w:tcPr>
          <w:p w14:paraId="53AEFEA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Ključna etapa</w:t>
            </w:r>
          </w:p>
        </w:tc>
        <w:tc>
          <w:tcPr>
            <w:tcW w:w="2248" w:type="dxa"/>
            <w:tcBorders>
              <w:top w:val="single" w:sz="4" w:space="0" w:color="auto"/>
              <w:left w:val="nil"/>
              <w:bottom w:val="single" w:sz="4" w:space="0" w:color="auto"/>
              <w:right w:val="single" w:sz="4" w:space="0" w:color="auto"/>
            </w:tcBorders>
            <w:shd w:val="clear" w:color="auto" w:fill="C6EFCE"/>
            <w:noWrap/>
          </w:tcPr>
          <w:p w14:paraId="7B6C469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Donošenje Zakona o gospodarenju otpadom </w:t>
            </w:r>
          </w:p>
        </w:tc>
        <w:tc>
          <w:tcPr>
            <w:tcW w:w="1985" w:type="dxa"/>
            <w:tcBorders>
              <w:top w:val="single" w:sz="4" w:space="0" w:color="auto"/>
              <w:left w:val="nil"/>
              <w:bottom w:val="single" w:sz="4" w:space="0" w:color="auto"/>
              <w:right w:val="single" w:sz="4" w:space="0" w:color="auto"/>
            </w:tcBorders>
            <w:shd w:val="clear" w:color="auto" w:fill="C6EFCE"/>
            <w:noWrap/>
          </w:tcPr>
          <w:p w14:paraId="03DC638D"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Stupanje na snagu Zakona o gospodarenju otpadom </w:t>
            </w:r>
          </w:p>
        </w:tc>
        <w:tc>
          <w:tcPr>
            <w:tcW w:w="992" w:type="dxa"/>
            <w:tcBorders>
              <w:top w:val="single" w:sz="4" w:space="0" w:color="auto"/>
              <w:left w:val="nil"/>
              <w:bottom w:val="single" w:sz="4" w:space="0" w:color="auto"/>
              <w:right w:val="single" w:sz="4" w:space="0" w:color="auto"/>
            </w:tcBorders>
            <w:shd w:val="clear" w:color="auto" w:fill="C6EFCE"/>
            <w:noWrap/>
          </w:tcPr>
          <w:p w14:paraId="38E3CC4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992" w:type="dxa"/>
            <w:tcBorders>
              <w:top w:val="single" w:sz="4" w:space="0" w:color="auto"/>
              <w:left w:val="nil"/>
              <w:bottom w:val="single" w:sz="4" w:space="0" w:color="auto"/>
              <w:right w:val="single" w:sz="4" w:space="0" w:color="auto"/>
            </w:tcBorders>
            <w:shd w:val="clear" w:color="auto" w:fill="C6EFCE"/>
            <w:noWrap/>
          </w:tcPr>
          <w:p w14:paraId="162162A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873" w:type="dxa"/>
            <w:tcBorders>
              <w:top w:val="single" w:sz="4" w:space="0" w:color="auto"/>
              <w:left w:val="nil"/>
              <w:bottom w:val="single" w:sz="4" w:space="0" w:color="auto"/>
              <w:right w:val="single" w:sz="4" w:space="0" w:color="auto"/>
            </w:tcBorders>
            <w:shd w:val="clear" w:color="auto" w:fill="C6EFCE"/>
            <w:noWrap/>
          </w:tcPr>
          <w:p w14:paraId="19D2F28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539" w:type="dxa"/>
            <w:tcBorders>
              <w:top w:val="single" w:sz="4" w:space="0" w:color="auto"/>
              <w:left w:val="nil"/>
              <w:bottom w:val="single" w:sz="4" w:space="0" w:color="auto"/>
              <w:right w:val="single" w:sz="4" w:space="0" w:color="auto"/>
            </w:tcBorders>
            <w:shd w:val="clear" w:color="auto" w:fill="C6EFCE"/>
            <w:noWrap/>
          </w:tcPr>
          <w:p w14:paraId="4CAF8FB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3.</w:t>
            </w:r>
          </w:p>
        </w:tc>
        <w:tc>
          <w:tcPr>
            <w:tcW w:w="856" w:type="dxa"/>
            <w:tcBorders>
              <w:top w:val="single" w:sz="4" w:space="0" w:color="auto"/>
              <w:left w:val="nil"/>
              <w:bottom w:val="single" w:sz="4" w:space="0" w:color="auto"/>
              <w:right w:val="single" w:sz="4" w:space="0" w:color="auto"/>
            </w:tcBorders>
            <w:shd w:val="clear" w:color="auto" w:fill="C6EFCE"/>
            <w:noWrap/>
          </w:tcPr>
          <w:p w14:paraId="06295BC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2021.</w:t>
            </w:r>
          </w:p>
        </w:tc>
        <w:tc>
          <w:tcPr>
            <w:tcW w:w="3686" w:type="dxa"/>
            <w:tcBorders>
              <w:top w:val="single" w:sz="4" w:space="0" w:color="auto"/>
              <w:left w:val="nil"/>
              <w:bottom w:val="single" w:sz="4" w:space="0" w:color="auto"/>
              <w:right w:val="single" w:sz="4" w:space="0" w:color="auto"/>
            </w:tcBorders>
            <w:shd w:val="clear" w:color="auto" w:fill="C6EFCE"/>
            <w:noWrap/>
          </w:tcPr>
          <w:p w14:paraId="7BB314F8"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Novim Zakonom o gospodarenju otpadom uredit će se sprečavanje nastanka otpada, priprema za ponovnu uporabu i recikliranje u skladu s konceptom kružnog gospodarstva i europskim zelenim planom. Zakon će uključivati posebne mjere za potporu kružnom gospodarstvu, tj. razvoj plana za kružno gospodarstvo, programe proširene odgovornosti proizvođača i programe „plati koliko baciš”. Zakonom će se ispuniti sve preporuke Komisije iz Izvješća o ranom upozoravanju za Hrvatsku iz 2018.</w:t>
            </w:r>
          </w:p>
        </w:tc>
      </w:tr>
      <w:tr w:rsidR="00F04409" w:rsidRPr="00AD2AC5" w14:paraId="46D28A20"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D79878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82</w:t>
            </w:r>
          </w:p>
        </w:tc>
        <w:tc>
          <w:tcPr>
            <w:tcW w:w="826" w:type="dxa"/>
            <w:tcBorders>
              <w:top w:val="single" w:sz="4" w:space="0" w:color="auto"/>
              <w:left w:val="nil"/>
              <w:bottom w:val="single" w:sz="4" w:space="0" w:color="auto"/>
              <w:right w:val="single" w:sz="4" w:space="0" w:color="auto"/>
            </w:tcBorders>
            <w:shd w:val="clear" w:color="auto" w:fill="C6EFCE"/>
            <w:noWrap/>
          </w:tcPr>
          <w:p w14:paraId="2A51F64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w:t>
            </w:r>
          </w:p>
        </w:tc>
        <w:tc>
          <w:tcPr>
            <w:tcW w:w="895" w:type="dxa"/>
            <w:tcBorders>
              <w:top w:val="single" w:sz="4" w:space="0" w:color="auto"/>
              <w:left w:val="nil"/>
              <w:bottom w:val="single" w:sz="4" w:space="0" w:color="auto"/>
              <w:right w:val="single" w:sz="4" w:space="0" w:color="auto"/>
            </w:tcBorders>
            <w:shd w:val="clear" w:color="auto" w:fill="C6EFCE"/>
            <w:noWrap/>
          </w:tcPr>
          <w:p w14:paraId="2560E0C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Ključna etapa</w:t>
            </w:r>
          </w:p>
        </w:tc>
        <w:tc>
          <w:tcPr>
            <w:tcW w:w="2248" w:type="dxa"/>
            <w:tcBorders>
              <w:top w:val="single" w:sz="4" w:space="0" w:color="auto"/>
              <w:left w:val="nil"/>
              <w:bottom w:val="single" w:sz="4" w:space="0" w:color="auto"/>
              <w:right w:val="single" w:sz="4" w:space="0" w:color="auto"/>
            </w:tcBorders>
            <w:shd w:val="clear" w:color="auto" w:fill="C6EFCE"/>
            <w:noWrap/>
          </w:tcPr>
          <w:p w14:paraId="109BD882"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Izmjena Plana gospodarenja otpadom Republike Hrvatske za razdoblje 2017.–2022.</w:t>
            </w:r>
          </w:p>
        </w:tc>
        <w:tc>
          <w:tcPr>
            <w:tcW w:w="1985" w:type="dxa"/>
            <w:tcBorders>
              <w:top w:val="single" w:sz="4" w:space="0" w:color="auto"/>
              <w:left w:val="nil"/>
              <w:bottom w:val="single" w:sz="4" w:space="0" w:color="auto"/>
              <w:right w:val="single" w:sz="4" w:space="0" w:color="auto"/>
            </w:tcBorders>
            <w:shd w:val="clear" w:color="auto" w:fill="C6EFCE"/>
            <w:noWrap/>
          </w:tcPr>
          <w:p w14:paraId="45CDBF21"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Objava izmjena Plana gospodarenja otpadom Republike Hrvatske za razdoblje 2017.–2022. u Narodnim novinama</w:t>
            </w:r>
          </w:p>
        </w:tc>
        <w:tc>
          <w:tcPr>
            <w:tcW w:w="992" w:type="dxa"/>
            <w:tcBorders>
              <w:top w:val="single" w:sz="4" w:space="0" w:color="auto"/>
              <w:left w:val="nil"/>
              <w:bottom w:val="single" w:sz="4" w:space="0" w:color="auto"/>
              <w:right w:val="single" w:sz="4" w:space="0" w:color="auto"/>
            </w:tcBorders>
            <w:shd w:val="clear" w:color="auto" w:fill="C6EFCE"/>
            <w:noWrap/>
          </w:tcPr>
          <w:p w14:paraId="012A2EE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992" w:type="dxa"/>
            <w:tcBorders>
              <w:top w:val="single" w:sz="4" w:space="0" w:color="auto"/>
              <w:left w:val="nil"/>
              <w:bottom w:val="single" w:sz="4" w:space="0" w:color="auto"/>
              <w:right w:val="single" w:sz="4" w:space="0" w:color="auto"/>
            </w:tcBorders>
            <w:shd w:val="clear" w:color="auto" w:fill="C6EFCE"/>
            <w:noWrap/>
          </w:tcPr>
          <w:p w14:paraId="4A562C8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873" w:type="dxa"/>
            <w:tcBorders>
              <w:top w:val="single" w:sz="4" w:space="0" w:color="auto"/>
              <w:left w:val="nil"/>
              <w:bottom w:val="single" w:sz="4" w:space="0" w:color="auto"/>
              <w:right w:val="single" w:sz="4" w:space="0" w:color="auto"/>
            </w:tcBorders>
            <w:shd w:val="clear" w:color="auto" w:fill="C6EFCE"/>
            <w:noWrap/>
          </w:tcPr>
          <w:p w14:paraId="66F83F3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539" w:type="dxa"/>
            <w:tcBorders>
              <w:top w:val="single" w:sz="4" w:space="0" w:color="auto"/>
              <w:left w:val="nil"/>
              <w:bottom w:val="single" w:sz="4" w:space="0" w:color="auto"/>
              <w:right w:val="single" w:sz="4" w:space="0" w:color="auto"/>
            </w:tcBorders>
            <w:shd w:val="clear" w:color="auto" w:fill="C6EFCE"/>
            <w:noWrap/>
          </w:tcPr>
          <w:p w14:paraId="5C9E216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3974795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2021.</w:t>
            </w:r>
          </w:p>
        </w:tc>
        <w:tc>
          <w:tcPr>
            <w:tcW w:w="3686" w:type="dxa"/>
            <w:tcBorders>
              <w:top w:val="single" w:sz="4" w:space="0" w:color="auto"/>
              <w:left w:val="nil"/>
              <w:bottom w:val="single" w:sz="4" w:space="0" w:color="auto"/>
              <w:right w:val="single" w:sz="4" w:space="0" w:color="auto"/>
            </w:tcBorders>
            <w:shd w:val="clear" w:color="auto" w:fill="C6EFCE"/>
            <w:noWrap/>
          </w:tcPr>
          <w:p w14:paraId="44608B7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Donošenje i objava revidiranog Plana gospodarenja otpadom Republike Hrvatske za razdoblje 2017.–2022. u skladu s novim akcijskim planom za kružno gospodarstvo, nakon javnih rasprava. U revidiranom planu utvrdit će se cilj u pogledu recikliranja, razvrstavanja, ponovne uporabe i popravka 50 % otpada do 2022., kao i zaseban cilj u pogledu prikupljanja i recikliranja biološkog otpada. Uključivat će i posebne mjere za poticanje ambicija jedinica lokalne i regionalne uprave, kao što su komunikacijske aktivnosti namijenjene osiguravanju odvojenog prikupljanja na izvoru, ili digitalni aspekti. Uključivat će procjenu trenutačnog stanja, postojećih sustava prikupljanja i potrebnih ulaganja za zatvaranje odlagalištâ. Sadržavat će popis prioriteta za planirana ulaganja u otpad, kapacitet budućih postrojenja za obradu otpada te informacije o tome kako će se odrediti lokacije budućih postrojenja. U planu će se razmotriti i potpora izgradnji kapaciteta za provedbu infrastrukturnih projekata.</w:t>
            </w:r>
          </w:p>
        </w:tc>
      </w:tr>
      <w:tr w:rsidR="00F04409" w:rsidRPr="00AD2AC5" w14:paraId="495BED9C"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609D52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83</w:t>
            </w:r>
          </w:p>
        </w:tc>
        <w:tc>
          <w:tcPr>
            <w:tcW w:w="826" w:type="dxa"/>
            <w:tcBorders>
              <w:top w:val="single" w:sz="4" w:space="0" w:color="auto"/>
              <w:left w:val="nil"/>
              <w:bottom w:val="single" w:sz="4" w:space="0" w:color="auto"/>
              <w:right w:val="single" w:sz="4" w:space="0" w:color="auto"/>
            </w:tcBorders>
            <w:shd w:val="clear" w:color="auto" w:fill="C6EFCE"/>
            <w:noWrap/>
          </w:tcPr>
          <w:p w14:paraId="1243FA3D"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w:t>
            </w:r>
          </w:p>
        </w:tc>
        <w:tc>
          <w:tcPr>
            <w:tcW w:w="895" w:type="dxa"/>
            <w:tcBorders>
              <w:top w:val="single" w:sz="4" w:space="0" w:color="auto"/>
              <w:left w:val="nil"/>
              <w:bottom w:val="single" w:sz="4" w:space="0" w:color="auto"/>
              <w:right w:val="single" w:sz="4" w:space="0" w:color="auto"/>
            </w:tcBorders>
            <w:shd w:val="clear" w:color="auto" w:fill="C6EFCE"/>
            <w:noWrap/>
          </w:tcPr>
          <w:p w14:paraId="54E3B64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Ključna etapa</w:t>
            </w:r>
          </w:p>
        </w:tc>
        <w:tc>
          <w:tcPr>
            <w:tcW w:w="2248" w:type="dxa"/>
            <w:tcBorders>
              <w:top w:val="single" w:sz="4" w:space="0" w:color="auto"/>
              <w:left w:val="nil"/>
              <w:bottom w:val="single" w:sz="4" w:space="0" w:color="auto"/>
              <w:right w:val="single" w:sz="4" w:space="0" w:color="auto"/>
            </w:tcBorders>
            <w:shd w:val="clear" w:color="auto" w:fill="C6EFCE"/>
            <w:noWrap/>
          </w:tcPr>
          <w:p w14:paraId="3ED56E08"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Donošenje Plana gospodarenja otpadom Republike Hrvatske za razdoblje 2023.–2029.</w:t>
            </w:r>
          </w:p>
        </w:tc>
        <w:tc>
          <w:tcPr>
            <w:tcW w:w="1985" w:type="dxa"/>
            <w:tcBorders>
              <w:top w:val="single" w:sz="4" w:space="0" w:color="auto"/>
              <w:left w:val="nil"/>
              <w:bottom w:val="single" w:sz="4" w:space="0" w:color="auto"/>
              <w:right w:val="single" w:sz="4" w:space="0" w:color="auto"/>
            </w:tcBorders>
            <w:shd w:val="clear" w:color="auto" w:fill="C6EFCE"/>
            <w:noWrap/>
          </w:tcPr>
          <w:p w14:paraId="1CEAFC61"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Objava Plana gospodarenja otpadom Republike Hrvatske za razdoblje 2023.–2029. u Narodnim novinama</w:t>
            </w:r>
          </w:p>
        </w:tc>
        <w:tc>
          <w:tcPr>
            <w:tcW w:w="992" w:type="dxa"/>
            <w:tcBorders>
              <w:top w:val="single" w:sz="4" w:space="0" w:color="auto"/>
              <w:left w:val="nil"/>
              <w:bottom w:val="single" w:sz="4" w:space="0" w:color="auto"/>
              <w:right w:val="single" w:sz="4" w:space="0" w:color="auto"/>
            </w:tcBorders>
            <w:shd w:val="clear" w:color="auto" w:fill="C6EFCE"/>
            <w:noWrap/>
          </w:tcPr>
          <w:p w14:paraId="7DE0D60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992" w:type="dxa"/>
            <w:tcBorders>
              <w:top w:val="single" w:sz="4" w:space="0" w:color="auto"/>
              <w:left w:val="nil"/>
              <w:bottom w:val="single" w:sz="4" w:space="0" w:color="auto"/>
              <w:right w:val="single" w:sz="4" w:space="0" w:color="auto"/>
            </w:tcBorders>
            <w:shd w:val="clear" w:color="auto" w:fill="C6EFCE"/>
            <w:noWrap/>
          </w:tcPr>
          <w:p w14:paraId="35808F2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873" w:type="dxa"/>
            <w:tcBorders>
              <w:top w:val="single" w:sz="4" w:space="0" w:color="auto"/>
              <w:left w:val="nil"/>
              <w:bottom w:val="single" w:sz="4" w:space="0" w:color="auto"/>
              <w:right w:val="single" w:sz="4" w:space="0" w:color="auto"/>
            </w:tcBorders>
            <w:shd w:val="clear" w:color="auto" w:fill="C6EFCE"/>
            <w:noWrap/>
          </w:tcPr>
          <w:p w14:paraId="1FFFE01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w:t>
            </w:r>
          </w:p>
        </w:tc>
        <w:tc>
          <w:tcPr>
            <w:tcW w:w="539" w:type="dxa"/>
            <w:tcBorders>
              <w:top w:val="single" w:sz="4" w:space="0" w:color="auto"/>
              <w:left w:val="nil"/>
              <w:bottom w:val="single" w:sz="4" w:space="0" w:color="auto"/>
              <w:right w:val="single" w:sz="4" w:space="0" w:color="auto"/>
            </w:tcBorders>
            <w:shd w:val="clear" w:color="auto" w:fill="C6EFCE"/>
            <w:noWrap/>
          </w:tcPr>
          <w:p w14:paraId="3644E34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0BCF8CC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3458AFC5"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Donošenje i objava Plana gospodarenja otpadom Republike Hrvatske za razdoblje 2023.–2029. u vezi s novim ciljevima utvrđenima u Zakonu o gospodarenju otpadom i u Akcijskom planu za kružno gospodarstvo, nakon javnih rasprava. Planom će se utvrditi cilj u pogledu recikliranja, razvrstavanja, ponovne uporabe i popravka najmanje 55 % otpada do 2025. te cilj u pogledu prikupljanja i recikliranja biološkog otpada.</w:t>
            </w:r>
          </w:p>
        </w:tc>
      </w:tr>
      <w:tr w:rsidR="00F04409" w:rsidRPr="00AD2AC5" w14:paraId="1636A296"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66B759B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84</w:t>
            </w:r>
          </w:p>
        </w:tc>
        <w:tc>
          <w:tcPr>
            <w:tcW w:w="826" w:type="dxa"/>
            <w:tcBorders>
              <w:top w:val="single" w:sz="4" w:space="0" w:color="auto"/>
              <w:left w:val="nil"/>
              <w:bottom w:val="single" w:sz="4" w:space="0" w:color="auto"/>
              <w:right w:val="single" w:sz="4" w:space="0" w:color="auto"/>
            </w:tcBorders>
            <w:shd w:val="clear" w:color="auto" w:fill="C6EFCE"/>
            <w:noWrap/>
          </w:tcPr>
          <w:p w14:paraId="22FA2F8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72FE2AA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1BB735FE"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Smanjenje udjela komunalnog otpada upućenog na odlaganje (49 %)</w:t>
            </w:r>
          </w:p>
        </w:tc>
        <w:tc>
          <w:tcPr>
            <w:tcW w:w="1985" w:type="dxa"/>
            <w:tcBorders>
              <w:top w:val="single" w:sz="4" w:space="0" w:color="auto"/>
              <w:left w:val="nil"/>
              <w:bottom w:val="single" w:sz="4" w:space="0" w:color="auto"/>
              <w:right w:val="single" w:sz="4" w:space="0" w:color="auto"/>
            </w:tcBorders>
            <w:shd w:val="clear" w:color="auto" w:fill="C6EFCE"/>
            <w:noWrap/>
          </w:tcPr>
          <w:p w14:paraId="5E9F0559"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59D0A6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(postotak)</w:t>
            </w:r>
          </w:p>
        </w:tc>
        <w:tc>
          <w:tcPr>
            <w:tcW w:w="992" w:type="dxa"/>
            <w:tcBorders>
              <w:top w:val="single" w:sz="4" w:space="0" w:color="auto"/>
              <w:left w:val="nil"/>
              <w:bottom w:val="single" w:sz="4" w:space="0" w:color="auto"/>
              <w:right w:val="single" w:sz="4" w:space="0" w:color="auto"/>
            </w:tcBorders>
            <w:shd w:val="clear" w:color="auto" w:fill="C6EFCE"/>
            <w:noWrap/>
          </w:tcPr>
          <w:p w14:paraId="44A456C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66</w:t>
            </w:r>
          </w:p>
        </w:tc>
        <w:tc>
          <w:tcPr>
            <w:tcW w:w="873" w:type="dxa"/>
            <w:tcBorders>
              <w:top w:val="single" w:sz="4" w:space="0" w:color="auto"/>
              <w:left w:val="nil"/>
              <w:bottom w:val="single" w:sz="4" w:space="0" w:color="auto"/>
              <w:right w:val="single" w:sz="4" w:space="0" w:color="auto"/>
            </w:tcBorders>
            <w:shd w:val="clear" w:color="auto" w:fill="C6EFCE"/>
            <w:noWrap/>
          </w:tcPr>
          <w:p w14:paraId="6FA0D4F8"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49</w:t>
            </w:r>
          </w:p>
        </w:tc>
        <w:tc>
          <w:tcPr>
            <w:tcW w:w="539" w:type="dxa"/>
            <w:tcBorders>
              <w:top w:val="single" w:sz="4" w:space="0" w:color="auto"/>
              <w:left w:val="nil"/>
              <w:bottom w:val="single" w:sz="4" w:space="0" w:color="auto"/>
              <w:right w:val="single" w:sz="4" w:space="0" w:color="auto"/>
            </w:tcBorders>
            <w:shd w:val="clear" w:color="auto" w:fill="C6EFCE"/>
            <w:noWrap/>
          </w:tcPr>
          <w:p w14:paraId="08172A6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7BC2721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6D9F6019"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Udio komunalnog otpada upućenog na odlaganje smanjit će se na 49 % zahvaljujući ulaganjima u infrastrukturu radi smanjenja odlaganja otpada na odlagališta što uključuje uspostavu centara za ponovnu uporabu, izgradnju postrojenja za razvrstavanje odvojeno prikupljenog komunalnog otpada, izgradnju postrojenja za biološku obradu odvojeno prikupljenog biootpada, izgradnju i opremanje reciklažnih dvorišta i reciklažnih dvorišta za građevinski otpad, nabavu opreme za odvojeno prikupljanje korisnih frakcija komunalnog otpada.</w:t>
            </w:r>
          </w:p>
        </w:tc>
      </w:tr>
      <w:tr w:rsidR="00F04409" w:rsidRPr="00AD2AC5" w14:paraId="5F3C4EBC"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907FF9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85</w:t>
            </w:r>
          </w:p>
        </w:tc>
        <w:tc>
          <w:tcPr>
            <w:tcW w:w="826" w:type="dxa"/>
            <w:tcBorders>
              <w:top w:val="single" w:sz="4" w:space="0" w:color="auto"/>
              <w:left w:val="nil"/>
              <w:bottom w:val="single" w:sz="4" w:space="0" w:color="auto"/>
              <w:right w:val="single" w:sz="4" w:space="0" w:color="auto"/>
            </w:tcBorders>
            <w:shd w:val="clear" w:color="auto" w:fill="C6EFCE"/>
            <w:noWrap/>
          </w:tcPr>
          <w:p w14:paraId="52E4954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263E92D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49940CBC" w14:textId="5B8223CF" w:rsidR="00733DCA" w:rsidRPr="00AD2AC5" w:rsidRDefault="00733DCA" w:rsidP="0001477B">
            <w:pPr>
              <w:spacing w:after="200" w:line="276" w:lineRule="auto"/>
              <w:rPr>
                <w:rFonts w:eastAsia="Calibri" w:cstheme="minorHAnsi"/>
                <w:noProof/>
                <w:sz w:val="20"/>
                <w:szCs w:val="20"/>
              </w:rPr>
            </w:pPr>
            <w:r>
              <w:rPr>
                <w:noProof/>
                <w:color w:val="000000" w:themeColor="text1"/>
                <w:sz w:val="20"/>
              </w:rPr>
              <w:t>Smanjenje udjela komunalnog otpada upućenog na odlaganje (51 %)</w:t>
            </w:r>
          </w:p>
        </w:tc>
        <w:tc>
          <w:tcPr>
            <w:tcW w:w="1985" w:type="dxa"/>
            <w:tcBorders>
              <w:top w:val="single" w:sz="4" w:space="0" w:color="auto"/>
              <w:left w:val="nil"/>
              <w:bottom w:val="single" w:sz="4" w:space="0" w:color="auto"/>
              <w:right w:val="single" w:sz="4" w:space="0" w:color="auto"/>
            </w:tcBorders>
            <w:shd w:val="clear" w:color="auto" w:fill="C6EFCE"/>
            <w:noWrap/>
          </w:tcPr>
          <w:p w14:paraId="4FB95ED7"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578301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(postotak)</w:t>
            </w:r>
          </w:p>
        </w:tc>
        <w:tc>
          <w:tcPr>
            <w:tcW w:w="992" w:type="dxa"/>
            <w:tcBorders>
              <w:top w:val="single" w:sz="4" w:space="0" w:color="auto"/>
              <w:left w:val="nil"/>
              <w:bottom w:val="single" w:sz="4" w:space="0" w:color="auto"/>
              <w:right w:val="single" w:sz="4" w:space="0" w:color="auto"/>
            </w:tcBorders>
            <w:shd w:val="clear" w:color="auto" w:fill="C6EFCE"/>
            <w:noWrap/>
          </w:tcPr>
          <w:p w14:paraId="3ED93E2A" w14:textId="78430778"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56</w:t>
            </w:r>
          </w:p>
        </w:tc>
        <w:tc>
          <w:tcPr>
            <w:tcW w:w="873" w:type="dxa"/>
            <w:tcBorders>
              <w:top w:val="single" w:sz="4" w:space="0" w:color="auto"/>
              <w:left w:val="nil"/>
              <w:bottom w:val="single" w:sz="4" w:space="0" w:color="auto"/>
              <w:right w:val="single" w:sz="4" w:space="0" w:color="auto"/>
            </w:tcBorders>
            <w:shd w:val="clear" w:color="auto" w:fill="C6EFCE"/>
            <w:noWrap/>
          </w:tcPr>
          <w:p w14:paraId="2F32B55D" w14:textId="3FA8ED09" w:rsidR="00733DCA" w:rsidRPr="00AD2AC5" w:rsidRDefault="00733DCA" w:rsidP="0001477B">
            <w:pPr>
              <w:spacing w:after="200" w:line="276" w:lineRule="auto"/>
              <w:jc w:val="center"/>
              <w:rPr>
                <w:rFonts w:eastAsia="Calibri" w:cstheme="minorHAnsi"/>
                <w:noProof/>
                <w:color w:val="000000" w:themeColor="text1"/>
                <w:sz w:val="20"/>
                <w:szCs w:val="20"/>
              </w:rPr>
            </w:pPr>
            <w:r>
              <w:rPr>
                <w:noProof/>
                <w:color w:val="000000" w:themeColor="text1"/>
                <w:sz w:val="20"/>
              </w:rPr>
              <w:t>51</w:t>
            </w:r>
          </w:p>
        </w:tc>
        <w:tc>
          <w:tcPr>
            <w:tcW w:w="539" w:type="dxa"/>
            <w:tcBorders>
              <w:top w:val="single" w:sz="4" w:space="0" w:color="auto"/>
              <w:left w:val="nil"/>
              <w:bottom w:val="single" w:sz="4" w:space="0" w:color="auto"/>
              <w:right w:val="single" w:sz="4" w:space="0" w:color="auto"/>
            </w:tcBorders>
            <w:shd w:val="clear" w:color="auto" w:fill="C6EFCE"/>
            <w:noWrap/>
          </w:tcPr>
          <w:p w14:paraId="47647E0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7544038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2024.</w:t>
            </w:r>
          </w:p>
        </w:tc>
        <w:tc>
          <w:tcPr>
            <w:tcW w:w="3686" w:type="dxa"/>
            <w:tcBorders>
              <w:top w:val="single" w:sz="4" w:space="0" w:color="auto"/>
              <w:left w:val="nil"/>
              <w:bottom w:val="single" w:sz="4" w:space="0" w:color="auto"/>
              <w:right w:val="single" w:sz="4" w:space="0" w:color="auto"/>
            </w:tcBorders>
            <w:shd w:val="clear" w:color="auto" w:fill="C6EFCE"/>
            <w:noWrap/>
          </w:tcPr>
          <w:p w14:paraId="4D4806DE" w14:textId="637CDF0C" w:rsidR="00733DCA" w:rsidRPr="00AD2AC5" w:rsidRDefault="00733DCA" w:rsidP="0001477B">
            <w:pPr>
              <w:spacing w:after="200" w:line="276" w:lineRule="auto"/>
              <w:rPr>
                <w:rFonts w:eastAsia="Calibri"/>
                <w:noProof/>
                <w:color w:val="000000" w:themeColor="text1"/>
                <w:sz w:val="20"/>
                <w:szCs w:val="20"/>
              </w:rPr>
            </w:pPr>
            <w:r>
              <w:rPr>
                <w:noProof/>
                <w:color w:val="000000" w:themeColor="text1"/>
                <w:sz w:val="20"/>
              </w:rPr>
              <w:t>Udio komunalnog otpada upućenog na odlaganje smanjit će se s početnih 56 % iz 2022. na 51 % zahvaljujući ulaganjima u infrastrukturu radi smanjenja odlaganja otpada na odlagališta što uključuje uspostavu centara za ponovnu uporabu, izgradnju postrojenja za razvrstavanje odvojeno prikupljenog komunalnog otpada, izgradnju postrojenja za biološku obradu odvojeno prikupljenog biootpada, izgradnju i opremanje reciklažnih dvorišta i reciklažnih dvorišta za građevinski otpad, nabavu opreme za odvojeno prikupljanje korisnih frakcija komunalnog otpada. Udio komunalnog otpada upućenog na odlaganje izračunavat će se u skladu s metodologijom propisanom u Provedbenoj odluci Komisije (EU) 2019/1004 o utvrđivanju pravila za izračun, provjeru i dostavu podataka o otpadu u skladu s Direktivom 2008/98/EZ.</w:t>
            </w:r>
          </w:p>
        </w:tc>
      </w:tr>
      <w:tr w:rsidR="00F04409" w:rsidRPr="00AD2AC5" w14:paraId="11853CCD"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7A5653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86</w:t>
            </w:r>
          </w:p>
        </w:tc>
        <w:tc>
          <w:tcPr>
            <w:tcW w:w="826" w:type="dxa"/>
            <w:tcBorders>
              <w:top w:val="single" w:sz="4" w:space="0" w:color="auto"/>
              <w:left w:val="nil"/>
              <w:bottom w:val="single" w:sz="4" w:space="0" w:color="auto"/>
              <w:right w:val="single" w:sz="4" w:space="0" w:color="auto"/>
            </w:tcBorders>
            <w:shd w:val="clear" w:color="auto" w:fill="C6EFCE"/>
            <w:noWrap/>
          </w:tcPr>
          <w:p w14:paraId="0F284CB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1814C82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704E48D1"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Izgrađeni objekti za razvrstavanje</w:t>
            </w:r>
          </w:p>
        </w:tc>
        <w:tc>
          <w:tcPr>
            <w:tcW w:w="1985" w:type="dxa"/>
            <w:tcBorders>
              <w:top w:val="single" w:sz="4" w:space="0" w:color="auto"/>
              <w:left w:val="nil"/>
              <w:bottom w:val="single" w:sz="4" w:space="0" w:color="auto"/>
              <w:right w:val="single" w:sz="4" w:space="0" w:color="auto"/>
            </w:tcBorders>
            <w:shd w:val="clear" w:color="auto" w:fill="C6EFCE"/>
            <w:noWrap/>
          </w:tcPr>
          <w:p w14:paraId="064C67ED"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3C3B951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54D34A5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48D844F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6</w:t>
            </w:r>
          </w:p>
        </w:tc>
        <w:tc>
          <w:tcPr>
            <w:tcW w:w="539" w:type="dxa"/>
            <w:tcBorders>
              <w:top w:val="single" w:sz="4" w:space="0" w:color="auto"/>
              <w:left w:val="nil"/>
              <w:bottom w:val="single" w:sz="4" w:space="0" w:color="auto"/>
              <w:right w:val="single" w:sz="4" w:space="0" w:color="auto"/>
            </w:tcBorders>
            <w:shd w:val="clear" w:color="auto" w:fill="C6EFCE"/>
            <w:noWrap/>
          </w:tcPr>
          <w:p w14:paraId="2BDADBFA" w14:textId="054F743A"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0635BF4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6F85FEF"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Najmanje šest postrojenja za razvrstavanje izgrađeno je i u funkciji u sustavu gospodarenja komunalnim otpadom.</w:t>
            </w:r>
            <w:r>
              <w:rPr>
                <w:noProof/>
                <w:color w:val="000000"/>
                <w:sz w:val="20"/>
              </w:rPr>
              <w:br/>
              <w:t>Dostavit će se dokazi o usklađenosti s postupcima odobrenja na temelju procjene utjecaja na okoliš u skladu s Direktivom 2011/92/EU.</w:t>
            </w:r>
          </w:p>
        </w:tc>
      </w:tr>
      <w:tr w:rsidR="00F04409" w:rsidRPr="00AD2AC5" w14:paraId="7EDE821F"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F7A4A4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87</w:t>
            </w:r>
          </w:p>
        </w:tc>
        <w:tc>
          <w:tcPr>
            <w:tcW w:w="826" w:type="dxa"/>
            <w:tcBorders>
              <w:top w:val="single" w:sz="4" w:space="0" w:color="auto"/>
              <w:left w:val="nil"/>
              <w:bottom w:val="single" w:sz="4" w:space="0" w:color="auto"/>
              <w:right w:val="single" w:sz="4" w:space="0" w:color="auto"/>
            </w:tcBorders>
            <w:shd w:val="clear" w:color="auto" w:fill="C6EFCE"/>
            <w:noWrap/>
          </w:tcPr>
          <w:p w14:paraId="5181774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6EC938E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3897ED06"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Izgrađeni objekti za obradu odvojeno prikupljenog biootpada</w:t>
            </w:r>
          </w:p>
        </w:tc>
        <w:tc>
          <w:tcPr>
            <w:tcW w:w="1985" w:type="dxa"/>
            <w:tcBorders>
              <w:top w:val="single" w:sz="4" w:space="0" w:color="auto"/>
              <w:left w:val="nil"/>
              <w:bottom w:val="single" w:sz="4" w:space="0" w:color="auto"/>
              <w:right w:val="single" w:sz="4" w:space="0" w:color="auto"/>
            </w:tcBorders>
            <w:shd w:val="clear" w:color="auto" w:fill="C6EFCE"/>
            <w:noWrap/>
          </w:tcPr>
          <w:p w14:paraId="376CDE90"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6A31CE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1A993EB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04078FB5" w14:textId="009EC2D8"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3</w:t>
            </w:r>
          </w:p>
        </w:tc>
        <w:tc>
          <w:tcPr>
            <w:tcW w:w="539" w:type="dxa"/>
            <w:tcBorders>
              <w:top w:val="single" w:sz="4" w:space="0" w:color="auto"/>
              <w:left w:val="nil"/>
              <w:bottom w:val="single" w:sz="4" w:space="0" w:color="auto"/>
              <w:right w:val="single" w:sz="4" w:space="0" w:color="auto"/>
            </w:tcBorders>
            <w:shd w:val="clear" w:color="auto" w:fill="C6EFCE"/>
            <w:noWrap/>
          </w:tcPr>
          <w:p w14:paraId="3120C016" w14:textId="43C45DB7"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5075E1B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560D52A" w14:textId="33A15723" w:rsidR="00733DCA" w:rsidRPr="00AD2AC5" w:rsidRDefault="00733DCA" w:rsidP="0001477B">
            <w:pPr>
              <w:spacing w:after="200" w:line="276" w:lineRule="auto"/>
              <w:rPr>
                <w:rFonts w:eastAsia="Calibri" w:cstheme="minorHAnsi"/>
                <w:noProof/>
                <w:sz w:val="20"/>
                <w:szCs w:val="20"/>
              </w:rPr>
            </w:pPr>
            <w:r>
              <w:rPr>
                <w:noProof/>
                <w:color w:val="000000" w:themeColor="text1"/>
                <w:sz w:val="20"/>
              </w:rPr>
              <w:t>Najmanje tri postrojenja za obradu odvojeno prikupljenog biootpada izgrađeno je i u funkciji.</w:t>
            </w:r>
            <w:r>
              <w:rPr>
                <w:noProof/>
                <w:sz w:val="20"/>
              </w:rPr>
              <w:br/>
            </w:r>
            <w:r>
              <w:rPr>
                <w:noProof/>
                <w:color w:val="000000" w:themeColor="text1"/>
                <w:sz w:val="20"/>
              </w:rPr>
              <w:t>Dostavit će se dokazi o usklađenosti s postupcima odobrenja na temelju procjene utjecaja na okoliš u skladu s Direktivom 2011/92/EU.</w:t>
            </w:r>
          </w:p>
        </w:tc>
      </w:tr>
      <w:tr w:rsidR="00F04409" w:rsidRPr="00AD2AC5" w14:paraId="6D556C66"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932E59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88</w:t>
            </w:r>
          </w:p>
        </w:tc>
        <w:tc>
          <w:tcPr>
            <w:tcW w:w="826" w:type="dxa"/>
            <w:tcBorders>
              <w:top w:val="single" w:sz="4" w:space="0" w:color="auto"/>
              <w:left w:val="nil"/>
              <w:bottom w:val="single" w:sz="4" w:space="0" w:color="auto"/>
              <w:right w:val="single" w:sz="4" w:space="0" w:color="auto"/>
            </w:tcBorders>
            <w:shd w:val="clear" w:color="auto" w:fill="C6EFCE"/>
            <w:noWrap/>
          </w:tcPr>
          <w:p w14:paraId="709F5F5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2D1AA737"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728DAB70"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Funkcionalna fiksna/mobilna lokacija za razvrstavanje otpada</w:t>
            </w:r>
          </w:p>
        </w:tc>
        <w:tc>
          <w:tcPr>
            <w:tcW w:w="1985" w:type="dxa"/>
            <w:tcBorders>
              <w:top w:val="single" w:sz="4" w:space="0" w:color="auto"/>
              <w:left w:val="nil"/>
              <w:bottom w:val="single" w:sz="4" w:space="0" w:color="auto"/>
              <w:right w:val="single" w:sz="4" w:space="0" w:color="auto"/>
            </w:tcBorders>
            <w:shd w:val="clear" w:color="auto" w:fill="C6EFCE"/>
            <w:noWrap/>
          </w:tcPr>
          <w:p w14:paraId="3FF6EC50"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7ED48004"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39401A2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6B3932F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w:t>
            </w:r>
          </w:p>
        </w:tc>
        <w:tc>
          <w:tcPr>
            <w:tcW w:w="539" w:type="dxa"/>
            <w:tcBorders>
              <w:top w:val="single" w:sz="4" w:space="0" w:color="auto"/>
              <w:left w:val="nil"/>
              <w:bottom w:val="single" w:sz="4" w:space="0" w:color="auto"/>
              <w:right w:val="single" w:sz="4" w:space="0" w:color="auto"/>
            </w:tcBorders>
            <w:shd w:val="clear" w:color="auto" w:fill="C6EFCE"/>
            <w:noWrap/>
          </w:tcPr>
          <w:p w14:paraId="0C645EC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3.</w:t>
            </w:r>
          </w:p>
        </w:tc>
        <w:tc>
          <w:tcPr>
            <w:tcW w:w="856" w:type="dxa"/>
            <w:tcBorders>
              <w:top w:val="single" w:sz="4" w:space="0" w:color="auto"/>
              <w:left w:val="nil"/>
              <w:bottom w:val="single" w:sz="4" w:space="0" w:color="auto"/>
              <w:right w:val="single" w:sz="4" w:space="0" w:color="auto"/>
            </w:tcBorders>
            <w:shd w:val="clear" w:color="auto" w:fill="C6EFCE"/>
            <w:noWrap/>
          </w:tcPr>
          <w:p w14:paraId="0194013C"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26001C96"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Najmanje 20 fiksnih/mobilnih lokacija za razvrstavanje otpada nabavljeno je i u funkciji, prvenstveno u obalnim i otočnim općinama. </w:t>
            </w:r>
            <w:r>
              <w:rPr>
                <w:noProof/>
                <w:color w:val="000000"/>
                <w:sz w:val="20"/>
              </w:rPr>
              <w:br/>
              <w:t>Dostavit će se dokazi o usklađenosti s postupcima odobrenja na temelju procjene utjecaja na okoliš u skladu s Direktivom 2011/92/EU.</w:t>
            </w:r>
          </w:p>
        </w:tc>
      </w:tr>
      <w:tr w:rsidR="00F04409" w:rsidRPr="00AD2AC5" w14:paraId="5980F60A"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12C7C75"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89</w:t>
            </w:r>
          </w:p>
        </w:tc>
        <w:tc>
          <w:tcPr>
            <w:tcW w:w="826" w:type="dxa"/>
            <w:tcBorders>
              <w:top w:val="single" w:sz="4" w:space="0" w:color="auto"/>
              <w:left w:val="nil"/>
              <w:bottom w:val="single" w:sz="4" w:space="0" w:color="auto"/>
              <w:right w:val="single" w:sz="4" w:space="0" w:color="auto"/>
            </w:tcBorders>
            <w:shd w:val="clear" w:color="auto" w:fill="C6EFCE"/>
            <w:noWrap/>
          </w:tcPr>
          <w:p w14:paraId="22AF45E2"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3918BD7A"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0529D684" w14:textId="77949BA7" w:rsidR="00733DCA" w:rsidRPr="00AD2AC5" w:rsidRDefault="00733DCA" w:rsidP="0001477B">
            <w:pPr>
              <w:spacing w:after="200" w:line="276" w:lineRule="auto"/>
              <w:rPr>
                <w:rFonts w:eastAsia="Calibri" w:cstheme="minorHAnsi"/>
                <w:noProof/>
                <w:sz w:val="20"/>
                <w:szCs w:val="20"/>
              </w:rPr>
            </w:pPr>
            <w:r>
              <w:rPr>
                <w:noProof/>
                <w:color w:val="000000" w:themeColor="text1"/>
                <w:sz w:val="20"/>
              </w:rPr>
              <w:t>Smanjenje udjela komunalnog otpada upućenog na odlaganje (45 %)</w:t>
            </w:r>
          </w:p>
        </w:tc>
        <w:tc>
          <w:tcPr>
            <w:tcW w:w="1985" w:type="dxa"/>
            <w:tcBorders>
              <w:top w:val="single" w:sz="4" w:space="0" w:color="auto"/>
              <w:left w:val="nil"/>
              <w:bottom w:val="single" w:sz="4" w:space="0" w:color="auto"/>
              <w:right w:val="single" w:sz="4" w:space="0" w:color="auto"/>
            </w:tcBorders>
            <w:shd w:val="clear" w:color="auto" w:fill="C6EFCE"/>
            <w:noWrap/>
          </w:tcPr>
          <w:p w14:paraId="31173203"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1E66F6F"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 (postotak)</w:t>
            </w:r>
          </w:p>
        </w:tc>
        <w:tc>
          <w:tcPr>
            <w:tcW w:w="992" w:type="dxa"/>
            <w:tcBorders>
              <w:top w:val="single" w:sz="4" w:space="0" w:color="auto"/>
              <w:left w:val="nil"/>
              <w:bottom w:val="single" w:sz="4" w:space="0" w:color="auto"/>
              <w:right w:val="single" w:sz="4" w:space="0" w:color="auto"/>
            </w:tcBorders>
            <w:shd w:val="clear" w:color="auto" w:fill="C6EFCE"/>
            <w:noWrap/>
          </w:tcPr>
          <w:p w14:paraId="604DE710" w14:textId="36695CAE"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56</w:t>
            </w:r>
          </w:p>
        </w:tc>
        <w:tc>
          <w:tcPr>
            <w:tcW w:w="873" w:type="dxa"/>
            <w:tcBorders>
              <w:top w:val="single" w:sz="4" w:space="0" w:color="auto"/>
              <w:left w:val="nil"/>
              <w:bottom w:val="single" w:sz="4" w:space="0" w:color="auto"/>
              <w:right w:val="single" w:sz="4" w:space="0" w:color="auto"/>
            </w:tcBorders>
            <w:shd w:val="clear" w:color="auto" w:fill="C6EFCE"/>
            <w:noWrap/>
          </w:tcPr>
          <w:p w14:paraId="27A646AD" w14:textId="753A7AFD"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45</w:t>
            </w:r>
          </w:p>
        </w:tc>
        <w:tc>
          <w:tcPr>
            <w:tcW w:w="539" w:type="dxa"/>
            <w:tcBorders>
              <w:top w:val="single" w:sz="4" w:space="0" w:color="auto"/>
              <w:left w:val="nil"/>
              <w:bottom w:val="single" w:sz="4" w:space="0" w:color="auto"/>
              <w:right w:val="single" w:sz="4" w:space="0" w:color="auto"/>
            </w:tcBorders>
            <w:shd w:val="clear" w:color="auto" w:fill="C6EFCE"/>
            <w:noWrap/>
          </w:tcPr>
          <w:p w14:paraId="30F229F9" w14:textId="787857B6"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5541081A" w14:textId="2A983144" w:rsidR="00733DCA" w:rsidRPr="00AD2AC5" w:rsidRDefault="00733DCA" w:rsidP="0001477B">
            <w:pPr>
              <w:spacing w:after="200" w:line="276" w:lineRule="auto"/>
              <w:jc w:val="center"/>
              <w:rPr>
                <w:rFonts w:eastAsia="Calibri" w:cstheme="minorHAnsi"/>
                <w:noProof/>
                <w:sz w:val="20"/>
                <w:szCs w:val="20"/>
              </w:rPr>
            </w:pPr>
            <w:r>
              <w:rPr>
                <w:noProof/>
                <w:color w:val="000000" w:themeColor="text1"/>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3AE0B4B2" w14:textId="377C8510" w:rsidR="00733DCA" w:rsidRPr="00AD2AC5" w:rsidRDefault="00733DCA" w:rsidP="0001477B">
            <w:pPr>
              <w:spacing w:after="200" w:line="276" w:lineRule="auto"/>
              <w:rPr>
                <w:rFonts w:eastAsia="Calibri"/>
                <w:noProof/>
                <w:color w:val="000000" w:themeColor="text1"/>
                <w:sz w:val="20"/>
                <w:szCs w:val="20"/>
              </w:rPr>
            </w:pPr>
            <w:r>
              <w:rPr>
                <w:noProof/>
                <w:color w:val="000000" w:themeColor="text1"/>
                <w:sz w:val="20"/>
              </w:rPr>
              <w:t>Udio komunalnog otpada upućenog na odlaganje smanjit će se s početnih 56 % iz 2022. na 45 % zahvaljujući ulaganjima u infrastrukturu radi smanjenja odlaganja otpada na odlagališta što uključuje uspostavu centara za ponovnu uporabu, izgradnju postrojenja za razvrstavanje odvojeno prikupljenog komunalnog otpada, izgradnju postrojenja za biološku obradu odvojeno prikupljenog biootpada, izgradnju i opremanje reciklažnih dvorišta i reciklažnih dvorišta za građevinski otpad, nabavu opreme za odvojeno prikupljanje korisnih frakcija komunalnog otpada. Udio komunalnog otpada upućenog na odlaganje izračunavat će se u skladu s metodologijom propisanom u Provedbenoj odluci Komisije (EU) 2019/1004 o utvrđivanju pravila za izračun, provjeru i dostavu podataka o otpadu u skladu s Direktivom 2008/98/EZ.</w:t>
            </w:r>
          </w:p>
        </w:tc>
      </w:tr>
      <w:tr w:rsidR="00F04409" w:rsidRPr="00AD2AC5" w14:paraId="66029367"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36BD49E"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90</w:t>
            </w:r>
          </w:p>
        </w:tc>
        <w:tc>
          <w:tcPr>
            <w:tcW w:w="826" w:type="dxa"/>
            <w:tcBorders>
              <w:top w:val="single" w:sz="4" w:space="0" w:color="auto"/>
              <w:left w:val="nil"/>
              <w:bottom w:val="single" w:sz="4" w:space="0" w:color="auto"/>
              <w:right w:val="single" w:sz="4" w:space="0" w:color="auto"/>
            </w:tcBorders>
            <w:shd w:val="clear" w:color="auto" w:fill="C6EFCE"/>
            <w:noWrap/>
          </w:tcPr>
          <w:p w14:paraId="1AC89C53"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C1.3. R2-I2</w:t>
            </w:r>
          </w:p>
        </w:tc>
        <w:tc>
          <w:tcPr>
            <w:tcW w:w="895" w:type="dxa"/>
            <w:tcBorders>
              <w:top w:val="single" w:sz="4" w:space="0" w:color="auto"/>
              <w:left w:val="nil"/>
              <w:bottom w:val="single" w:sz="4" w:space="0" w:color="auto"/>
              <w:right w:val="single" w:sz="4" w:space="0" w:color="auto"/>
            </w:tcBorders>
            <w:shd w:val="clear" w:color="auto" w:fill="C6EFCE"/>
            <w:noWrap/>
          </w:tcPr>
          <w:p w14:paraId="1D21D759"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364F37D7"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Sanacija zatvorenih odlagališta</w:t>
            </w:r>
          </w:p>
        </w:tc>
        <w:tc>
          <w:tcPr>
            <w:tcW w:w="1985" w:type="dxa"/>
            <w:tcBorders>
              <w:top w:val="single" w:sz="4" w:space="0" w:color="auto"/>
              <w:left w:val="nil"/>
              <w:bottom w:val="single" w:sz="4" w:space="0" w:color="auto"/>
              <w:right w:val="single" w:sz="4" w:space="0" w:color="auto"/>
            </w:tcBorders>
            <w:shd w:val="clear" w:color="auto" w:fill="C6EFCE"/>
            <w:noWrap/>
          </w:tcPr>
          <w:p w14:paraId="181E0A06"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37356A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0ACF3F26"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4BB6546B"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10</w:t>
            </w:r>
          </w:p>
        </w:tc>
        <w:tc>
          <w:tcPr>
            <w:tcW w:w="539" w:type="dxa"/>
            <w:tcBorders>
              <w:top w:val="single" w:sz="4" w:space="0" w:color="auto"/>
              <w:left w:val="nil"/>
              <w:bottom w:val="single" w:sz="4" w:space="0" w:color="auto"/>
              <w:right w:val="single" w:sz="4" w:space="0" w:color="auto"/>
            </w:tcBorders>
            <w:shd w:val="clear" w:color="auto" w:fill="C6EFCE"/>
            <w:noWrap/>
          </w:tcPr>
          <w:p w14:paraId="2CD16EE1"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w:t>
            </w:r>
          </w:p>
        </w:tc>
        <w:tc>
          <w:tcPr>
            <w:tcW w:w="856" w:type="dxa"/>
            <w:tcBorders>
              <w:top w:val="single" w:sz="4" w:space="0" w:color="auto"/>
              <w:left w:val="nil"/>
              <w:bottom w:val="single" w:sz="4" w:space="0" w:color="auto"/>
              <w:right w:val="single" w:sz="4" w:space="0" w:color="auto"/>
            </w:tcBorders>
            <w:shd w:val="clear" w:color="auto" w:fill="C6EFCE"/>
            <w:noWrap/>
          </w:tcPr>
          <w:p w14:paraId="799777B0" w14:textId="77777777" w:rsidR="00733DCA" w:rsidRPr="00AD2AC5" w:rsidRDefault="00733DCA" w:rsidP="0001477B">
            <w:pPr>
              <w:spacing w:after="200" w:line="276" w:lineRule="auto"/>
              <w:jc w:val="center"/>
              <w:rPr>
                <w:rFonts w:eastAsia="Calibri" w:cstheme="minorHAnsi"/>
                <w:noProof/>
                <w:sz w:val="20"/>
                <w:szCs w:val="20"/>
              </w:rPr>
            </w:pPr>
            <w:r>
              <w:rPr>
                <w:noProof/>
                <w:color w:val="000000"/>
                <w:sz w:val="20"/>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2D7A5DB" w14:textId="77777777" w:rsidR="00733DCA" w:rsidRPr="00AD2AC5" w:rsidRDefault="00733DCA" w:rsidP="0001477B">
            <w:pPr>
              <w:spacing w:after="200" w:line="276" w:lineRule="auto"/>
              <w:rPr>
                <w:rFonts w:eastAsia="Calibri" w:cstheme="minorHAnsi"/>
                <w:noProof/>
                <w:sz w:val="20"/>
                <w:szCs w:val="20"/>
              </w:rPr>
            </w:pPr>
            <w:r>
              <w:rPr>
                <w:noProof/>
                <w:color w:val="000000"/>
                <w:sz w:val="20"/>
              </w:rPr>
              <w:t>Očišćeno najmanje 10 odlagališta/lokacija. Ulaganja obuhvaćaju sanacije zatvorenih odlagališta koja moraju biti sanirana tako da su navedene lokacije usklađene s kriterijima Direktive 1999/31/EZ, kao i sanacije lokacija onečišćenih opasnim otpadom što među ostalim uključuje i aktivnosti uklanjanja i obrade otpada i sanacije tla.</w:t>
            </w:r>
          </w:p>
        </w:tc>
      </w:tr>
      <w:tr w:rsidR="00FB14B5" w:rsidRPr="00AD2AC5" w14:paraId="1360E07F"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13F7939"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378</w:t>
            </w:r>
          </w:p>
        </w:tc>
        <w:tc>
          <w:tcPr>
            <w:tcW w:w="826" w:type="dxa"/>
            <w:tcBorders>
              <w:top w:val="single" w:sz="4" w:space="0" w:color="auto"/>
              <w:left w:val="nil"/>
              <w:bottom w:val="single" w:sz="4" w:space="0" w:color="auto"/>
              <w:right w:val="single" w:sz="4" w:space="0" w:color="auto"/>
            </w:tcBorders>
            <w:shd w:val="clear" w:color="auto" w:fill="C6EFCE"/>
            <w:noWrap/>
          </w:tcPr>
          <w:p w14:paraId="3B1A5D85"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C1.3. R2-I1</w:t>
            </w:r>
          </w:p>
          <w:p w14:paraId="7D827AAC" w14:textId="77777777" w:rsidR="00FB14B5" w:rsidRPr="00AD2AC5" w:rsidRDefault="00FB14B5" w:rsidP="00214953">
            <w:pPr>
              <w:spacing w:after="200" w:line="276" w:lineRule="auto"/>
              <w:jc w:val="center"/>
              <w:rPr>
                <w:rFonts w:eastAsia="Calibri" w:cstheme="minorHAnsi"/>
                <w:noProof/>
                <w:color w:val="000000"/>
                <w:sz w:val="20"/>
                <w:szCs w:val="20"/>
                <w:lang w:val="en-GB"/>
              </w:rPr>
            </w:pPr>
          </w:p>
        </w:tc>
        <w:tc>
          <w:tcPr>
            <w:tcW w:w="895" w:type="dxa"/>
            <w:tcBorders>
              <w:top w:val="single" w:sz="4" w:space="0" w:color="auto"/>
              <w:left w:val="nil"/>
              <w:bottom w:val="single" w:sz="4" w:space="0" w:color="auto"/>
              <w:right w:val="single" w:sz="4" w:space="0" w:color="auto"/>
            </w:tcBorders>
            <w:shd w:val="clear" w:color="auto" w:fill="C6EFCE"/>
            <w:noWrap/>
          </w:tcPr>
          <w:p w14:paraId="11A92401"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Ključna etapa</w:t>
            </w:r>
          </w:p>
        </w:tc>
        <w:tc>
          <w:tcPr>
            <w:tcW w:w="2248" w:type="dxa"/>
            <w:tcBorders>
              <w:top w:val="single" w:sz="4" w:space="0" w:color="auto"/>
              <w:left w:val="nil"/>
              <w:bottom w:val="single" w:sz="4" w:space="0" w:color="auto"/>
              <w:right w:val="single" w:sz="4" w:space="0" w:color="auto"/>
            </w:tcBorders>
            <w:shd w:val="clear" w:color="auto" w:fill="C6EFCE"/>
            <w:noWrap/>
          </w:tcPr>
          <w:p w14:paraId="20D6F63C"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Stupanje na snagu Uredbe o naknadi zbog korištenja odlagališta</w:t>
            </w:r>
          </w:p>
          <w:p w14:paraId="71B1144A" w14:textId="77777777" w:rsidR="00FB14B5" w:rsidRPr="00BC0323" w:rsidRDefault="00FB14B5" w:rsidP="00214953">
            <w:pPr>
              <w:spacing w:after="200" w:line="276" w:lineRule="auto"/>
              <w:rPr>
                <w:rFonts w:eastAsia="Calibri" w:cstheme="minorHAnsi"/>
                <w:noProof/>
                <w:color w:val="000000"/>
                <w:sz w:val="20"/>
                <w:szCs w:val="20"/>
              </w:rPr>
            </w:pPr>
          </w:p>
        </w:tc>
        <w:tc>
          <w:tcPr>
            <w:tcW w:w="1985" w:type="dxa"/>
            <w:tcBorders>
              <w:top w:val="single" w:sz="4" w:space="0" w:color="auto"/>
              <w:left w:val="nil"/>
              <w:bottom w:val="single" w:sz="4" w:space="0" w:color="auto"/>
              <w:right w:val="single" w:sz="4" w:space="0" w:color="auto"/>
            </w:tcBorders>
            <w:shd w:val="clear" w:color="auto" w:fill="C6EFCE"/>
            <w:noWrap/>
          </w:tcPr>
          <w:p w14:paraId="31645970"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Odredba u Uredbi o naknadi zbog korištenja odlagališta u kojoj se navodi njezino stupanje na snagu</w:t>
            </w:r>
          </w:p>
        </w:tc>
        <w:tc>
          <w:tcPr>
            <w:tcW w:w="992" w:type="dxa"/>
            <w:tcBorders>
              <w:top w:val="single" w:sz="4" w:space="0" w:color="auto"/>
              <w:left w:val="nil"/>
              <w:bottom w:val="single" w:sz="4" w:space="0" w:color="auto"/>
              <w:right w:val="single" w:sz="4" w:space="0" w:color="auto"/>
            </w:tcBorders>
            <w:shd w:val="clear" w:color="auto" w:fill="C6EFCE"/>
            <w:noWrap/>
          </w:tcPr>
          <w:p w14:paraId="71C7EF95" w14:textId="77777777" w:rsidR="00FB14B5" w:rsidRPr="00BC0323" w:rsidRDefault="00FB14B5" w:rsidP="00214953">
            <w:pPr>
              <w:spacing w:after="200" w:line="276" w:lineRule="auto"/>
              <w:jc w:val="center"/>
              <w:rPr>
                <w:rFonts w:eastAsia="Calibri" w:cstheme="minorHAnsi"/>
                <w:noProof/>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C6EFCE"/>
            <w:noWrap/>
          </w:tcPr>
          <w:p w14:paraId="1E3F156D" w14:textId="77777777" w:rsidR="00FB14B5" w:rsidRPr="00BC0323" w:rsidRDefault="00FB14B5" w:rsidP="00214953">
            <w:pPr>
              <w:spacing w:after="200" w:line="276" w:lineRule="auto"/>
              <w:jc w:val="center"/>
              <w:rPr>
                <w:rFonts w:eastAsia="Calibri" w:cstheme="minorHAnsi"/>
                <w:noProof/>
                <w:color w:val="000000"/>
                <w:sz w:val="20"/>
                <w:szCs w:val="20"/>
              </w:rPr>
            </w:pPr>
          </w:p>
        </w:tc>
        <w:tc>
          <w:tcPr>
            <w:tcW w:w="873" w:type="dxa"/>
            <w:tcBorders>
              <w:top w:val="single" w:sz="4" w:space="0" w:color="auto"/>
              <w:left w:val="nil"/>
              <w:bottom w:val="single" w:sz="4" w:space="0" w:color="auto"/>
              <w:right w:val="single" w:sz="4" w:space="0" w:color="auto"/>
            </w:tcBorders>
            <w:shd w:val="clear" w:color="auto" w:fill="C6EFCE"/>
            <w:noWrap/>
          </w:tcPr>
          <w:p w14:paraId="7525B875" w14:textId="77777777" w:rsidR="00FB14B5" w:rsidRPr="00BC0323" w:rsidRDefault="00FB14B5" w:rsidP="00214953">
            <w:pPr>
              <w:spacing w:after="200" w:line="276" w:lineRule="auto"/>
              <w:jc w:val="center"/>
              <w:rPr>
                <w:rFonts w:eastAsia="Calibri" w:cstheme="minorHAnsi"/>
                <w:noProof/>
                <w:color w:val="000000"/>
                <w:sz w:val="20"/>
                <w:szCs w:val="20"/>
              </w:rPr>
            </w:pPr>
          </w:p>
        </w:tc>
        <w:tc>
          <w:tcPr>
            <w:tcW w:w="539" w:type="dxa"/>
            <w:tcBorders>
              <w:top w:val="single" w:sz="4" w:space="0" w:color="auto"/>
              <w:left w:val="nil"/>
              <w:bottom w:val="single" w:sz="4" w:space="0" w:color="auto"/>
              <w:right w:val="single" w:sz="4" w:space="0" w:color="auto"/>
            </w:tcBorders>
            <w:shd w:val="clear" w:color="auto" w:fill="C6EFCE"/>
            <w:noWrap/>
          </w:tcPr>
          <w:p w14:paraId="432253BE"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16F387F4"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2024.</w:t>
            </w:r>
          </w:p>
          <w:p w14:paraId="17B34CA6" w14:textId="77777777" w:rsidR="00FB14B5" w:rsidRPr="00AD2AC5" w:rsidRDefault="00FB14B5" w:rsidP="00214953">
            <w:pPr>
              <w:spacing w:after="200" w:line="276" w:lineRule="auto"/>
              <w:jc w:val="center"/>
              <w:rPr>
                <w:rFonts w:eastAsia="Calibri" w:cstheme="minorHAnsi"/>
                <w:noProof/>
                <w:color w:val="000000"/>
                <w:sz w:val="20"/>
                <w:szCs w:val="20"/>
                <w:lang w:val="en-GB"/>
              </w:rPr>
            </w:pPr>
          </w:p>
        </w:tc>
        <w:tc>
          <w:tcPr>
            <w:tcW w:w="3686" w:type="dxa"/>
            <w:tcBorders>
              <w:top w:val="single" w:sz="4" w:space="0" w:color="auto"/>
              <w:left w:val="nil"/>
              <w:bottom w:val="single" w:sz="4" w:space="0" w:color="auto"/>
              <w:right w:val="single" w:sz="4" w:space="0" w:color="auto"/>
            </w:tcBorders>
            <w:shd w:val="clear" w:color="auto" w:fill="C6EFCE"/>
            <w:noWrap/>
          </w:tcPr>
          <w:p w14:paraId="549027D6"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Uredba o naknadi zbog korištenja odlagališta stupa na snagu i u njoj je propisana jedinična naknada koja omogućuje izračun naknade zbog korištenja odlagališta u skladu sa Zakonom o gospodarenju otpadom.</w:t>
            </w:r>
          </w:p>
          <w:p w14:paraId="39552B0A"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U Uredbi će se utvrditi odredbe kojima se postupno povećava naknada zbog korištenja odlagališta kako bi se postupno ukinulo odlaganje otpada koji se može reciklirati i oporabiti te da će se prihodi koristiti u skladu sa Zakonom o gospodarenju otpadom.</w:t>
            </w:r>
          </w:p>
        </w:tc>
      </w:tr>
      <w:tr w:rsidR="00FB14B5" w:rsidRPr="00AD2AC5" w14:paraId="2149FC0B"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6913504"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379</w:t>
            </w:r>
          </w:p>
        </w:tc>
        <w:tc>
          <w:tcPr>
            <w:tcW w:w="826" w:type="dxa"/>
            <w:tcBorders>
              <w:top w:val="single" w:sz="4" w:space="0" w:color="auto"/>
              <w:left w:val="nil"/>
              <w:bottom w:val="single" w:sz="4" w:space="0" w:color="auto"/>
              <w:right w:val="single" w:sz="4" w:space="0" w:color="auto"/>
            </w:tcBorders>
            <w:shd w:val="clear" w:color="auto" w:fill="C6EFCE"/>
            <w:noWrap/>
          </w:tcPr>
          <w:p w14:paraId="0BAB9BDE"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51875D14"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Ključna etapa</w:t>
            </w:r>
          </w:p>
        </w:tc>
        <w:tc>
          <w:tcPr>
            <w:tcW w:w="2248" w:type="dxa"/>
            <w:tcBorders>
              <w:top w:val="single" w:sz="4" w:space="0" w:color="auto"/>
              <w:left w:val="nil"/>
              <w:bottom w:val="single" w:sz="4" w:space="0" w:color="auto"/>
              <w:right w:val="single" w:sz="4" w:space="0" w:color="auto"/>
            </w:tcBorders>
            <w:shd w:val="clear" w:color="auto" w:fill="C6EFCE"/>
            <w:noWrap/>
          </w:tcPr>
          <w:p w14:paraId="510AA267"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Poboljšanje sustava obrade i prikupljanja biootpada</w:t>
            </w:r>
          </w:p>
          <w:p w14:paraId="200536F7" w14:textId="77777777" w:rsidR="00FB14B5" w:rsidRPr="00AD2AC5" w:rsidRDefault="00FB14B5" w:rsidP="00214953">
            <w:pPr>
              <w:spacing w:after="200" w:line="276" w:lineRule="auto"/>
              <w:rPr>
                <w:rFonts w:eastAsia="Calibri" w:cstheme="minorHAnsi"/>
                <w:noProof/>
                <w:color w:val="000000"/>
                <w:sz w:val="20"/>
                <w:szCs w:val="20"/>
                <w:lang w:val="en-GB"/>
              </w:rPr>
            </w:pPr>
          </w:p>
        </w:tc>
        <w:tc>
          <w:tcPr>
            <w:tcW w:w="1985" w:type="dxa"/>
            <w:tcBorders>
              <w:top w:val="single" w:sz="4" w:space="0" w:color="auto"/>
              <w:left w:val="nil"/>
              <w:bottom w:val="single" w:sz="4" w:space="0" w:color="auto"/>
              <w:right w:val="single" w:sz="4" w:space="0" w:color="auto"/>
            </w:tcBorders>
            <w:shd w:val="clear" w:color="auto" w:fill="C6EFCE"/>
            <w:noWrap/>
          </w:tcPr>
          <w:p w14:paraId="031A6AA4"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Donošenje i objava akcijskog plana za kružno gospodarstvo za biootpad</w:t>
            </w:r>
          </w:p>
        </w:tc>
        <w:tc>
          <w:tcPr>
            <w:tcW w:w="992" w:type="dxa"/>
            <w:tcBorders>
              <w:top w:val="single" w:sz="4" w:space="0" w:color="auto"/>
              <w:left w:val="nil"/>
              <w:bottom w:val="single" w:sz="4" w:space="0" w:color="auto"/>
              <w:right w:val="single" w:sz="4" w:space="0" w:color="auto"/>
            </w:tcBorders>
            <w:shd w:val="clear" w:color="auto" w:fill="C6EFCE"/>
            <w:noWrap/>
          </w:tcPr>
          <w:p w14:paraId="2779BEF1" w14:textId="77777777" w:rsidR="00FB14B5" w:rsidRPr="00AD2AC5" w:rsidRDefault="00FB14B5" w:rsidP="00214953">
            <w:pPr>
              <w:spacing w:after="200" w:line="276" w:lineRule="auto"/>
              <w:jc w:val="center"/>
              <w:rPr>
                <w:rFonts w:eastAsia="Calibri" w:cstheme="minorHAnsi"/>
                <w:noProof/>
                <w:color w:val="000000"/>
                <w:sz w:val="20"/>
                <w:szCs w:val="20"/>
                <w:lang w:val="en-GB"/>
              </w:rPr>
            </w:pPr>
          </w:p>
        </w:tc>
        <w:tc>
          <w:tcPr>
            <w:tcW w:w="992" w:type="dxa"/>
            <w:tcBorders>
              <w:top w:val="single" w:sz="4" w:space="0" w:color="auto"/>
              <w:left w:val="nil"/>
              <w:bottom w:val="single" w:sz="4" w:space="0" w:color="auto"/>
              <w:right w:val="single" w:sz="4" w:space="0" w:color="auto"/>
            </w:tcBorders>
            <w:shd w:val="clear" w:color="auto" w:fill="C6EFCE"/>
            <w:noWrap/>
          </w:tcPr>
          <w:p w14:paraId="049EE139" w14:textId="77777777" w:rsidR="00FB14B5" w:rsidRPr="00AD2AC5" w:rsidRDefault="00FB14B5" w:rsidP="00214953">
            <w:pPr>
              <w:spacing w:after="200" w:line="276" w:lineRule="auto"/>
              <w:jc w:val="center"/>
              <w:rPr>
                <w:rFonts w:eastAsia="Calibri" w:cstheme="minorHAnsi"/>
                <w:noProof/>
                <w:color w:val="000000"/>
                <w:sz w:val="20"/>
                <w:szCs w:val="20"/>
                <w:lang w:val="en-GB"/>
              </w:rPr>
            </w:pPr>
          </w:p>
        </w:tc>
        <w:tc>
          <w:tcPr>
            <w:tcW w:w="873" w:type="dxa"/>
            <w:tcBorders>
              <w:top w:val="single" w:sz="4" w:space="0" w:color="auto"/>
              <w:left w:val="nil"/>
              <w:bottom w:val="single" w:sz="4" w:space="0" w:color="auto"/>
              <w:right w:val="single" w:sz="4" w:space="0" w:color="auto"/>
            </w:tcBorders>
            <w:shd w:val="clear" w:color="auto" w:fill="C6EFCE"/>
            <w:noWrap/>
          </w:tcPr>
          <w:p w14:paraId="5E32FEA1" w14:textId="77777777" w:rsidR="00FB14B5" w:rsidRPr="00AD2AC5" w:rsidRDefault="00FB14B5" w:rsidP="00214953">
            <w:pPr>
              <w:spacing w:after="200" w:line="276" w:lineRule="auto"/>
              <w:jc w:val="center"/>
              <w:rPr>
                <w:rFonts w:eastAsia="Calibri" w:cstheme="minorHAnsi"/>
                <w:noProof/>
                <w:color w:val="000000"/>
                <w:sz w:val="20"/>
                <w:szCs w:val="20"/>
                <w:lang w:val="en-GB"/>
              </w:rPr>
            </w:pPr>
          </w:p>
        </w:tc>
        <w:tc>
          <w:tcPr>
            <w:tcW w:w="539" w:type="dxa"/>
            <w:tcBorders>
              <w:top w:val="single" w:sz="4" w:space="0" w:color="auto"/>
              <w:left w:val="nil"/>
              <w:bottom w:val="single" w:sz="4" w:space="0" w:color="auto"/>
              <w:right w:val="single" w:sz="4" w:space="0" w:color="auto"/>
            </w:tcBorders>
            <w:shd w:val="clear" w:color="auto" w:fill="C6EFCE"/>
            <w:noWrap/>
          </w:tcPr>
          <w:p w14:paraId="655F45CC"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13057EC0"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4DC44D8"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Nakon javnih savjetovanja donijet će se akcijski plan za kružno gospodarstvo za biootpad, u skladu s akcijskim planom za kružno gospodarstvo. Plan uključuje dionike u provedbi akcijskog plana za kružno gospodarstvo za biootpad.</w:t>
            </w:r>
          </w:p>
        </w:tc>
      </w:tr>
      <w:tr w:rsidR="00FB14B5" w:rsidRPr="00AD2AC5" w14:paraId="4DDF290F"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E570937"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 xml:space="preserve">380 </w:t>
            </w:r>
          </w:p>
        </w:tc>
        <w:tc>
          <w:tcPr>
            <w:tcW w:w="826" w:type="dxa"/>
            <w:tcBorders>
              <w:top w:val="single" w:sz="4" w:space="0" w:color="auto"/>
              <w:left w:val="nil"/>
              <w:bottom w:val="single" w:sz="4" w:space="0" w:color="auto"/>
              <w:right w:val="single" w:sz="4" w:space="0" w:color="auto"/>
            </w:tcBorders>
            <w:shd w:val="clear" w:color="auto" w:fill="C6EFCE"/>
            <w:noWrap/>
          </w:tcPr>
          <w:p w14:paraId="5C0946F0"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6AF35BB9"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1512AFB0"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Oprema za obradu biootpada</w:t>
            </w:r>
          </w:p>
          <w:p w14:paraId="08EAA093" w14:textId="77777777" w:rsidR="00FB14B5" w:rsidRPr="00AD2AC5" w:rsidRDefault="00FB14B5" w:rsidP="00214953">
            <w:pPr>
              <w:spacing w:after="200" w:line="276" w:lineRule="auto"/>
              <w:rPr>
                <w:rFonts w:eastAsia="Calibri" w:cstheme="minorHAnsi"/>
                <w:noProof/>
                <w:color w:val="000000"/>
                <w:sz w:val="20"/>
                <w:szCs w:val="20"/>
                <w:lang w:val="en-GB"/>
              </w:rPr>
            </w:pPr>
          </w:p>
        </w:tc>
        <w:tc>
          <w:tcPr>
            <w:tcW w:w="1985" w:type="dxa"/>
            <w:tcBorders>
              <w:top w:val="single" w:sz="4" w:space="0" w:color="auto"/>
              <w:left w:val="nil"/>
              <w:bottom w:val="single" w:sz="4" w:space="0" w:color="auto"/>
              <w:right w:val="single" w:sz="4" w:space="0" w:color="auto"/>
            </w:tcBorders>
            <w:shd w:val="clear" w:color="auto" w:fill="C6EFCE"/>
            <w:noWrap/>
          </w:tcPr>
          <w:p w14:paraId="2C1ECC45" w14:textId="77777777" w:rsidR="00FB14B5" w:rsidRPr="00AD2AC5" w:rsidRDefault="00FB14B5" w:rsidP="00214953">
            <w:pPr>
              <w:spacing w:after="200" w:line="276" w:lineRule="auto"/>
              <w:rPr>
                <w:rFonts w:eastAsia="Calibri" w:cstheme="minorHAnsi"/>
                <w:noProof/>
                <w:color w:val="000000"/>
                <w:sz w:val="20"/>
                <w:szCs w:val="20"/>
                <w:lang w:val="en-GB"/>
              </w:rPr>
            </w:pPr>
          </w:p>
        </w:tc>
        <w:tc>
          <w:tcPr>
            <w:tcW w:w="992" w:type="dxa"/>
            <w:tcBorders>
              <w:top w:val="single" w:sz="4" w:space="0" w:color="auto"/>
              <w:left w:val="nil"/>
              <w:bottom w:val="single" w:sz="4" w:space="0" w:color="auto"/>
              <w:right w:val="single" w:sz="4" w:space="0" w:color="auto"/>
            </w:tcBorders>
            <w:shd w:val="clear" w:color="auto" w:fill="C6EFCE"/>
            <w:noWrap/>
          </w:tcPr>
          <w:p w14:paraId="348F34A1"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74E2DBDA"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3E193275"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20</w:t>
            </w:r>
          </w:p>
        </w:tc>
        <w:tc>
          <w:tcPr>
            <w:tcW w:w="539" w:type="dxa"/>
            <w:tcBorders>
              <w:top w:val="single" w:sz="4" w:space="0" w:color="auto"/>
              <w:left w:val="nil"/>
              <w:bottom w:val="single" w:sz="4" w:space="0" w:color="auto"/>
              <w:right w:val="single" w:sz="4" w:space="0" w:color="auto"/>
            </w:tcBorders>
            <w:shd w:val="clear" w:color="auto" w:fill="C6EFCE"/>
            <w:noWrap/>
          </w:tcPr>
          <w:p w14:paraId="67B17A82"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4.</w:t>
            </w:r>
          </w:p>
        </w:tc>
        <w:tc>
          <w:tcPr>
            <w:tcW w:w="856" w:type="dxa"/>
            <w:tcBorders>
              <w:top w:val="single" w:sz="4" w:space="0" w:color="auto"/>
              <w:left w:val="nil"/>
              <w:bottom w:val="single" w:sz="4" w:space="0" w:color="auto"/>
              <w:right w:val="single" w:sz="4" w:space="0" w:color="auto"/>
            </w:tcBorders>
            <w:shd w:val="clear" w:color="auto" w:fill="C6EFCE"/>
            <w:noWrap/>
          </w:tcPr>
          <w:p w14:paraId="1EB5BC6C"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3D0A43FE"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Nakon poziva na podnošenje prijedloga isporučit će se i početi upotrebljavati najmanje 20 dijelova opreme za obradu biootpada (kao što su komposteri ili biostabilizatori).</w:t>
            </w:r>
          </w:p>
        </w:tc>
      </w:tr>
      <w:tr w:rsidR="00FB14B5" w:rsidRPr="00AD2AC5" w14:paraId="6DC6162B" w14:textId="77777777" w:rsidTr="006867E3">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53710B9"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 xml:space="preserve">381 </w:t>
            </w:r>
          </w:p>
        </w:tc>
        <w:tc>
          <w:tcPr>
            <w:tcW w:w="826" w:type="dxa"/>
            <w:tcBorders>
              <w:top w:val="single" w:sz="4" w:space="0" w:color="auto"/>
              <w:left w:val="nil"/>
              <w:bottom w:val="single" w:sz="4" w:space="0" w:color="auto"/>
              <w:right w:val="single" w:sz="4" w:space="0" w:color="auto"/>
            </w:tcBorders>
            <w:shd w:val="clear" w:color="auto" w:fill="C6EFCE"/>
            <w:noWrap/>
          </w:tcPr>
          <w:p w14:paraId="2C894EBE"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2A9E9815"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Ciljna vrijednost</w:t>
            </w:r>
          </w:p>
        </w:tc>
        <w:tc>
          <w:tcPr>
            <w:tcW w:w="2248" w:type="dxa"/>
            <w:tcBorders>
              <w:top w:val="single" w:sz="4" w:space="0" w:color="auto"/>
              <w:left w:val="nil"/>
              <w:bottom w:val="single" w:sz="4" w:space="0" w:color="auto"/>
              <w:right w:val="single" w:sz="4" w:space="0" w:color="auto"/>
            </w:tcBorders>
            <w:shd w:val="clear" w:color="auto" w:fill="C6EFCE"/>
            <w:noWrap/>
          </w:tcPr>
          <w:p w14:paraId="213D14EE"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 xml:space="preserve">Izgradnja postaja za prijevoz otpada  </w:t>
            </w:r>
          </w:p>
        </w:tc>
        <w:tc>
          <w:tcPr>
            <w:tcW w:w="1985" w:type="dxa"/>
            <w:tcBorders>
              <w:top w:val="single" w:sz="4" w:space="0" w:color="auto"/>
              <w:left w:val="nil"/>
              <w:bottom w:val="single" w:sz="4" w:space="0" w:color="auto"/>
              <w:right w:val="single" w:sz="4" w:space="0" w:color="auto"/>
            </w:tcBorders>
            <w:shd w:val="clear" w:color="auto" w:fill="C6EFCE"/>
            <w:noWrap/>
          </w:tcPr>
          <w:p w14:paraId="3F58A3E3" w14:textId="77777777" w:rsidR="00FB14B5" w:rsidRPr="00BC0323" w:rsidRDefault="00FB14B5" w:rsidP="00214953">
            <w:pPr>
              <w:spacing w:after="200" w:line="276" w:lineRule="auto"/>
              <w:rPr>
                <w:rFonts w:eastAsia="Calibri" w:cstheme="minorHAnsi"/>
                <w:noProof/>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C6EFCE"/>
            <w:noWrap/>
          </w:tcPr>
          <w:p w14:paraId="4694027F"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3730A378"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0</w:t>
            </w:r>
          </w:p>
        </w:tc>
        <w:tc>
          <w:tcPr>
            <w:tcW w:w="873" w:type="dxa"/>
            <w:tcBorders>
              <w:top w:val="single" w:sz="4" w:space="0" w:color="auto"/>
              <w:left w:val="nil"/>
              <w:bottom w:val="single" w:sz="4" w:space="0" w:color="auto"/>
              <w:right w:val="single" w:sz="4" w:space="0" w:color="auto"/>
            </w:tcBorders>
            <w:shd w:val="clear" w:color="auto" w:fill="C6EFCE"/>
            <w:noWrap/>
          </w:tcPr>
          <w:p w14:paraId="5FFC0A8F"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15</w:t>
            </w:r>
          </w:p>
        </w:tc>
        <w:tc>
          <w:tcPr>
            <w:tcW w:w="539" w:type="dxa"/>
            <w:tcBorders>
              <w:top w:val="single" w:sz="4" w:space="0" w:color="auto"/>
              <w:left w:val="nil"/>
              <w:bottom w:val="single" w:sz="4" w:space="0" w:color="auto"/>
              <w:right w:val="single" w:sz="4" w:space="0" w:color="auto"/>
            </w:tcBorders>
            <w:shd w:val="clear" w:color="auto" w:fill="C6EFCE"/>
            <w:noWrap/>
          </w:tcPr>
          <w:p w14:paraId="632DF33A"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1.</w:t>
            </w:r>
          </w:p>
        </w:tc>
        <w:tc>
          <w:tcPr>
            <w:tcW w:w="856" w:type="dxa"/>
            <w:tcBorders>
              <w:top w:val="single" w:sz="4" w:space="0" w:color="auto"/>
              <w:left w:val="nil"/>
              <w:bottom w:val="single" w:sz="4" w:space="0" w:color="auto"/>
              <w:right w:val="single" w:sz="4" w:space="0" w:color="auto"/>
            </w:tcBorders>
            <w:shd w:val="clear" w:color="auto" w:fill="C6EFCE"/>
            <w:noWrap/>
          </w:tcPr>
          <w:p w14:paraId="74D8EBC2" w14:textId="77777777" w:rsidR="00FB14B5" w:rsidRPr="00AD2AC5" w:rsidRDefault="00FB14B5" w:rsidP="00214953">
            <w:pPr>
              <w:spacing w:after="200" w:line="276" w:lineRule="auto"/>
              <w:jc w:val="center"/>
              <w:rPr>
                <w:rFonts w:eastAsia="Calibri" w:cstheme="minorHAnsi"/>
                <w:noProof/>
                <w:color w:val="000000"/>
                <w:sz w:val="20"/>
                <w:szCs w:val="20"/>
              </w:rPr>
            </w:pPr>
            <w:r>
              <w:rPr>
                <w:noProof/>
                <w:color w:val="000000"/>
                <w:sz w:val="20"/>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0D95CB3" w14:textId="77777777" w:rsidR="00FB14B5" w:rsidRPr="00AD2AC5" w:rsidRDefault="00FB14B5" w:rsidP="00214953">
            <w:pPr>
              <w:spacing w:after="200" w:line="276" w:lineRule="auto"/>
              <w:rPr>
                <w:rFonts w:eastAsia="Calibri" w:cstheme="minorHAnsi"/>
                <w:noProof/>
                <w:color w:val="000000"/>
                <w:sz w:val="20"/>
                <w:szCs w:val="20"/>
              </w:rPr>
            </w:pPr>
            <w:r>
              <w:rPr>
                <w:noProof/>
                <w:color w:val="000000"/>
                <w:sz w:val="20"/>
              </w:rPr>
              <w:t>Mora biti izgrađeno i u funkciji najmanje 15 postaja za prijenos otpada.</w:t>
            </w:r>
          </w:p>
        </w:tc>
      </w:tr>
    </w:tbl>
    <w:p w14:paraId="29D881A2" w14:textId="031D9E46" w:rsidR="00FB14B5" w:rsidRPr="00BC0323" w:rsidRDefault="00FB14B5">
      <w:pPr>
        <w:rPr>
          <w:noProof/>
        </w:rPr>
      </w:pPr>
    </w:p>
    <w:p w14:paraId="0A80B1AD" w14:textId="77777777" w:rsidR="00733DCA" w:rsidRPr="00BC0323" w:rsidRDefault="00733DCA">
      <w:pPr>
        <w:rPr>
          <w:noProof/>
        </w:rPr>
        <w:sectPr w:rsidR="00733DCA" w:rsidRPr="00BC0323" w:rsidSect="0001477B">
          <w:headerReference w:type="even" r:id="rId60"/>
          <w:headerReference w:type="default" r:id="rId61"/>
          <w:footerReference w:type="even" r:id="rId62"/>
          <w:footerReference w:type="default" r:id="rId63"/>
          <w:headerReference w:type="first" r:id="rId64"/>
          <w:footerReference w:type="first" r:id="rId65"/>
          <w:pgSz w:w="15840" w:h="12240" w:orient="landscape"/>
          <w:pgMar w:top="1440" w:right="1440" w:bottom="1440" w:left="1440" w:header="708" w:footer="708" w:gutter="0"/>
          <w:cols w:space="708"/>
          <w:docGrid w:linePitch="360"/>
        </w:sectPr>
      </w:pPr>
    </w:p>
    <w:p w14:paraId="062CE77C"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C.3. </w:t>
      </w:r>
      <w:r>
        <w:rPr>
          <w:noProof/>
        </w:rPr>
        <w:tab/>
      </w:r>
      <w:r>
        <w:rPr>
          <w:rStyle w:val="normaltextrun"/>
          <w:b/>
          <w:noProof/>
        </w:rPr>
        <w:t>Opis reformi i ulaganja za zajam </w:t>
      </w:r>
      <w:r>
        <w:rPr>
          <w:rStyle w:val="eop"/>
          <w:noProof/>
        </w:rPr>
        <w:t> </w:t>
      </w:r>
    </w:p>
    <w:p w14:paraId="03B924EA" w14:textId="77777777" w:rsidR="00733DCA" w:rsidRDefault="00733DCA" w:rsidP="0001477B">
      <w:pPr>
        <w:pStyle w:val="paragraph"/>
        <w:spacing w:before="0" w:beforeAutospacing="0" w:after="0" w:afterAutospacing="0"/>
        <w:ind w:left="840"/>
        <w:jc w:val="both"/>
        <w:textAlignment w:val="baseline"/>
        <w:rPr>
          <w:rStyle w:val="eop"/>
          <w:noProof/>
        </w:rPr>
      </w:pPr>
      <w:r>
        <w:rPr>
          <w:rStyle w:val="normaltextrun"/>
          <w:noProof/>
        </w:rPr>
        <w:t> </w:t>
      </w:r>
      <w:r>
        <w:rPr>
          <w:rStyle w:val="eop"/>
          <w:noProof/>
        </w:rPr>
        <w:t> </w:t>
      </w:r>
    </w:p>
    <w:p w14:paraId="70C9E691"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0C9F4669" w14:textId="1EBF24B6" w:rsidR="00733DCA" w:rsidRPr="009B0507" w:rsidRDefault="00733DCA" w:rsidP="0001477B">
      <w:pPr>
        <w:keepNext/>
        <w:tabs>
          <w:tab w:val="num" w:pos="850"/>
        </w:tabs>
        <w:spacing w:after="200" w:line="276" w:lineRule="auto"/>
        <w:ind w:left="840"/>
        <w:jc w:val="both"/>
        <w:outlineLvl w:val="2"/>
        <w:rPr>
          <w:rFonts w:ascii="Calibri" w:eastAsia="Calibri" w:hAnsi="Calibri" w:cs="Arial"/>
          <w:noProof/>
        </w:rPr>
      </w:pPr>
      <w:r>
        <w:rPr>
          <w:rFonts w:ascii="Times New Roman" w:hAnsi="Times New Roman"/>
          <w:noProof/>
          <w:sz w:val="24"/>
          <w:u w:val="single"/>
        </w:rPr>
        <w:t>Reforma C1.3. R3 – Nastavak provedbe programa vodnog gospodarstva</w:t>
      </w:r>
    </w:p>
    <w:p w14:paraId="555CD5D4" w14:textId="77777777" w:rsidR="00733DCA" w:rsidRPr="009B0507" w:rsidRDefault="00733DCA" w:rsidP="0001477B">
      <w:pPr>
        <w:pStyle w:val="paragraph"/>
        <w:spacing w:before="0" w:beforeAutospacing="0" w:after="0" w:afterAutospacing="0"/>
        <w:jc w:val="both"/>
        <w:rPr>
          <w:noProof/>
        </w:rPr>
      </w:pPr>
      <w:r>
        <w:rPr>
          <w:noProof/>
        </w:rPr>
        <w:t>Tom se reformom dodatno rješavaju glavni izazovi povezani s velikim gubicima vode u Hrvatskoj. Reforma uključuje pripremu i donošenje nacionalnog plana za smanjenje gubitaka vode u javnim vodoopskrbnim sustavima, nakon čega slijedi priprema i donošenje pojedinačnih planova za smanjenje gubitaka vode na razini isporučitelja vodnih usluga. Osnovat će se nacionalno tijelo za praćenje gubitaka vode. Osim toga, reformom se povećavaju i kapaciteti i transparentnost regulatornog tijela za vode stupanjem na snagu Uredbe o Vijeću za vodne usluge.</w:t>
      </w:r>
      <w:bookmarkStart w:id="2" w:name="_Int_Ui6Z29Gk"/>
      <w:bookmarkEnd w:id="2"/>
    </w:p>
    <w:p w14:paraId="6583FBE2" w14:textId="77777777" w:rsidR="00733DCA" w:rsidRPr="00BC0323" w:rsidRDefault="00733DCA" w:rsidP="0001477B">
      <w:pPr>
        <w:spacing w:after="0" w:line="240" w:lineRule="auto"/>
        <w:jc w:val="both"/>
        <w:rPr>
          <w:rFonts w:ascii="Times New Roman" w:eastAsia="Times New Roman" w:hAnsi="Times New Roman" w:cs="Times New Roman"/>
          <w:noProof/>
          <w:sz w:val="24"/>
          <w:szCs w:val="24"/>
        </w:rPr>
      </w:pPr>
    </w:p>
    <w:p w14:paraId="1362ED16" w14:textId="77777777" w:rsidR="00733DCA" w:rsidRPr="009B0507" w:rsidRDefault="00733DCA" w:rsidP="0001477B">
      <w:pPr>
        <w:pStyle w:val="paragraph"/>
        <w:spacing w:before="0" w:beforeAutospacing="0" w:after="0" w:afterAutospacing="0"/>
        <w:jc w:val="both"/>
        <w:rPr>
          <w:noProof/>
        </w:rPr>
      </w:pPr>
      <w:r>
        <w:rPr>
          <w:noProof/>
        </w:rPr>
        <w:t>Provedba reforme završit će do 31. prosinca 2025.</w:t>
      </w:r>
    </w:p>
    <w:p w14:paraId="552E329E" w14:textId="77777777" w:rsidR="00733DCA" w:rsidRDefault="00733DCA" w:rsidP="0001477B">
      <w:pPr>
        <w:spacing w:after="0" w:line="240" w:lineRule="auto"/>
        <w:jc w:val="both"/>
        <w:rPr>
          <w:rFonts w:eastAsia="Calibri"/>
          <w:noProof/>
          <w:color w:val="2B579A"/>
          <w:lang w:val="en-GB"/>
        </w:rPr>
      </w:pPr>
    </w:p>
    <w:p w14:paraId="6858B821" w14:textId="38439906" w:rsidR="00733DCA" w:rsidRPr="009B0507" w:rsidRDefault="00733DCA" w:rsidP="0001477B">
      <w:pPr>
        <w:keepNext/>
        <w:tabs>
          <w:tab w:val="num" w:pos="850"/>
        </w:tabs>
        <w:spacing w:after="200" w:line="276" w:lineRule="auto"/>
        <w:ind w:left="840"/>
        <w:jc w:val="both"/>
        <w:rPr>
          <w:rFonts w:ascii="Times New Roman" w:eastAsia="SimSun" w:hAnsi="Times New Roman" w:cs="Times New Roman"/>
          <w:noProof/>
          <w:sz w:val="24"/>
          <w:szCs w:val="24"/>
          <w:u w:val="single"/>
        </w:rPr>
      </w:pPr>
      <w:r>
        <w:rPr>
          <w:rFonts w:ascii="Times New Roman" w:hAnsi="Times New Roman"/>
          <w:noProof/>
          <w:sz w:val="24"/>
          <w:u w:val="single"/>
        </w:rPr>
        <w:t>Ulaganje C1.3. R3-I1 – Dodatna ulaganja u program razvoja javne odvodnje otpadnih voda</w:t>
      </w:r>
    </w:p>
    <w:p w14:paraId="2E9CB6EF" w14:textId="77777777" w:rsidR="00733DCA" w:rsidRPr="009B0507" w:rsidRDefault="00733DCA" w:rsidP="0001477B">
      <w:pPr>
        <w:pStyle w:val="paragraph"/>
        <w:spacing w:before="0" w:beforeAutospacing="0" w:after="0" w:afterAutospacing="0"/>
        <w:jc w:val="both"/>
        <w:rPr>
          <w:rFonts w:eastAsia="Calibri"/>
          <w:noProof/>
        </w:rPr>
      </w:pPr>
      <w:r>
        <w:rPr>
          <w:noProof/>
        </w:rPr>
        <w:t>S obzirom na veliki investicijski jaz u vodnom sektoru, ta mjera uključuje dodatna ulaganja u razvoj mreža odvodnje otpadnih voda i pogona za pročišćavanje otpadnih voda.</w:t>
      </w:r>
    </w:p>
    <w:p w14:paraId="4D22CCB5" w14:textId="77777777" w:rsidR="00733DCA" w:rsidRPr="00BC0323" w:rsidRDefault="00733DCA" w:rsidP="0001477B">
      <w:pPr>
        <w:pStyle w:val="paragraph"/>
        <w:spacing w:before="0" w:beforeAutospacing="0" w:after="0" w:afterAutospacing="0"/>
        <w:jc w:val="both"/>
        <w:rPr>
          <w:rFonts w:eastAsia="Calibri"/>
          <w:noProof/>
        </w:rPr>
      </w:pPr>
    </w:p>
    <w:p w14:paraId="4B142C72" w14:textId="77777777" w:rsidR="00733DCA" w:rsidRDefault="00733DCA" w:rsidP="0001477B">
      <w:pPr>
        <w:pStyle w:val="paragraph"/>
        <w:spacing w:before="0" w:beforeAutospacing="0" w:after="0" w:afterAutospacing="0"/>
        <w:jc w:val="both"/>
        <w:rPr>
          <w:noProof/>
        </w:rPr>
      </w:pPr>
      <w:r>
        <w:rPr>
          <w:noProof/>
        </w:rPr>
        <w:t xml:space="preserve">Cilj je mjere provesti dodatna ulaganja u program razvoja javne mreže odvodnje otpadnih voda. Ta mjera uključuje obnovu i sanaciju dodatnih 76 km javne mreže odvodnje otpadnih voda te izgradnju i puštanje u rad dodatnih 19 pogona za pročišćavanje otpadnih voda, koji će osigurati pristup poboljšanim uslugama odvodnje otpadnih voda za dodatnih 20 000 stanovnika. </w:t>
      </w:r>
    </w:p>
    <w:p w14:paraId="5FF9F272" w14:textId="77777777" w:rsidR="00733DCA" w:rsidRDefault="00733DCA" w:rsidP="0001477B">
      <w:pPr>
        <w:pStyle w:val="paragraph"/>
        <w:spacing w:before="0" w:beforeAutospacing="0" w:after="0" w:afterAutospacing="0"/>
        <w:jc w:val="both"/>
        <w:rPr>
          <w:rFonts w:eastAsia="Calibri"/>
          <w:noProof/>
        </w:rPr>
      </w:pPr>
      <w:r>
        <w:rPr>
          <w:noProof/>
        </w:rPr>
        <w:t xml:space="preserve"> </w:t>
      </w:r>
    </w:p>
    <w:p w14:paraId="12D6E1DF" w14:textId="77777777" w:rsidR="00733DCA" w:rsidRDefault="00733DCA" w:rsidP="0001477B">
      <w:pPr>
        <w:pStyle w:val="paragraph"/>
        <w:spacing w:before="0" w:beforeAutospacing="0" w:after="0" w:afterAutospacing="0"/>
        <w:jc w:val="both"/>
        <w:rPr>
          <w:rFonts w:eastAsia="Calibri"/>
          <w:noProof/>
        </w:rPr>
      </w:pPr>
      <w:r>
        <w:rPr>
          <w:noProof/>
        </w:rPr>
        <w:t xml:space="preserve">Ulaganje će se provesti dodjelom bespovratnih sredstava isporučiteljima vodnih usluga, pri čemu će se prednost dati već razrađenim projektima. financiranje će zajednički osigurati Mehanizam za oporavak i otpornost, korisnici projekta, resorno ministarstvo i nacionalno poduzeće za vodu, Hrvatske vode, </w:t>
      </w:r>
    </w:p>
    <w:p w14:paraId="58A3F569" w14:textId="77777777" w:rsidR="009B0507" w:rsidRPr="00BC0323" w:rsidRDefault="009B0507" w:rsidP="0001477B">
      <w:pPr>
        <w:pStyle w:val="paragraph"/>
        <w:spacing w:before="0" w:beforeAutospacing="0" w:after="0" w:afterAutospacing="0"/>
        <w:jc w:val="both"/>
        <w:rPr>
          <w:rFonts w:eastAsia="Calibri"/>
          <w:noProof/>
        </w:rPr>
      </w:pPr>
    </w:p>
    <w:p w14:paraId="250AAF56" w14:textId="77777777" w:rsidR="00733DCA" w:rsidRDefault="00733DCA" w:rsidP="0001477B">
      <w:pPr>
        <w:pStyle w:val="paragraph"/>
        <w:spacing w:before="0" w:beforeAutospacing="0" w:after="0" w:afterAutospacing="0"/>
        <w:jc w:val="both"/>
        <w:rPr>
          <w:noProof/>
        </w:rPr>
      </w:pPr>
      <w:r>
        <w:rPr>
          <w:noProof/>
        </w:rPr>
        <w:t>Ulaganje će završiti do 30. lipnja 2026.</w:t>
      </w:r>
    </w:p>
    <w:p w14:paraId="25F54931" w14:textId="77777777" w:rsidR="00733DCA" w:rsidRPr="00BC0323" w:rsidRDefault="00733DCA" w:rsidP="0001477B">
      <w:pPr>
        <w:spacing w:before="120" w:after="120" w:line="240" w:lineRule="auto"/>
        <w:jc w:val="both"/>
        <w:rPr>
          <w:rFonts w:ascii="Times New Roman" w:eastAsia="Calibri" w:hAnsi="Times New Roman" w:cs="Times New Roman"/>
          <w:noProof/>
          <w:sz w:val="24"/>
          <w:szCs w:val="24"/>
        </w:rPr>
      </w:pPr>
    </w:p>
    <w:p w14:paraId="4E059333" w14:textId="310EE2CF" w:rsidR="00733DCA" w:rsidRPr="009B0507" w:rsidRDefault="00733DCA" w:rsidP="0001477B">
      <w:pPr>
        <w:spacing w:after="200" w:line="276" w:lineRule="auto"/>
        <w:ind w:left="840"/>
        <w:jc w:val="both"/>
        <w:rPr>
          <w:rFonts w:ascii="Times New Roman" w:eastAsia="SimSun" w:hAnsi="Times New Roman" w:cs="Times New Roman"/>
          <w:noProof/>
          <w:sz w:val="24"/>
          <w:szCs w:val="24"/>
          <w:u w:val="single"/>
        </w:rPr>
      </w:pPr>
      <w:r>
        <w:rPr>
          <w:rFonts w:ascii="Times New Roman" w:hAnsi="Times New Roman"/>
          <w:noProof/>
          <w:sz w:val="24"/>
          <w:u w:val="single"/>
        </w:rPr>
        <w:t>Ulaganje C1.3. R3-I2 – Dodatna ulaganja u program razvoja javne vodoopskrbe</w:t>
      </w:r>
    </w:p>
    <w:p w14:paraId="46ECE06C" w14:textId="77777777" w:rsidR="00733DCA" w:rsidRPr="00E43900" w:rsidRDefault="00733DCA" w:rsidP="0001477B">
      <w:pPr>
        <w:spacing w:after="0"/>
        <w:jc w:val="both"/>
        <w:rPr>
          <w:noProof/>
        </w:rPr>
      </w:pPr>
      <w:r>
        <w:rPr>
          <w:rFonts w:ascii="Times New Roman" w:hAnsi="Times New Roman"/>
          <w:noProof/>
          <w:sz w:val="24"/>
        </w:rPr>
        <w:t>S obzirom na veliki investicijski jaz u vodnom sektoru, ta mjera uključuje dodatna ulaganja u razvoj vodoopskrbnih mreža.</w:t>
      </w:r>
    </w:p>
    <w:p w14:paraId="66CC790D" w14:textId="309E7BD2" w:rsidR="00733DCA" w:rsidRDefault="00733DCA" w:rsidP="0001477B">
      <w:pPr>
        <w:pStyle w:val="paragraph"/>
        <w:keepNext/>
        <w:spacing w:before="120" w:after="120"/>
        <w:jc w:val="both"/>
        <w:rPr>
          <w:noProof/>
        </w:rPr>
      </w:pPr>
      <w:r>
        <w:rPr>
          <w:noProof/>
        </w:rPr>
        <w:t xml:space="preserve">Cilj je mjere provesti dodatna ulaganja u program razvoja javne vodoopskrbe. Ta mjera uključuje izgradnju i sanaciju dodatnih 131 km javnih vodoopskrbnih mreža u Hrvatskoj, čime će se poboljšati opskrba pitkom vodom i smanjiti gubici vode te omogućiti bolji pristup javnim vodoopskrbnim uslugama za dodatnih 26 000 stanovnika. </w:t>
      </w:r>
    </w:p>
    <w:p w14:paraId="4D4CDC3C" w14:textId="77777777" w:rsidR="00733DCA" w:rsidRDefault="00733DCA" w:rsidP="0001477B">
      <w:pPr>
        <w:pStyle w:val="paragraph"/>
        <w:spacing w:before="0" w:beforeAutospacing="0" w:after="0" w:afterAutospacing="0"/>
        <w:jc w:val="both"/>
        <w:rPr>
          <w:rFonts w:eastAsia="Calibri"/>
          <w:noProof/>
        </w:rPr>
      </w:pPr>
      <w:r>
        <w:rPr>
          <w:noProof/>
        </w:rPr>
        <w:t>Ulaganje će se provesti dodjelom bespovratnih sredstava isporučiteljima vodnih usluga, pri čemu će se prednost dati već razrađenim projektima. financiranje će zajednički osigurati Mehanizam za oporavak i otpornost, korisnici projekta, resorno ministarstvo i nacionalno poduzeće za vodu, Hrvatske vode,</w:t>
      </w:r>
    </w:p>
    <w:p w14:paraId="18A9D4F2" w14:textId="77777777" w:rsidR="00733DCA" w:rsidRPr="00BC0323" w:rsidRDefault="00733DCA" w:rsidP="0001477B">
      <w:pPr>
        <w:spacing w:after="0" w:line="240" w:lineRule="auto"/>
        <w:jc w:val="both"/>
        <w:rPr>
          <w:rFonts w:ascii="Times New Roman" w:eastAsia="Times New Roman" w:hAnsi="Times New Roman" w:cs="Times New Roman"/>
          <w:noProof/>
          <w:sz w:val="24"/>
          <w:szCs w:val="24"/>
        </w:rPr>
      </w:pPr>
    </w:p>
    <w:p w14:paraId="465B1803" w14:textId="77777777" w:rsidR="00733DCA" w:rsidRDefault="00733DCA" w:rsidP="0001477B">
      <w:pPr>
        <w:pStyle w:val="paragraph"/>
        <w:spacing w:before="0" w:beforeAutospacing="0" w:after="0" w:afterAutospacing="0"/>
        <w:jc w:val="both"/>
        <w:rPr>
          <w:noProof/>
        </w:rPr>
      </w:pPr>
      <w:r>
        <w:rPr>
          <w:noProof/>
        </w:rPr>
        <w:t>Ulaganje se sastoji od izgradnje sustava opskrbe vodom za piće s prosječnom potrošnjom energije od ≤ 0,5 kWh ili infrastrukturnim indeksom istjecanja (ILI) od ≤ 1,5 te od obnove postojećih sustava opskrbe vodom za piće radi smanjenja prosječne potrošnje energije za više od 20 % ili smanjenja istjecanja za više od 20 %.</w:t>
      </w:r>
    </w:p>
    <w:p w14:paraId="2FB50B99" w14:textId="77777777" w:rsidR="00733DCA" w:rsidRPr="00E43900" w:rsidRDefault="00733DCA" w:rsidP="0001477B">
      <w:pPr>
        <w:pStyle w:val="paragraph"/>
        <w:spacing w:before="0" w:beforeAutospacing="0" w:after="0" w:afterAutospacing="0"/>
        <w:jc w:val="both"/>
        <w:rPr>
          <w:noProof/>
        </w:rPr>
      </w:pPr>
    </w:p>
    <w:p w14:paraId="4F8AC49F" w14:textId="77777777" w:rsidR="00733DCA" w:rsidRPr="00E43900" w:rsidRDefault="00733DCA" w:rsidP="0001477B">
      <w:pPr>
        <w:pStyle w:val="paragraph"/>
        <w:spacing w:before="0" w:beforeAutospacing="0" w:after="0" w:afterAutospacing="0"/>
        <w:jc w:val="both"/>
        <w:rPr>
          <w:noProof/>
        </w:rPr>
      </w:pPr>
      <w:r>
        <w:rPr>
          <w:noProof/>
        </w:rPr>
        <w:t>Ulaganje će završiti do 30. lipnja 2026.</w:t>
      </w:r>
    </w:p>
    <w:p w14:paraId="19A5F203" w14:textId="77777777" w:rsidR="00733DCA" w:rsidRPr="00BC0323" w:rsidRDefault="00733DCA" w:rsidP="0001477B">
      <w:pPr>
        <w:pStyle w:val="paragraph"/>
        <w:spacing w:before="0" w:beforeAutospacing="0" w:after="0" w:afterAutospacing="0"/>
        <w:jc w:val="both"/>
        <w:rPr>
          <w:rFonts w:eastAsia="Calibri"/>
          <w:noProof/>
        </w:rPr>
        <w:sectPr w:rsidR="00733DCA" w:rsidRPr="00BC0323" w:rsidSect="0001477B">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08" w:footer="708" w:gutter="0"/>
          <w:cols w:space="708"/>
          <w:docGrid w:linePitch="360"/>
        </w:sectPr>
      </w:pPr>
    </w:p>
    <w:p w14:paraId="0E42264C"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C.4.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p w14:paraId="1AC3F6D9"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eop"/>
          <w:noProof/>
          <w:color w:val="4F81BD"/>
        </w:rPr>
        <w:t> </w:t>
      </w:r>
    </w:p>
    <w:tbl>
      <w:tblPr>
        <w:tblW w:w="14882"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7"/>
        <w:gridCol w:w="1220"/>
        <w:gridCol w:w="894"/>
        <w:gridCol w:w="2403"/>
        <w:gridCol w:w="1974"/>
        <w:gridCol w:w="954"/>
        <w:gridCol w:w="1122"/>
        <w:gridCol w:w="979"/>
        <w:gridCol w:w="486"/>
        <w:gridCol w:w="846"/>
        <w:gridCol w:w="3107"/>
      </w:tblGrid>
      <w:tr w:rsidR="00CE6E44" w:rsidRPr="00AD2AC5" w14:paraId="46E4ED45" w14:textId="77777777" w:rsidTr="00CF6A27">
        <w:trPr>
          <w:trHeight w:val="561"/>
          <w:tblHeader/>
        </w:trPr>
        <w:tc>
          <w:tcPr>
            <w:tcW w:w="9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E19003" w14:textId="049EBB8F" w:rsidR="00733DCA" w:rsidRPr="00AD2AC5" w:rsidRDefault="00733DCA" w:rsidP="00214953">
            <w:pPr>
              <w:spacing w:after="0" w:line="276" w:lineRule="auto"/>
              <w:jc w:val="center"/>
              <w:rPr>
                <w:rFonts w:eastAsia="Times New Roman" w:cstheme="minorHAnsi"/>
                <w:b/>
                <w:noProof/>
                <w:sz w:val="20"/>
                <w:szCs w:val="20"/>
              </w:rPr>
            </w:pPr>
            <w:r>
              <w:rPr>
                <w:b/>
                <w:noProof/>
                <w:sz w:val="20"/>
              </w:rPr>
              <w:t xml:space="preserve"> Broj </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5EB13B" w14:textId="588E064F" w:rsidR="00733DCA" w:rsidRPr="00AD2AC5" w:rsidRDefault="00733DCA" w:rsidP="00214953">
            <w:pPr>
              <w:spacing w:after="0" w:line="276" w:lineRule="auto"/>
              <w:jc w:val="center"/>
              <w:rPr>
                <w:rFonts w:eastAsia="Times New Roman" w:cstheme="minorHAnsi"/>
                <w:b/>
                <w:noProof/>
                <w:sz w:val="20"/>
                <w:szCs w:val="20"/>
              </w:rPr>
            </w:pPr>
            <w:r>
              <w:rPr>
                <w:b/>
                <w:noProof/>
                <w:sz w:val="20"/>
              </w:rPr>
              <w:t xml:space="preserve">Povezana mjera </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C2253C" w14:textId="77777777" w:rsidR="00733DCA" w:rsidRPr="00AD2AC5" w:rsidRDefault="00733DCA" w:rsidP="00214953">
            <w:pPr>
              <w:spacing w:after="0" w:line="276" w:lineRule="auto"/>
              <w:jc w:val="center"/>
              <w:rPr>
                <w:rFonts w:eastAsia="Times New Roman" w:cstheme="minorHAnsi"/>
                <w:b/>
                <w:noProof/>
                <w:sz w:val="20"/>
                <w:szCs w:val="20"/>
              </w:rPr>
            </w:pPr>
            <w:r>
              <w:rPr>
                <w:b/>
                <w:noProof/>
                <w:sz w:val="20"/>
              </w:rPr>
              <w:t>Ključna etapa / ciljna vrijednost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1B51DB" w14:textId="77777777" w:rsidR="00733DCA" w:rsidRPr="00AD2AC5" w:rsidRDefault="00733DCA" w:rsidP="00214953">
            <w:pPr>
              <w:spacing w:after="0" w:line="276" w:lineRule="auto"/>
              <w:jc w:val="center"/>
              <w:rPr>
                <w:rFonts w:eastAsia="Times New Roman" w:cstheme="minorHAnsi"/>
                <w:b/>
                <w:noProof/>
                <w:sz w:val="20"/>
                <w:szCs w:val="20"/>
              </w:rPr>
            </w:pPr>
            <w:r>
              <w:rPr>
                <w:b/>
                <w:noProof/>
                <w:sz w:val="20"/>
              </w:rPr>
              <w:t>Naziv </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1FF6FB" w14:textId="77777777" w:rsidR="00733DCA" w:rsidRPr="00AD2AC5" w:rsidRDefault="00733DCA" w:rsidP="00214953">
            <w:pPr>
              <w:spacing w:after="0" w:line="276" w:lineRule="auto"/>
              <w:jc w:val="center"/>
              <w:rPr>
                <w:rFonts w:eastAsia="Times New Roman" w:cstheme="minorHAnsi"/>
                <w:b/>
                <w:noProof/>
                <w:sz w:val="20"/>
                <w:szCs w:val="20"/>
              </w:rPr>
            </w:pPr>
            <w:r>
              <w:rPr>
                <w:b/>
                <w:noProof/>
                <w:sz w:val="20"/>
              </w:rPr>
              <w:t xml:space="preserve">Kvalitativni pokazatelji </w:t>
            </w:r>
            <w:r>
              <w:rPr>
                <w:b/>
                <w:noProof/>
                <w:sz w:val="20"/>
              </w:rPr>
              <w:br/>
              <w:t>(za ključne etape) </w:t>
            </w:r>
          </w:p>
        </w:tc>
        <w:tc>
          <w:tcPr>
            <w:tcW w:w="3059" w:type="dxa"/>
            <w:gridSpan w:val="3"/>
            <w:tcBorders>
              <w:top w:val="single" w:sz="6" w:space="0" w:color="auto"/>
              <w:left w:val="single" w:sz="4" w:space="0" w:color="auto"/>
              <w:bottom w:val="single" w:sz="6" w:space="0" w:color="auto"/>
              <w:right w:val="single" w:sz="6" w:space="0" w:color="auto"/>
            </w:tcBorders>
            <w:shd w:val="clear" w:color="auto" w:fill="BDD7EE"/>
            <w:vAlign w:val="center"/>
            <w:hideMark/>
          </w:tcPr>
          <w:p w14:paraId="7852CC67" w14:textId="77777777" w:rsidR="00733DCA" w:rsidRPr="00AD2AC5" w:rsidRDefault="00733DCA" w:rsidP="00214953">
            <w:pPr>
              <w:spacing w:after="0" w:line="276" w:lineRule="auto"/>
              <w:jc w:val="center"/>
              <w:rPr>
                <w:rFonts w:eastAsia="Times New Roman" w:cstheme="minorHAnsi"/>
                <w:b/>
                <w:noProof/>
                <w:sz w:val="20"/>
                <w:szCs w:val="20"/>
              </w:rPr>
            </w:pPr>
            <w:r>
              <w:rPr>
                <w:b/>
                <w:noProof/>
                <w:sz w:val="20"/>
              </w:rPr>
              <w:t xml:space="preserve">Kvantitativni pokazatelji </w:t>
            </w:r>
            <w:r>
              <w:rPr>
                <w:b/>
                <w:noProof/>
                <w:sz w:val="20"/>
              </w:rPr>
              <w:br/>
              <w:t>(za ciljne vrijednosti) </w:t>
            </w:r>
          </w:p>
        </w:tc>
        <w:tc>
          <w:tcPr>
            <w:tcW w:w="1335" w:type="dxa"/>
            <w:gridSpan w:val="2"/>
            <w:tcBorders>
              <w:top w:val="single" w:sz="6" w:space="0" w:color="auto"/>
              <w:left w:val="nil"/>
              <w:bottom w:val="single" w:sz="6" w:space="0" w:color="auto"/>
              <w:right w:val="single" w:sz="4" w:space="0" w:color="auto"/>
            </w:tcBorders>
            <w:shd w:val="clear" w:color="auto" w:fill="BDD7EE"/>
            <w:vAlign w:val="center"/>
            <w:hideMark/>
          </w:tcPr>
          <w:p w14:paraId="1B7887BA" w14:textId="2CB229DC" w:rsidR="00733DCA" w:rsidRPr="00AD2AC5" w:rsidRDefault="00274621" w:rsidP="00214953">
            <w:pPr>
              <w:spacing w:after="0" w:line="276" w:lineRule="auto"/>
              <w:jc w:val="center"/>
              <w:rPr>
                <w:rFonts w:eastAsia="Times New Roman" w:cstheme="minorHAnsi"/>
                <w:b/>
                <w:noProof/>
                <w:sz w:val="20"/>
                <w:szCs w:val="20"/>
              </w:rPr>
            </w:pPr>
            <w:r>
              <w:rPr>
                <w:b/>
                <w:noProof/>
                <w:sz w:val="20"/>
              </w:rPr>
              <w:t>Vrijeme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FBAB3B" w14:textId="77777777" w:rsidR="00733DCA" w:rsidRPr="00AD2AC5" w:rsidRDefault="00733DCA" w:rsidP="00214953">
            <w:pPr>
              <w:spacing w:after="0" w:line="276" w:lineRule="auto"/>
              <w:jc w:val="center"/>
              <w:rPr>
                <w:rFonts w:eastAsia="Times New Roman" w:cstheme="minorHAnsi"/>
                <w:noProof/>
                <w:sz w:val="20"/>
                <w:szCs w:val="20"/>
              </w:rPr>
            </w:pPr>
            <w:r>
              <w:rPr>
                <w:b/>
                <w:noProof/>
                <w:sz w:val="20"/>
              </w:rPr>
              <w:t>Opis svake ključne etape i ciljne vrijednosti</w:t>
            </w:r>
            <w:r>
              <w:rPr>
                <w:noProof/>
                <w:sz w:val="20"/>
              </w:rPr>
              <w:t> </w:t>
            </w:r>
          </w:p>
        </w:tc>
      </w:tr>
      <w:tr w:rsidR="00F04409" w:rsidRPr="00AD2AC5" w14:paraId="39D333D8" w14:textId="77777777" w:rsidTr="00CF6A27">
        <w:trPr>
          <w:trHeight w:val="271"/>
          <w:tblHead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76F4D33" w14:textId="77777777" w:rsidR="00733DCA" w:rsidRPr="00BC0323" w:rsidRDefault="00733DCA" w:rsidP="00214953">
            <w:pPr>
              <w:spacing w:after="0" w:line="276" w:lineRule="auto"/>
              <w:jc w:val="center"/>
              <w:rPr>
                <w:rFonts w:eastAsia="Times New Roman" w:cstheme="minorHAnsi"/>
                <w:b/>
                <w:noProof/>
                <w:sz w:val="20"/>
                <w:szCs w:val="20"/>
                <w:lang w:eastAsia="en-GB"/>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63F19543" w14:textId="77777777" w:rsidR="00733DCA" w:rsidRPr="00BC0323" w:rsidRDefault="00733DCA" w:rsidP="00214953">
            <w:pPr>
              <w:spacing w:after="0" w:line="276" w:lineRule="auto"/>
              <w:jc w:val="center"/>
              <w:rPr>
                <w:rFonts w:eastAsia="Times New Roman" w:cstheme="minorHAnsi"/>
                <w:b/>
                <w:noProof/>
                <w:sz w:val="20"/>
                <w:szCs w:val="20"/>
                <w:lang w:eastAsia="en-GB"/>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45F80F38" w14:textId="77777777" w:rsidR="00733DCA" w:rsidRPr="00BC0323" w:rsidRDefault="00733DCA" w:rsidP="00214953">
            <w:pPr>
              <w:spacing w:after="0" w:line="276" w:lineRule="auto"/>
              <w:jc w:val="center"/>
              <w:rPr>
                <w:rFonts w:eastAsia="Times New Roman" w:cstheme="minorHAnsi"/>
                <w:b/>
                <w:noProof/>
                <w:sz w:val="20"/>
                <w:szCs w:val="20"/>
                <w:lang w:eastAsia="en-G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6CB60D" w14:textId="77777777" w:rsidR="00733DCA" w:rsidRPr="00BC0323" w:rsidRDefault="00733DCA" w:rsidP="00214953">
            <w:pPr>
              <w:spacing w:after="0" w:line="276" w:lineRule="auto"/>
              <w:jc w:val="center"/>
              <w:rPr>
                <w:rFonts w:eastAsia="Times New Roman" w:cstheme="minorHAnsi"/>
                <w:b/>
                <w:noProof/>
                <w:sz w:val="20"/>
                <w:szCs w:val="20"/>
                <w:lang w:eastAsia="en-GB"/>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D910157" w14:textId="77777777" w:rsidR="00733DCA" w:rsidRPr="00BC0323" w:rsidRDefault="00733DCA" w:rsidP="00214953">
            <w:pPr>
              <w:spacing w:after="0" w:line="276" w:lineRule="auto"/>
              <w:jc w:val="center"/>
              <w:rPr>
                <w:rFonts w:eastAsia="Times New Roman" w:cstheme="minorHAnsi"/>
                <w:b/>
                <w:noProof/>
                <w:sz w:val="20"/>
                <w:szCs w:val="20"/>
                <w:lang w:eastAsia="en-GB"/>
              </w:rPr>
            </w:pPr>
          </w:p>
        </w:tc>
        <w:tc>
          <w:tcPr>
            <w:tcW w:w="955" w:type="dxa"/>
            <w:tcBorders>
              <w:top w:val="nil"/>
              <w:left w:val="single" w:sz="4" w:space="0" w:color="auto"/>
              <w:bottom w:val="single" w:sz="6" w:space="0" w:color="auto"/>
              <w:right w:val="single" w:sz="6" w:space="0" w:color="auto"/>
            </w:tcBorders>
            <w:shd w:val="clear" w:color="auto" w:fill="BDD7EE"/>
            <w:vAlign w:val="center"/>
            <w:hideMark/>
          </w:tcPr>
          <w:p w14:paraId="1EED40AC" w14:textId="23BB3367" w:rsidR="00733DCA" w:rsidRPr="00AD2AC5" w:rsidRDefault="00733DCA" w:rsidP="00214953">
            <w:pPr>
              <w:spacing w:after="0" w:line="276" w:lineRule="auto"/>
              <w:jc w:val="center"/>
              <w:textAlignment w:val="baseline"/>
              <w:rPr>
                <w:rFonts w:eastAsia="Times New Roman" w:cstheme="minorHAnsi"/>
                <w:b/>
                <w:noProof/>
                <w:sz w:val="20"/>
                <w:szCs w:val="20"/>
              </w:rPr>
            </w:pPr>
            <w:r>
              <w:rPr>
                <w:b/>
                <w:noProof/>
                <w:sz w:val="20"/>
              </w:rPr>
              <w:t>Jedinica  </w:t>
            </w:r>
          </w:p>
        </w:tc>
        <w:tc>
          <w:tcPr>
            <w:tcW w:w="1123" w:type="dxa"/>
            <w:tcBorders>
              <w:top w:val="nil"/>
              <w:left w:val="nil"/>
              <w:bottom w:val="single" w:sz="6" w:space="0" w:color="auto"/>
              <w:right w:val="single" w:sz="6" w:space="0" w:color="auto"/>
            </w:tcBorders>
            <w:shd w:val="clear" w:color="auto" w:fill="BDD7EE"/>
            <w:vAlign w:val="center"/>
            <w:hideMark/>
          </w:tcPr>
          <w:p w14:paraId="0ED6C6B4" w14:textId="77777777" w:rsidR="00733DCA" w:rsidRPr="00AD2AC5" w:rsidRDefault="00733DCA" w:rsidP="00214953">
            <w:pPr>
              <w:spacing w:after="0" w:line="276" w:lineRule="auto"/>
              <w:jc w:val="center"/>
              <w:textAlignment w:val="baseline"/>
              <w:rPr>
                <w:rFonts w:eastAsia="Times New Roman" w:cstheme="minorHAnsi"/>
                <w:b/>
                <w:noProof/>
                <w:sz w:val="20"/>
                <w:szCs w:val="20"/>
              </w:rPr>
            </w:pPr>
            <w:r>
              <w:rPr>
                <w:b/>
                <w:noProof/>
                <w:sz w:val="20"/>
              </w:rPr>
              <w:t>Osnovna vrijednost  </w:t>
            </w:r>
          </w:p>
        </w:tc>
        <w:tc>
          <w:tcPr>
            <w:tcW w:w="981" w:type="dxa"/>
            <w:tcBorders>
              <w:top w:val="nil"/>
              <w:left w:val="nil"/>
              <w:bottom w:val="single" w:sz="6" w:space="0" w:color="auto"/>
              <w:right w:val="single" w:sz="6" w:space="0" w:color="auto"/>
            </w:tcBorders>
            <w:shd w:val="clear" w:color="auto" w:fill="BDD7EE"/>
            <w:vAlign w:val="center"/>
            <w:hideMark/>
          </w:tcPr>
          <w:p w14:paraId="60918E0D" w14:textId="77777777" w:rsidR="00733DCA" w:rsidRPr="00AD2AC5" w:rsidRDefault="00733DCA" w:rsidP="00214953">
            <w:pPr>
              <w:spacing w:after="0" w:line="276" w:lineRule="auto"/>
              <w:jc w:val="center"/>
              <w:textAlignment w:val="baseline"/>
              <w:rPr>
                <w:rFonts w:eastAsia="Times New Roman" w:cstheme="minorHAnsi"/>
                <w:b/>
                <w:noProof/>
                <w:sz w:val="20"/>
                <w:szCs w:val="20"/>
              </w:rPr>
            </w:pPr>
            <w:r>
              <w:rPr>
                <w:b/>
                <w:noProof/>
                <w:sz w:val="20"/>
              </w:rPr>
              <w:t>Cilj  </w:t>
            </w:r>
          </w:p>
        </w:tc>
        <w:tc>
          <w:tcPr>
            <w:tcW w:w="488" w:type="dxa"/>
            <w:tcBorders>
              <w:top w:val="nil"/>
              <w:left w:val="nil"/>
              <w:bottom w:val="single" w:sz="6" w:space="0" w:color="auto"/>
              <w:right w:val="single" w:sz="6" w:space="0" w:color="auto"/>
            </w:tcBorders>
            <w:shd w:val="clear" w:color="auto" w:fill="BDD7EE"/>
            <w:vAlign w:val="center"/>
            <w:hideMark/>
          </w:tcPr>
          <w:p w14:paraId="4B037E6F" w14:textId="399AE7A5" w:rsidR="00733DCA" w:rsidRPr="00AD2AC5" w:rsidRDefault="00733DCA" w:rsidP="00214953">
            <w:pPr>
              <w:spacing w:after="0" w:line="276" w:lineRule="auto"/>
              <w:jc w:val="center"/>
              <w:textAlignment w:val="baseline"/>
              <w:rPr>
                <w:rFonts w:eastAsia="Times New Roman" w:cstheme="minorHAnsi"/>
                <w:b/>
                <w:noProof/>
                <w:sz w:val="20"/>
                <w:szCs w:val="20"/>
              </w:rPr>
            </w:pPr>
            <w:r>
              <w:rPr>
                <w:b/>
                <w:noProof/>
                <w:sz w:val="20"/>
              </w:rPr>
              <w:t>Q </w:t>
            </w:r>
          </w:p>
        </w:tc>
        <w:tc>
          <w:tcPr>
            <w:tcW w:w="847" w:type="dxa"/>
            <w:tcBorders>
              <w:top w:val="nil"/>
              <w:left w:val="nil"/>
              <w:bottom w:val="single" w:sz="6" w:space="0" w:color="auto"/>
              <w:right w:val="single" w:sz="4" w:space="0" w:color="auto"/>
            </w:tcBorders>
            <w:shd w:val="clear" w:color="auto" w:fill="BDD7EE"/>
            <w:vAlign w:val="center"/>
            <w:hideMark/>
          </w:tcPr>
          <w:p w14:paraId="60164FE0" w14:textId="77777777" w:rsidR="00733DCA" w:rsidRPr="00AD2AC5" w:rsidRDefault="00733DCA" w:rsidP="00214953">
            <w:pPr>
              <w:spacing w:after="0" w:line="276" w:lineRule="auto"/>
              <w:jc w:val="center"/>
              <w:textAlignment w:val="baseline"/>
              <w:rPr>
                <w:rFonts w:eastAsia="Times New Roman" w:cstheme="minorHAnsi"/>
                <w:b/>
                <w:noProof/>
                <w:sz w:val="20"/>
                <w:szCs w:val="20"/>
              </w:rPr>
            </w:pPr>
            <w:r>
              <w:rPr>
                <w:b/>
                <w:noProof/>
                <w:sz w:val="20"/>
              </w:rPr>
              <w:t>Godina </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3031F43" w14:textId="77777777" w:rsidR="00733DCA" w:rsidRPr="00AD2AC5" w:rsidRDefault="00733DCA" w:rsidP="0001477B">
            <w:pPr>
              <w:spacing w:after="0" w:line="240" w:lineRule="auto"/>
              <w:rPr>
                <w:rFonts w:eastAsia="Times New Roman" w:cstheme="minorHAnsi"/>
                <w:noProof/>
                <w:sz w:val="20"/>
                <w:szCs w:val="20"/>
                <w:lang w:val="en-IE" w:eastAsia="en-IE"/>
              </w:rPr>
            </w:pPr>
          </w:p>
        </w:tc>
      </w:tr>
      <w:tr w:rsidR="000E63A9" w:rsidRPr="00AD2AC5" w14:paraId="4ECF2705" w14:textId="77777777" w:rsidTr="00CF6A27">
        <w:trPr>
          <w:trHeight w:val="300"/>
        </w:trPr>
        <w:tc>
          <w:tcPr>
            <w:tcW w:w="900" w:type="dxa"/>
            <w:tcBorders>
              <w:top w:val="single" w:sz="4" w:space="0" w:color="auto"/>
              <w:left w:val="single" w:sz="6" w:space="0" w:color="auto"/>
              <w:bottom w:val="single" w:sz="6" w:space="0" w:color="auto"/>
              <w:right w:val="single" w:sz="6" w:space="0" w:color="auto"/>
            </w:tcBorders>
            <w:shd w:val="clear" w:color="auto" w:fill="C6EFCE"/>
            <w:hideMark/>
          </w:tcPr>
          <w:p w14:paraId="7678AB86" w14:textId="5CBBCC9B" w:rsidR="00733DCA" w:rsidRPr="00AD2AC5" w:rsidRDefault="00041CE6" w:rsidP="0001477B">
            <w:pPr>
              <w:spacing w:after="0" w:line="240" w:lineRule="auto"/>
              <w:jc w:val="center"/>
              <w:textAlignment w:val="baseline"/>
              <w:rPr>
                <w:rFonts w:eastAsia="Times New Roman" w:cstheme="minorHAnsi"/>
                <w:noProof/>
                <w:sz w:val="20"/>
                <w:szCs w:val="20"/>
              </w:rPr>
            </w:pPr>
            <w:r>
              <w:rPr>
                <w:noProof/>
                <w:sz w:val="20"/>
              </w:rPr>
              <w:t>382</w:t>
            </w:r>
          </w:p>
        </w:tc>
        <w:tc>
          <w:tcPr>
            <w:tcW w:w="1223" w:type="dxa"/>
            <w:tcBorders>
              <w:top w:val="single" w:sz="4" w:space="0" w:color="auto"/>
              <w:left w:val="nil"/>
              <w:bottom w:val="single" w:sz="6" w:space="0" w:color="auto"/>
              <w:right w:val="single" w:sz="6" w:space="0" w:color="auto"/>
            </w:tcBorders>
            <w:shd w:val="clear" w:color="auto" w:fill="C6EFCE"/>
            <w:hideMark/>
          </w:tcPr>
          <w:p w14:paraId="0E592D84" w14:textId="2A859B3F"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C1.3. R3</w:t>
            </w:r>
          </w:p>
        </w:tc>
        <w:tc>
          <w:tcPr>
            <w:tcW w:w="855" w:type="dxa"/>
            <w:tcBorders>
              <w:top w:val="single" w:sz="4" w:space="0" w:color="auto"/>
              <w:left w:val="nil"/>
              <w:bottom w:val="single" w:sz="6" w:space="0" w:color="auto"/>
              <w:right w:val="single" w:sz="6" w:space="0" w:color="auto"/>
            </w:tcBorders>
            <w:shd w:val="clear" w:color="auto" w:fill="C6EFCE"/>
          </w:tcPr>
          <w:p w14:paraId="0E33E1EB" w14:textId="1D6DA77D" w:rsidR="00733DCA" w:rsidRPr="00AD2AC5" w:rsidRDefault="00733DCA" w:rsidP="00C33FB0">
            <w:pPr>
              <w:spacing w:after="0" w:line="240" w:lineRule="auto"/>
              <w:jc w:val="center"/>
              <w:textAlignment w:val="baseline"/>
              <w:rPr>
                <w:rFonts w:cstheme="minorHAnsi"/>
                <w:noProof/>
                <w:sz w:val="20"/>
                <w:szCs w:val="20"/>
              </w:rPr>
            </w:pPr>
            <w:r>
              <w:rPr>
                <w:noProof/>
                <w:sz w:val="20"/>
              </w:rPr>
              <w:t>Ključna etapa</w:t>
            </w:r>
          </w:p>
        </w:tc>
        <w:tc>
          <w:tcPr>
            <w:tcW w:w="2410" w:type="dxa"/>
            <w:tcBorders>
              <w:top w:val="single" w:sz="4" w:space="0" w:color="auto"/>
              <w:left w:val="nil"/>
              <w:bottom w:val="single" w:sz="6" w:space="0" w:color="auto"/>
              <w:right w:val="single" w:sz="6" w:space="0" w:color="auto"/>
            </w:tcBorders>
            <w:shd w:val="clear" w:color="auto" w:fill="C6EFCE"/>
          </w:tcPr>
          <w:p w14:paraId="776EBA5A" w14:textId="77777777" w:rsidR="00733DCA" w:rsidRPr="00AD2AC5" w:rsidRDefault="00733DCA" w:rsidP="001B1387">
            <w:pPr>
              <w:spacing w:after="0" w:line="240" w:lineRule="auto"/>
              <w:textAlignment w:val="baseline"/>
              <w:rPr>
                <w:rFonts w:cstheme="minorHAnsi"/>
                <w:noProof/>
                <w:sz w:val="20"/>
                <w:szCs w:val="20"/>
              </w:rPr>
            </w:pPr>
            <w:r>
              <w:rPr>
                <w:noProof/>
                <w:sz w:val="20"/>
              </w:rPr>
              <w:t>Donošenje nacionalnog akcijskog plana za smanjenje gubitaka vode</w:t>
            </w:r>
          </w:p>
        </w:tc>
        <w:tc>
          <w:tcPr>
            <w:tcW w:w="1981" w:type="dxa"/>
            <w:tcBorders>
              <w:top w:val="single" w:sz="4" w:space="0" w:color="auto"/>
              <w:left w:val="nil"/>
              <w:bottom w:val="single" w:sz="6" w:space="0" w:color="auto"/>
              <w:right w:val="single" w:sz="6" w:space="0" w:color="auto"/>
            </w:tcBorders>
            <w:shd w:val="clear" w:color="auto" w:fill="C6EFCE"/>
          </w:tcPr>
          <w:p w14:paraId="6DF0018F" w14:textId="77777777" w:rsidR="00733DCA" w:rsidRPr="00AD2AC5" w:rsidRDefault="00733DCA" w:rsidP="001B1387">
            <w:pPr>
              <w:spacing w:after="0" w:line="240" w:lineRule="auto"/>
              <w:textAlignment w:val="baseline"/>
              <w:rPr>
                <w:rFonts w:cstheme="minorHAnsi"/>
                <w:noProof/>
                <w:sz w:val="20"/>
                <w:szCs w:val="20"/>
              </w:rPr>
            </w:pPr>
            <w:r>
              <w:rPr>
                <w:noProof/>
                <w:sz w:val="20"/>
              </w:rPr>
              <w:t>Hrvatske vode donijele nacionalni plan za smanjenje gubitaka vode</w:t>
            </w:r>
          </w:p>
        </w:tc>
        <w:tc>
          <w:tcPr>
            <w:tcW w:w="955" w:type="dxa"/>
            <w:tcBorders>
              <w:top w:val="nil"/>
              <w:left w:val="nil"/>
              <w:bottom w:val="single" w:sz="6" w:space="0" w:color="auto"/>
              <w:right w:val="single" w:sz="6" w:space="0" w:color="auto"/>
            </w:tcBorders>
            <w:shd w:val="clear" w:color="auto" w:fill="C6EFCE"/>
          </w:tcPr>
          <w:p w14:paraId="2B78B653" w14:textId="77777777" w:rsidR="00733DCA" w:rsidRPr="00AD2AC5" w:rsidRDefault="00733DCA" w:rsidP="0001477B">
            <w:pPr>
              <w:spacing w:after="0" w:line="240" w:lineRule="auto"/>
              <w:jc w:val="both"/>
              <w:textAlignment w:val="baseline"/>
              <w:rPr>
                <w:rFonts w:cstheme="minorHAnsi"/>
                <w:noProof/>
                <w:sz w:val="20"/>
                <w:szCs w:val="20"/>
              </w:rPr>
            </w:pPr>
          </w:p>
        </w:tc>
        <w:tc>
          <w:tcPr>
            <w:tcW w:w="1123" w:type="dxa"/>
            <w:tcBorders>
              <w:top w:val="nil"/>
              <w:left w:val="nil"/>
              <w:bottom w:val="single" w:sz="6" w:space="0" w:color="auto"/>
              <w:right w:val="single" w:sz="6" w:space="0" w:color="auto"/>
            </w:tcBorders>
            <w:shd w:val="clear" w:color="auto" w:fill="C6EFCE"/>
          </w:tcPr>
          <w:p w14:paraId="50F74CDE" w14:textId="77777777" w:rsidR="00733DCA" w:rsidRPr="00AD2AC5" w:rsidRDefault="00733DCA" w:rsidP="0001477B">
            <w:pPr>
              <w:spacing w:after="0" w:line="240" w:lineRule="auto"/>
              <w:jc w:val="right"/>
              <w:textAlignment w:val="baseline"/>
              <w:rPr>
                <w:rFonts w:cstheme="minorHAnsi"/>
                <w:noProof/>
                <w:sz w:val="20"/>
                <w:szCs w:val="20"/>
              </w:rPr>
            </w:pPr>
          </w:p>
        </w:tc>
        <w:tc>
          <w:tcPr>
            <w:tcW w:w="981" w:type="dxa"/>
            <w:tcBorders>
              <w:top w:val="nil"/>
              <w:left w:val="nil"/>
              <w:bottom w:val="single" w:sz="6" w:space="0" w:color="auto"/>
              <w:right w:val="single" w:sz="6" w:space="0" w:color="auto"/>
            </w:tcBorders>
            <w:shd w:val="clear" w:color="auto" w:fill="C6EFCE"/>
          </w:tcPr>
          <w:p w14:paraId="3A4CBBC3" w14:textId="77777777" w:rsidR="00733DCA" w:rsidRPr="00AD2AC5" w:rsidRDefault="00733DCA" w:rsidP="0001477B">
            <w:pPr>
              <w:spacing w:after="0" w:line="240" w:lineRule="auto"/>
              <w:jc w:val="right"/>
              <w:textAlignment w:val="baseline"/>
              <w:rPr>
                <w:rFonts w:cstheme="minorHAnsi"/>
                <w:noProof/>
                <w:sz w:val="20"/>
                <w:szCs w:val="20"/>
              </w:rPr>
            </w:pPr>
          </w:p>
        </w:tc>
        <w:tc>
          <w:tcPr>
            <w:tcW w:w="488" w:type="dxa"/>
            <w:tcBorders>
              <w:top w:val="nil"/>
              <w:left w:val="nil"/>
              <w:bottom w:val="single" w:sz="6" w:space="0" w:color="auto"/>
              <w:right w:val="single" w:sz="6" w:space="0" w:color="auto"/>
            </w:tcBorders>
            <w:shd w:val="clear" w:color="auto" w:fill="C6EFCE"/>
          </w:tcPr>
          <w:p w14:paraId="2CCBFCE3" w14:textId="77777777" w:rsidR="00733DCA" w:rsidRPr="00AD2AC5" w:rsidRDefault="00733DCA" w:rsidP="0001477B">
            <w:pPr>
              <w:spacing w:after="0" w:line="240" w:lineRule="auto"/>
              <w:jc w:val="center"/>
              <w:textAlignment w:val="baseline"/>
              <w:rPr>
                <w:rFonts w:cstheme="minorHAnsi"/>
                <w:noProof/>
                <w:sz w:val="20"/>
                <w:szCs w:val="20"/>
              </w:rPr>
            </w:pPr>
            <w:r>
              <w:rPr>
                <w:noProof/>
                <w:sz w:val="20"/>
              </w:rPr>
              <w:t>2.</w:t>
            </w:r>
          </w:p>
        </w:tc>
        <w:tc>
          <w:tcPr>
            <w:tcW w:w="847" w:type="dxa"/>
            <w:tcBorders>
              <w:top w:val="nil"/>
              <w:left w:val="nil"/>
              <w:bottom w:val="single" w:sz="6" w:space="0" w:color="auto"/>
              <w:right w:val="single" w:sz="6" w:space="0" w:color="auto"/>
            </w:tcBorders>
            <w:shd w:val="clear" w:color="auto" w:fill="C6EFCE"/>
          </w:tcPr>
          <w:p w14:paraId="28B14A29" w14:textId="77777777" w:rsidR="00733DCA" w:rsidRPr="00AD2AC5" w:rsidRDefault="00733DCA" w:rsidP="0001477B">
            <w:pPr>
              <w:spacing w:after="0" w:line="240" w:lineRule="auto"/>
              <w:jc w:val="center"/>
              <w:textAlignment w:val="baseline"/>
              <w:rPr>
                <w:rFonts w:cstheme="minorHAnsi"/>
                <w:noProof/>
                <w:sz w:val="20"/>
                <w:szCs w:val="20"/>
              </w:rPr>
            </w:pPr>
            <w:r>
              <w:rPr>
                <w:noProof/>
                <w:sz w:val="20"/>
              </w:rPr>
              <w:t>2024.</w:t>
            </w:r>
          </w:p>
        </w:tc>
        <w:tc>
          <w:tcPr>
            <w:tcW w:w="3119" w:type="dxa"/>
            <w:tcBorders>
              <w:top w:val="single" w:sz="4" w:space="0" w:color="auto"/>
              <w:left w:val="nil"/>
              <w:bottom w:val="single" w:sz="6" w:space="0" w:color="auto"/>
              <w:right w:val="single" w:sz="6" w:space="0" w:color="auto"/>
            </w:tcBorders>
            <w:shd w:val="clear" w:color="auto" w:fill="C6EFCE"/>
          </w:tcPr>
          <w:p w14:paraId="3476DB7D" w14:textId="77777777" w:rsidR="00733DCA" w:rsidRPr="00AD2AC5" w:rsidRDefault="00733DCA" w:rsidP="001B1387">
            <w:pPr>
              <w:spacing w:after="200" w:line="276" w:lineRule="auto"/>
              <w:rPr>
                <w:rFonts w:eastAsia="Calibri" w:cstheme="minorHAnsi"/>
                <w:noProof/>
                <w:sz w:val="20"/>
                <w:szCs w:val="20"/>
              </w:rPr>
            </w:pPr>
            <w:r>
              <w:rPr>
                <w:noProof/>
                <w:sz w:val="20"/>
              </w:rPr>
              <w:t>Hrvatske vode donijet će nacionalni plan za smanjenje gubitaka vode i objaviti ga na svojim internetskim stranicama. Nacionalni akcijski plan uključuje popis planiranih aktivnosti za smanjenje gubitaka vode, uključujući procjene ulaganja i izvore financiranja. Planom će se obuhvatiti razdoblje 2024.–2026., s perspektivom za razdoblje do 2030. u skladu s Višegodišnjim programom gradnje komunalnih vodnih građevina za razdoblje do 2030. godine</w:t>
            </w:r>
          </w:p>
        </w:tc>
      </w:tr>
      <w:tr w:rsidR="000E63A9" w:rsidRPr="00AD2AC5" w14:paraId="194ABA08"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tcPr>
          <w:p w14:paraId="7C18D822" w14:textId="09BA2A63" w:rsidR="00733DCA" w:rsidRPr="00B869EA" w:rsidRDefault="00041CE6" w:rsidP="0001477B">
            <w:pPr>
              <w:spacing w:after="0" w:line="240" w:lineRule="auto"/>
              <w:jc w:val="center"/>
              <w:textAlignment w:val="baseline"/>
              <w:rPr>
                <w:rFonts w:eastAsia="Times New Roman"/>
                <w:noProof/>
                <w:sz w:val="20"/>
                <w:szCs w:val="20"/>
              </w:rPr>
            </w:pPr>
            <w:r>
              <w:rPr>
                <w:noProof/>
                <w:sz w:val="20"/>
              </w:rPr>
              <w:t>383</w:t>
            </w:r>
          </w:p>
          <w:p w14:paraId="60289114" w14:textId="77777777" w:rsidR="00733DCA" w:rsidRPr="00AD2AC5" w:rsidRDefault="00733DCA" w:rsidP="0001477B">
            <w:pPr>
              <w:spacing w:after="0" w:line="240" w:lineRule="auto"/>
              <w:jc w:val="center"/>
              <w:textAlignment w:val="baseline"/>
              <w:rPr>
                <w:rFonts w:cstheme="minorHAnsi"/>
                <w:noProof/>
                <w:sz w:val="20"/>
                <w:szCs w:val="20"/>
                <w:highlight w:val="yellow"/>
              </w:rPr>
            </w:pPr>
          </w:p>
        </w:tc>
        <w:tc>
          <w:tcPr>
            <w:tcW w:w="1223" w:type="dxa"/>
            <w:tcBorders>
              <w:top w:val="nil"/>
              <w:left w:val="nil"/>
              <w:bottom w:val="single" w:sz="6" w:space="0" w:color="auto"/>
              <w:right w:val="single" w:sz="6" w:space="0" w:color="auto"/>
            </w:tcBorders>
            <w:shd w:val="clear" w:color="auto" w:fill="C6EFCE"/>
          </w:tcPr>
          <w:p w14:paraId="0F528881" w14:textId="593F06D3"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xml:space="preserve">C1.3. R3 </w:t>
            </w:r>
          </w:p>
        </w:tc>
        <w:tc>
          <w:tcPr>
            <w:tcW w:w="855" w:type="dxa"/>
            <w:tcBorders>
              <w:top w:val="nil"/>
              <w:left w:val="nil"/>
              <w:bottom w:val="single" w:sz="6" w:space="0" w:color="auto"/>
              <w:right w:val="single" w:sz="6" w:space="0" w:color="auto"/>
            </w:tcBorders>
            <w:shd w:val="clear" w:color="auto" w:fill="C6EFCE"/>
          </w:tcPr>
          <w:p w14:paraId="6C4B8757" w14:textId="66CF13F4" w:rsidR="00733DCA" w:rsidRPr="00AD2AC5" w:rsidRDefault="00733DCA" w:rsidP="00C33FB0">
            <w:pPr>
              <w:spacing w:after="0" w:line="240" w:lineRule="auto"/>
              <w:jc w:val="center"/>
              <w:textAlignment w:val="baseline"/>
              <w:rPr>
                <w:rFonts w:cstheme="minorHAnsi"/>
                <w:noProof/>
                <w:sz w:val="20"/>
                <w:szCs w:val="20"/>
              </w:rPr>
            </w:pPr>
            <w:r>
              <w:rPr>
                <w:noProof/>
                <w:sz w:val="20"/>
              </w:rPr>
              <w:t>Ključna etapa</w:t>
            </w:r>
          </w:p>
        </w:tc>
        <w:tc>
          <w:tcPr>
            <w:tcW w:w="2410" w:type="dxa"/>
            <w:tcBorders>
              <w:top w:val="nil"/>
              <w:left w:val="nil"/>
              <w:bottom w:val="single" w:sz="6" w:space="0" w:color="auto"/>
              <w:right w:val="single" w:sz="6" w:space="0" w:color="auto"/>
            </w:tcBorders>
            <w:shd w:val="clear" w:color="auto" w:fill="C6EFCE"/>
          </w:tcPr>
          <w:p w14:paraId="28940393" w14:textId="77777777" w:rsidR="00733DCA" w:rsidRPr="00AD2AC5" w:rsidRDefault="00733DCA" w:rsidP="001B1387">
            <w:pPr>
              <w:spacing w:after="0" w:line="240" w:lineRule="auto"/>
              <w:textAlignment w:val="baseline"/>
              <w:rPr>
                <w:rFonts w:cstheme="minorHAnsi"/>
                <w:noProof/>
                <w:sz w:val="20"/>
                <w:szCs w:val="20"/>
              </w:rPr>
            </w:pPr>
            <w:r>
              <w:rPr>
                <w:noProof/>
                <w:sz w:val="20"/>
              </w:rPr>
              <w:t>Osnovano nacionalno tijelo za praćenje gubitaka vode</w:t>
            </w:r>
          </w:p>
        </w:tc>
        <w:tc>
          <w:tcPr>
            <w:tcW w:w="1981" w:type="dxa"/>
            <w:tcBorders>
              <w:top w:val="nil"/>
              <w:left w:val="nil"/>
              <w:bottom w:val="single" w:sz="6" w:space="0" w:color="auto"/>
              <w:right w:val="single" w:sz="6" w:space="0" w:color="auto"/>
            </w:tcBorders>
            <w:shd w:val="clear" w:color="auto" w:fill="C6EFCE"/>
          </w:tcPr>
          <w:p w14:paraId="69EE85B1" w14:textId="04EE3B4F" w:rsidR="00733DCA" w:rsidRPr="00AD2AC5" w:rsidRDefault="5C955288" w:rsidP="39A1C3BA">
            <w:pPr>
              <w:spacing w:after="0" w:line="240" w:lineRule="auto"/>
              <w:textAlignment w:val="baseline"/>
              <w:rPr>
                <w:noProof/>
                <w:sz w:val="20"/>
                <w:szCs w:val="20"/>
              </w:rPr>
            </w:pPr>
            <w:r>
              <w:rPr>
                <w:noProof/>
                <w:sz w:val="20"/>
              </w:rPr>
              <w:t>Osnivanje nacionalnog tijela za praćenje gubitaka vode</w:t>
            </w:r>
          </w:p>
          <w:p w14:paraId="5159F8B1" w14:textId="6F18D849" w:rsidR="00733DCA" w:rsidRPr="00AD2AC5" w:rsidRDefault="00733DCA" w:rsidP="001B1387">
            <w:pPr>
              <w:spacing w:after="0" w:line="240" w:lineRule="auto"/>
              <w:textAlignment w:val="baseline"/>
              <w:rPr>
                <w:noProof/>
                <w:sz w:val="20"/>
                <w:szCs w:val="20"/>
              </w:rPr>
            </w:pPr>
          </w:p>
        </w:tc>
        <w:tc>
          <w:tcPr>
            <w:tcW w:w="955" w:type="dxa"/>
            <w:tcBorders>
              <w:top w:val="nil"/>
              <w:left w:val="nil"/>
              <w:bottom w:val="single" w:sz="6" w:space="0" w:color="auto"/>
              <w:right w:val="single" w:sz="6" w:space="0" w:color="auto"/>
            </w:tcBorders>
            <w:shd w:val="clear" w:color="auto" w:fill="C6EFCE"/>
          </w:tcPr>
          <w:p w14:paraId="03A6736C" w14:textId="77777777" w:rsidR="00733DCA" w:rsidRPr="00AD2AC5" w:rsidRDefault="00733DCA" w:rsidP="0001477B">
            <w:pPr>
              <w:spacing w:after="0" w:line="240" w:lineRule="auto"/>
              <w:jc w:val="both"/>
              <w:textAlignment w:val="baseline"/>
              <w:rPr>
                <w:rFonts w:cstheme="minorHAnsi"/>
                <w:noProof/>
                <w:sz w:val="20"/>
                <w:szCs w:val="20"/>
              </w:rPr>
            </w:pPr>
          </w:p>
        </w:tc>
        <w:tc>
          <w:tcPr>
            <w:tcW w:w="1123" w:type="dxa"/>
            <w:tcBorders>
              <w:top w:val="nil"/>
              <w:left w:val="nil"/>
              <w:bottom w:val="single" w:sz="6" w:space="0" w:color="auto"/>
              <w:right w:val="single" w:sz="6" w:space="0" w:color="auto"/>
            </w:tcBorders>
            <w:shd w:val="clear" w:color="auto" w:fill="C6EFCE"/>
          </w:tcPr>
          <w:p w14:paraId="23A6B6E6" w14:textId="77777777" w:rsidR="00733DCA" w:rsidRPr="00AD2AC5" w:rsidRDefault="00733DCA" w:rsidP="0001477B">
            <w:pPr>
              <w:spacing w:after="0" w:line="240" w:lineRule="auto"/>
              <w:jc w:val="right"/>
              <w:textAlignment w:val="baseline"/>
              <w:rPr>
                <w:rFonts w:cstheme="minorHAnsi"/>
                <w:noProof/>
                <w:sz w:val="20"/>
                <w:szCs w:val="20"/>
              </w:rPr>
            </w:pPr>
          </w:p>
        </w:tc>
        <w:tc>
          <w:tcPr>
            <w:tcW w:w="981" w:type="dxa"/>
            <w:tcBorders>
              <w:top w:val="nil"/>
              <w:left w:val="nil"/>
              <w:bottom w:val="single" w:sz="6" w:space="0" w:color="auto"/>
              <w:right w:val="single" w:sz="6" w:space="0" w:color="auto"/>
            </w:tcBorders>
            <w:shd w:val="clear" w:color="auto" w:fill="C6EFCE"/>
          </w:tcPr>
          <w:p w14:paraId="4DC36607" w14:textId="77777777" w:rsidR="00733DCA" w:rsidRPr="00AD2AC5" w:rsidRDefault="00733DCA" w:rsidP="0001477B">
            <w:pPr>
              <w:spacing w:after="0" w:line="240" w:lineRule="auto"/>
              <w:jc w:val="right"/>
              <w:textAlignment w:val="baseline"/>
              <w:rPr>
                <w:rFonts w:cstheme="minorHAnsi"/>
                <w:noProof/>
                <w:sz w:val="20"/>
                <w:szCs w:val="20"/>
              </w:rPr>
            </w:pPr>
          </w:p>
        </w:tc>
        <w:tc>
          <w:tcPr>
            <w:tcW w:w="488" w:type="dxa"/>
            <w:tcBorders>
              <w:top w:val="nil"/>
              <w:left w:val="nil"/>
              <w:bottom w:val="single" w:sz="6" w:space="0" w:color="auto"/>
              <w:right w:val="single" w:sz="6" w:space="0" w:color="auto"/>
            </w:tcBorders>
            <w:shd w:val="clear" w:color="auto" w:fill="C6EFCE"/>
          </w:tcPr>
          <w:p w14:paraId="5C2DF787" w14:textId="77777777" w:rsidR="00733DCA" w:rsidRPr="00AD2AC5" w:rsidRDefault="00733DCA" w:rsidP="0001477B">
            <w:pPr>
              <w:spacing w:after="0" w:line="240" w:lineRule="auto"/>
              <w:jc w:val="center"/>
              <w:textAlignment w:val="baseline"/>
              <w:rPr>
                <w:rFonts w:cstheme="minorHAnsi"/>
                <w:noProof/>
                <w:sz w:val="20"/>
                <w:szCs w:val="20"/>
              </w:rPr>
            </w:pPr>
            <w:r>
              <w:rPr>
                <w:noProof/>
                <w:sz w:val="20"/>
              </w:rPr>
              <w:t>4.</w:t>
            </w:r>
          </w:p>
        </w:tc>
        <w:tc>
          <w:tcPr>
            <w:tcW w:w="847" w:type="dxa"/>
            <w:tcBorders>
              <w:top w:val="nil"/>
              <w:left w:val="nil"/>
              <w:bottom w:val="single" w:sz="6" w:space="0" w:color="auto"/>
              <w:right w:val="single" w:sz="6" w:space="0" w:color="auto"/>
            </w:tcBorders>
            <w:shd w:val="clear" w:color="auto" w:fill="C6EFCE"/>
          </w:tcPr>
          <w:p w14:paraId="6A7DDFD7" w14:textId="77777777" w:rsidR="00733DCA" w:rsidRPr="00AD2AC5" w:rsidRDefault="00733DCA" w:rsidP="0001477B">
            <w:pPr>
              <w:spacing w:after="0" w:line="240" w:lineRule="auto"/>
              <w:jc w:val="center"/>
              <w:textAlignment w:val="baseline"/>
              <w:rPr>
                <w:rFonts w:cstheme="minorHAnsi"/>
                <w:noProof/>
                <w:sz w:val="20"/>
                <w:szCs w:val="20"/>
              </w:rPr>
            </w:pPr>
            <w:r>
              <w:rPr>
                <w:noProof/>
                <w:sz w:val="20"/>
              </w:rPr>
              <w:t>2024.</w:t>
            </w:r>
          </w:p>
        </w:tc>
        <w:tc>
          <w:tcPr>
            <w:tcW w:w="3119" w:type="dxa"/>
            <w:tcBorders>
              <w:top w:val="nil"/>
              <w:left w:val="nil"/>
              <w:bottom w:val="single" w:sz="6" w:space="0" w:color="auto"/>
              <w:right w:val="single" w:sz="6" w:space="0" w:color="auto"/>
            </w:tcBorders>
            <w:shd w:val="clear" w:color="auto" w:fill="C6EFCE"/>
          </w:tcPr>
          <w:p w14:paraId="7A012739" w14:textId="77777777" w:rsidR="00733DCA" w:rsidRPr="00AD2AC5" w:rsidRDefault="00733DCA" w:rsidP="001B1387">
            <w:pPr>
              <w:spacing w:after="200" w:line="276" w:lineRule="auto"/>
              <w:rPr>
                <w:rFonts w:eastAsia="Calibri" w:cstheme="minorHAnsi"/>
                <w:noProof/>
                <w:sz w:val="20"/>
                <w:szCs w:val="20"/>
              </w:rPr>
            </w:pPr>
            <w:r>
              <w:rPr>
                <w:noProof/>
                <w:sz w:val="20"/>
              </w:rPr>
              <w:t>Osnovat će se nacionalno tijelo za praćenje gubitaka vode koje će biti ovlašteno za nadzor izvedbe mjera propisanih nacionalnim akcijskim planom za smanjenje gubitaka vode i za provjeru akcijskih planova za smanjenje gubitaka isporučitelja vodnih usluga.</w:t>
            </w:r>
          </w:p>
        </w:tc>
      </w:tr>
      <w:tr w:rsidR="000E63A9" w:rsidRPr="00AD2AC5" w14:paraId="3996E10B"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62CF965A" w14:textId="43043B03" w:rsidR="00733DCA" w:rsidRPr="00AD2AC5" w:rsidRDefault="00041CE6" w:rsidP="0001477B">
            <w:pPr>
              <w:spacing w:after="0" w:line="240" w:lineRule="auto"/>
              <w:jc w:val="center"/>
              <w:textAlignment w:val="baseline"/>
              <w:rPr>
                <w:rFonts w:eastAsia="Times New Roman" w:cstheme="minorHAnsi"/>
                <w:noProof/>
                <w:sz w:val="20"/>
                <w:szCs w:val="20"/>
              </w:rPr>
            </w:pPr>
            <w:r>
              <w:rPr>
                <w:noProof/>
                <w:sz w:val="20"/>
              </w:rPr>
              <w:t>384</w:t>
            </w:r>
          </w:p>
        </w:tc>
        <w:tc>
          <w:tcPr>
            <w:tcW w:w="1223" w:type="dxa"/>
            <w:tcBorders>
              <w:top w:val="nil"/>
              <w:left w:val="nil"/>
              <w:bottom w:val="single" w:sz="6" w:space="0" w:color="auto"/>
              <w:right w:val="single" w:sz="6" w:space="0" w:color="auto"/>
            </w:tcBorders>
            <w:shd w:val="clear" w:color="auto" w:fill="C6EFCE"/>
            <w:hideMark/>
          </w:tcPr>
          <w:p w14:paraId="50C7E58B" w14:textId="61F5BA6C"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xml:space="preserve"> C1.3. R3 </w:t>
            </w:r>
          </w:p>
        </w:tc>
        <w:tc>
          <w:tcPr>
            <w:tcW w:w="855" w:type="dxa"/>
            <w:tcBorders>
              <w:top w:val="nil"/>
              <w:left w:val="nil"/>
              <w:bottom w:val="single" w:sz="6" w:space="0" w:color="auto"/>
              <w:right w:val="single" w:sz="6" w:space="0" w:color="auto"/>
            </w:tcBorders>
            <w:shd w:val="clear" w:color="auto" w:fill="C6EFCE"/>
          </w:tcPr>
          <w:p w14:paraId="1FBDE016" w14:textId="2EFEABCA" w:rsidR="00733DCA" w:rsidRPr="00AD2AC5" w:rsidRDefault="64861391" w:rsidP="006A14EA">
            <w:pPr>
              <w:spacing w:after="0" w:line="240" w:lineRule="auto"/>
              <w:jc w:val="center"/>
              <w:textAlignment w:val="baseline"/>
              <w:rPr>
                <w:noProof/>
                <w:sz w:val="20"/>
                <w:szCs w:val="20"/>
              </w:rPr>
            </w:pPr>
            <w:r>
              <w:rPr>
                <w:noProof/>
                <w:sz w:val="20"/>
              </w:rPr>
              <w:t>Ciljna vrijednost</w:t>
            </w:r>
          </w:p>
        </w:tc>
        <w:tc>
          <w:tcPr>
            <w:tcW w:w="2410" w:type="dxa"/>
            <w:tcBorders>
              <w:top w:val="nil"/>
              <w:left w:val="nil"/>
              <w:bottom w:val="single" w:sz="6" w:space="0" w:color="auto"/>
              <w:right w:val="single" w:sz="6" w:space="0" w:color="auto"/>
            </w:tcBorders>
            <w:shd w:val="clear" w:color="auto" w:fill="C6EFCE"/>
          </w:tcPr>
          <w:p w14:paraId="524A769F" w14:textId="77777777" w:rsidR="00733DCA" w:rsidRPr="00AD2AC5" w:rsidRDefault="00733DCA" w:rsidP="001B1387">
            <w:pPr>
              <w:spacing w:after="0" w:line="240" w:lineRule="auto"/>
              <w:textAlignment w:val="baseline"/>
              <w:rPr>
                <w:rFonts w:cstheme="minorHAnsi"/>
                <w:noProof/>
                <w:sz w:val="20"/>
                <w:szCs w:val="20"/>
              </w:rPr>
            </w:pPr>
            <w:r>
              <w:rPr>
                <w:noProof/>
                <w:sz w:val="20"/>
              </w:rPr>
              <w:t>Donošenje akcijskih planova za smanjenje gubitaka vode od strane isporučitelja vodnih usluga</w:t>
            </w:r>
          </w:p>
        </w:tc>
        <w:tc>
          <w:tcPr>
            <w:tcW w:w="1981" w:type="dxa"/>
            <w:tcBorders>
              <w:top w:val="nil"/>
              <w:left w:val="nil"/>
              <w:bottom w:val="single" w:sz="6" w:space="0" w:color="auto"/>
              <w:right w:val="single" w:sz="6" w:space="0" w:color="auto"/>
            </w:tcBorders>
            <w:shd w:val="clear" w:color="auto" w:fill="C6EFCE"/>
          </w:tcPr>
          <w:p w14:paraId="0DB5884F" w14:textId="77777777" w:rsidR="00733DCA" w:rsidRPr="00AD2AC5" w:rsidRDefault="00733DCA" w:rsidP="001B1387">
            <w:pPr>
              <w:spacing w:after="0" w:line="240" w:lineRule="auto"/>
              <w:textAlignment w:val="baseline"/>
              <w:rPr>
                <w:rFonts w:cstheme="minorHAnsi"/>
                <w:noProof/>
                <w:sz w:val="20"/>
                <w:szCs w:val="20"/>
              </w:rPr>
            </w:pPr>
          </w:p>
        </w:tc>
        <w:tc>
          <w:tcPr>
            <w:tcW w:w="955" w:type="dxa"/>
            <w:tcBorders>
              <w:top w:val="nil"/>
              <w:left w:val="nil"/>
              <w:bottom w:val="single" w:sz="6" w:space="0" w:color="auto"/>
              <w:right w:val="single" w:sz="6" w:space="0" w:color="auto"/>
            </w:tcBorders>
            <w:shd w:val="clear" w:color="auto" w:fill="C6EFCE"/>
          </w:tcPr>
          <w:p w14:paraId="083AEA50" w14:textId="77777777" w:rsidR="00733DCA" w:rsidRPr="00AD2AC5" w:rsidRDefault="00733DCA" w:rsidP="0001477B">
            <w:pPr>
              <w:spacing w:after="0" w:line="240" w:lineRule="auto"/>
              <w:jc w:val="both"/>
              <w:textAlignment w:val="baseline"/>
              <w:rPr>
                <w:rFonts w:cstheme="minorHAnsi"/>
                <w:noProof/>
                <w:sz w:val="20"/>
                <w:szCs w:val="20"/>
              </w:rPr>
            </w:pPr>
            <w:r>
              <w:rPr>
                <w:noProof/>
                <w:sz w:val="20"/>
              </w:rPr>
              <w:t>Broj</w:t>
            </w:r>
          </w:p>
        </w:tc>
        <w:tc>
          <w:tcPr>
            <w:tcW w:w="1123" w:type="dxa"/>
            <w:tcBorders>
              <w:top w:val="nil"/>
              <w:left w:val="nil"/>
              <w:bottom w:val="single" w:sz="6" w:space="0" w:color="auto"/>
              <w:right w:val="single" w:sz="6" w:space="0" w:color="auto"/>
            </w:tcBorders>
            <w:shd w:val="clear" w:color="auto" w:fill="C6EFCE"/>
          </w:tcPr>
          <w:p w14:paraId="573BA799" w14:textId="77777777" w:rsidR="00733DCA" w:rsidRPr="00AD2AC5" w:rsidRDefault="00733DCA" w:rsidP="0001477B">
            <w:pPr>
              <w:spacing w:after="0" w:line="240" w:lineRule="auto"/>
              <w:jc w:val="right"/>
              <w:textAlignment w:val="baseline"/>
              <w:rPr>
                <w:rFonts w:cstheme="minorHAnsi"/>
                <w:noProof/>
                <w:sz w:val="20"/>
                <w:szCs w:val="20"/>
              </w:rPr>
            </w:pPr>
            <w:r>
              <w:rPr>
                <w:noProof/>
                <w:sz w:val="20"/>
              </w:rPr>
              <w:t>0</w:t>
            </w:r>
          </w:p>
        </w:tc>
        <w:tc>
          <w:tcPr>
            <w:tcW w:w="981" w:type="dxa"/>
            <w:tcBorders>
              <w:top w:val="nil"/>
              <w:left w:val="nil"/>
              <w:bottom w:val="single" w:sz="6" w:space="0" w:color="auto"/>
              <w:right w:val="single" w:sz="6" w:space="0" w:color="auto"/>
            </w:tcBorders>
            <w:shd w:val="clear" w:color="auto" w:fill="C6EFCE"/>
          </w:tcPr>
          <w:p w14:paraId="26997CB0" w14:textId="77777777" w:rsidR="00733DCA" w:rsidRPr="00AD2AC5" w:rsidRDefault="00733DCA" w:rsidP="0001477B">
            <w:pPr>
              <w:spacing w:after="0" w:line="240" w:lineRule="auto"/>
              <w:jc w:val="right"/>
              <w:textAlignment w:val="baseline"/>
              <w:rPr>
                <w:rFonts w:cstheme="minorHAnsi"/>
                <w:noProof/>
                <w:sz w:val="20"/>
                <w:szCs w:val="20"/>
              </w:rPr>
            </w:pPr>
            <w:r>
              <w:rPr>
                <w:noProof/>
                <w:sz w:val="20"/>
              </w:rPr>
              <w:t>40</w:t>
            </w:r>
          </w:p>
        </w:tc>
        <w:tc>
          <w:tcPr>
            <w:tcW w:w="488" w:type="dxa"/>
            <w:tcBorders>
              <w:top w:val="nil"/>
              <w:left w:val="nil"/>
              <w:bottom w:val="single" w:sz="6" w:space="0" w:color="auto"/>
              <w:right w:val="single" w:sz="6" w:space="0" w:color="auto"/>
            </w:tcBorders>
            <w:shd w:val="clear" w:color="auto" w:fill="C6EFCE"/>
          </w:tcPr>
          <w:p w14:paraId="69513930" w14:textId="77777777" w:rsidR="00733DCA" w:rsidRPr="00AD2AC5" w:rsidRDefault="00733DCA" w:rsidP="0001477B">
            <w:pPr>
              <w:spacing w:after="0" w:line="240" w:lineRule="auto"/>
              <w:jc w:val="center"/>
              <w:textAlignment w:val="baseline"/>
              <w:rPr>
                <w:rFonts w:cstheme="minorHAnsi"/>
                <w:noProof/>
                <w:sz w:val="20"/>
                <w:szCs w:val="20"/>
              </w:rPr>
            </w:pPr>
            <w:r>
              <w:rPr>
                <w:noProof/>
                <w:sz w:val="20"/>
              </w:rPr>
              <w:t>4.</w:t>
            </w:r>
          </w:p>
        </w:tc>
        <w:tc>
          <w:tcPr>
            <w:tcW w:w="847" w:type="dxa"/>
            <w:tcBorders>
              <w:top w:val="nil"/>
              <w:left w:val="nil"/>
              <w:bottom w:val="single" w:sz="6" w:space="0" w:color="auto"/>
              <w:right w:val="single" w:sz="6" w:space="0" w:color="auto"/>
            </w:tcBorders>
            <w:shd w:val="clear" w:color="auto" w:fill="C6EFCE"/>
          </w:tcPr>
          <w:p w14:paraId="6C0BCAB0" w14:textId="77777777" w:rsidR="00733DCA" w:rsidRPr="00AD2AC5" w:rsidRDefault="00733DCA" w:rsidP="0001477B">
            <w:pPr>
              <w:spacing w:after="0" w:line="240" w:lineRule="auto"/>
              <w:jc w:val="center"/>
              <w:textAlignment w:val="baseline"/>
              <w:rPr>
                <w:rFonts w:cstheme="minorHAnsi"/>
                <w:noProof/>
                <w:sz w:val="20"/>
                <w:szCs w:val="20"/>
              </w:rPr>
            </w:pPr>
            <w:r>
              <w:rPr>
                <w:noProof/>
                <w:sz w:val="20"/>
              </w:rPr>
              <w:t>2025.</w:t>
            </w:r>
          </w:p>
        </w:tc>
        <w:tc>
          <w:tcPr>
            <w:tcW w:w="3119" w:type="dxa"/>
            <w:tcBorders>
              <w:top w:val="nil"/>
              <w:left w:val="nil"/>
              <w:bottom w:val="single" w:sz="6" w:space="0" w:color="auto"/>
              <w:right w:val="single" w:sz="6" w:space="0" w:color="auto"/>
            </w:tcBorders>
            <w:shd w:val="clear" w:color="auto" w:fill="C6EFCE"/>
          </w:tcPr>
          <w:p w14:paraId="1B6BC37E" w14:textId="77777777" w:rsidR="00733DCA" w:rsidRPr="00AD2AC5" w:rsidRDefault="00733DCA" w:rsidP="00B869EA">
            <w:pPr>
              <w:spacing w:after="0" w:line="240" w:lineRule="auto"/>
              <w:textAlignment w:val="baseline"/>
              <w:rPr>
                <w:rFonts w:cstheme="minorHAnsi"/>
                <w:noProof/>
                <w:sz w:val="20"/>
                <w:szCs w:val="20"/>
              </w:rPr>
            </w:pPr>
            <w:r>
              <w:rPr>
                <w:noProof/>
                <w:sz w:val="20"/>
              </w:rPr>
              <w:t xml:space="preserve">Isporučitelji vodnih usluga donijet će najmanje 40 akcijskih planova za smanjenje gubitaka vode. </w:t>
            </w:r>
          </w:p>
          <w:p w14:paraId="10376E80" w14:textId="77777777" w:rsidR="00733DCA" w:rsidRPr="00AD2AC5" w:rsidRDefault="00733DCA" w:rsidP="00B869EA">
            <w:pPr>
              <w:spacing w:after="0" w:line="240" w:lineRule="auto"/>
              <w:textAlignment w:val="baseline"/>
              <w:rPr>
                <w:rFonts w:cstheme="minorHAnsi"/>
                <w:noProof/>
                <w:sz w:val="20"/>
                <w:szCs w:val="20"/>
              </w:rPr>
            </w:pPr>
            <w:r>
              <w:rPr>
                <w:noProof/>
                <w:sz w:val="20"/>
              </w:rPr>
              <w:t xml:space="preserve">Svaki plan sadržavat će organizacijske sheme i plan usavršavanja zaposlenika te druge relevantne mjere definirane nacionalnim planom smanjenja gubitaka (mjere unaprijeđenja podataka o sustavu, mjere optimizacije vodoopskrbnih sustava, mjere aktivne kontrole curenja, mjere rješavanja prividnih gubitaka, mjere planiranja i zamjene cjevovoda). </w:t>
            </w:r>
          </w:p>
        </w:tc>
      </w:tr>
      <w:tr w:rsidR="000E63A9" w:rsidRPr="00AD2AC5" w14:paraId="49567287"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tcPr>
          <w:p w14:paraId="6C4433D7" w14:textId="38E745F8" w:rsidR="00733DCA" w:rsidRPr="00013F4A" w:rsidRDefault="00041CE6" w:rsidP="0001477B">
            <w:pPr>
              <w:spacing w:after="0" w:line="240" w:lineRule="auto"/>
              <w:jc w:val="center"/>
              <w:textAlignment w:val="baseline"/>
              <w:rPr>
                <w:noProof/>
                <w:sz w:val="20"/>
                <w:szCs w:val="20"/>
              </w:rPr>
            </w:pPr>
            <w:r>
              <w:rPr>
                <w:noProof/>
                <w:sz w:val="20"/>
              </w:rPr>
              <w:t>385   </w:t>
            </w:r>
          </w:p>
        </w:tc>
        <w:tc>
          <w:tcPr>
            <w:tcW w:w="1223" w:type="dxa"/>
            <w:tcBorders>
              <w:top w:val="nil"/>
              <w:left w:val="nil"/>
              <w:bottom w:val="single" w:sz="6" w:space="0" w:color="auto"/>
              <w:right w:val="single" w:sz="6" w:space="0" w:color="auto"/>
            </w:tcBorders>
            <w:shd w:val="clear" w:color="auto" w:fill="C6EFCE"/>
          </w:tcPr>
          <w:p w14:paraId="0F85BEF0" w14:textId="46EEF67B" w:rsidR="00733DCA" w:rsidRPr="00013F4A" w:rsidRDefault="00733DCA" w:rsidP="00274621">
            <w:pPr>
              <w:spacing w:after="0" w:line="240" w:lineRule="auto"/>
              <w:jc w:val="center"/>
              <w:textAlignment w:val="baseline"/>
              <w:rPr>
                <w:noProof/>
                <w:sz w:val="20"/>
                <w:szCs w:val="20"/>
              </w:rPr>
            </w:pPr>
            <w:r>
              <w:rPr>
                <w:noProof/>
                <w:sz w:val="20"/>
              </w:rPr>
              <w:t>C1.3. R3</w:t>
            </w:r>
          </w:p>
        </w:tc>
        <w:tc>
          <w:tcPr>
            <w:tcW w:w="855" w:type="dxa"/>
            <w:tcBorders>
              <w:top w:val="nil"/>
              <w:left w:val="nil"/>
              <w:bottom w:val="single" w:sz="6" w:space="0" w:color="auto"/>
              <w:right w:val="single" w:sz="6" w:space="0" w:color="auto"/>
            </w:tcBorders>
            <w:shd w:val="clear" w:color="auto" w:fill="C6EFCE"/>
          </w:tcPr>
          <w:p w14:paraId="18FAAC2C" w14:textId="385974C9" w:rsidR="00733DCA" w:rsidRPr="00AD2AC5" w:rsidRDefault="00733DCA" w:rsidP="00C33FB0">
            <w:pPr>
              <w:spacing w:after="0" w:line="240" w:lineRule="auto"/>
              <w:jc w:val="center"/>
              <w:textAlignment w:val="baseline"/>
              <w:rPr>
                <w:rFonts w:cstheme="minorHAnsi"/>
                <w:noProof/>
                <w:sz w:val="20"/>
                <w:szCs w:val="20"/>
              </w:rPr>
            </w:pPr>
            <w:r>
              <w:rPr>
                <w:noProof/>
                <w:sz w:val="20"/>
              </w:rPr>
              <w:t>Ključna etapa</w:t>
            </w:r>
          </w:p>
        </w:tc>
        <w:tc>
          <w:tcPr>
            <w:tcW w:w="2410" w:type="dxa"/>
            <w:tcBorders>
              <w:top w:val="nil"/>
              <w:left w:val="nil"/>
              <w:bottom w:val="single" w:sz="6" w:space="0" w:color="auto"/>
              <w:right w:val="single" w:sz="6" w:space="0" w:color="auto"/>
            </w:tcBorders>
            <w:shd w:val="clear" w:color="auto" w:fill="C6EFCE"/>
          </w:tcPr>
          <w:p w14:paraId="63ABC330" w14:textId="2CDC50C1" w:rsidR="00733DCA" w:rsidRPr="00AD2AC5" w:rsidRDefault="00733DCA" w:rsidP="00274621">
            <w:pPr>
              <w:spacing w:after="0" w:line="240" w:lineRule="auto"/>
              <w:textAlignment w:val="baseline"/>
              <w:rPr>
                <w:rFonts w:cstheme="minorHAnsi"/>
                <w:noProof/>
                <w:sz w:val="20"/>
                <w:szCs w:val="20"/>
              </w:rPr>
            </w:pPr>
            <w:r>
              <w:rPr>
                <w:noProof/>
                <w:sz w:val="20"/>
              </w:rPr>
              <w:t>Stupanje na snagu Uredbe o Vijeću za vodne usluge</w:t>
            </w:r>
          </w:p>
        </w:tc>
        <w:tc>
          <w:tcPr>
            <w:tcW w:w="1981" w:type="dxa"/>
            <w:tcBorders>
              <w:top w:val="nil"/>
              <w:left w:val="nil"/>
              <w:bottom w:val="single" w:sz="6" w:space="0" w:color="auto"/>
              <w:right w:val="single" w:sz="6" w:space="0" w:color="auto"/>
            </w:tcBorders>
            <w:shd w:val="clear" w:color="auto" w:fill="C6EFCE"/>
          </w:tcPr>
          <w:p w14:paraId="4F6BF2E9" w14:textId="0FC91DAE" w:rsidR="00733DCA" w:rsidRPr="00AD2AC5" w:rsidRDefault="00733DCA" w:rsidP="00274621">
            <w:pPr>
              <w:spacing w:after="0" w:line="240" w:lineRule="auto"/>
              <w:textAlignment w:val="baseline"/>
              <w:rPr>
                <w:rFonts w:eastAsia="Calibri" w:cstheme="minorHAnsi"/>
                <w:noProof/>
                <w:sz w:val="20"/>
                <w:szCs w:val="20"/>
              </w:rPr>
            </w:pPr>
            <w:r>
              <w:rPr>
                <w:noProof/>
                <w:sz w:val="20"/>
              </w:rPr>
              <w:t xml:space="preserve">Odredba </w:t>
            </w:r>
            <w:r w:rsidR="00D61E99">
              <w:rPr>
                <w:noProof/>
                <w:sz w:val="20"/>
              </w:rPr>
              <w:t xml:space="preserve">u </w:t>
            </w:r>
            <w:r>
              <w:rPr>
                <w:noProof/>
                <w:sz w:val="20"/>
              </w:rPr>
              <w:t>Uredb</w:t>
            </w:r>
            <w:r w:rsidR="00D61E99">
              <w:rPr>
                <w:noProof/>
                <w:sz w:val="20"/>
              </w:rPr>
              <w:t>i</w:t>
            </w:r>
            <w:r>
              <w:rPr>
                <w:noProof/>
                <w:sz w:val="20"/>
              </w:rPr>
              <w:t xml:space="preserve"> o Vijeću za vodne usluge u kojoj se navodi njezino stupanje na snagu  </w:t>
            </w:r>
          </w:p>
        </w:tc>
        <w:tc>
          <w:tcPr>
            <w:tcW w:w="955" w:type="dxa"/>
            <w:tcBorders>
              <w:top w:val="nil"/>
              <w:left w:val="nil"/>
              <w:bottom w:val="single" w:sz="6" w:space="0" w:color="auto"/>
              <w:right w:val="single" w:sz="6" w:space="0" w:color="auto"/>
            </w:tcBorders>
            <w:shd w:val="clear" w:color="auto" w:fill="C6EFCE"/>
          </w:tcPr>
          <w:p w14:paraId="7B52B2C0" w14:textId="77777777" w:rsidR="00733DCA" w:rsidRPr="00BC0323" w:rsidRDefault="00733DCA" w:rsidP="0001477B">
            <w:pPr>
              <w:spacing w:after="0" w:line="240" w:lineRule="auto"/>
              <w:jc w:val="both"/>
              <w:textAlignment w:val="baseline"/>
              <w:rPr>
                <w:rFonts w:eastAsia="Times New Roman" w:cstheme="minorHAnsi"/>
                <w:noProof/>
                <w:sz w:val="20"/>
                <w:szCs w:val="20"/>
                <w:lang w:eastAsia="en-IE"/>
              </w:rPr>
            </w:pPr>
          </w:p>
        </w:tc>
        <w:tc>
          <w:tcPr>
            <w:tcW w:w="1123" w:type="dxa"/>
            <w:tcBorders>
              <w:top w:val="nil"/>
              <w:left w:val="nil"/>
              <w:bottom w:val="single" w:sz="6" w:space="0" w:color="auto"/>
              <w:right w:val="single" w:sz="6" w:space="0" w:color="auto"/>
            </w:tcBorders>
            <w:shd w:val="clear" w:color="auto" w:fill="C6EFCE"/>
          </w:tcPr>
          <w:p w14:paraId="2EA07559" w14:textId="77777777" w:rsidR="00733DCA" w:rsidRPr="00BC0323" w:rsidRDefault="00733DCA" w:rsidP="0001477B">
            <w:pPr>
              <w:spacing w:after="0" w:line="240" w:lineRule="auto"/>
              <w:jc w:val="right"/>
              <w:textAlignment w:val="baseline"/>
              <w:rPr>
                <w:rFonts w:eastAsia="Times New Roman" w:cstheme="minorHAnsi"/>
                <w:noProof/>
                <w:sz w:val="20"/>
                <w:szCs w:val="20"/>
                <w:lang w:eastAsia="en-IE"/>
              </w:rPr>
            </w:pPr>
          </w:p>
        </w:tc>
        <w:tc>
          <w:tcPr>
            <w:tcW w:w="981" w:type="dxa"/>
            <w:tcBorders>
              <w:top w:val="nil"/>
              <w:left w:val="nil"/>
              <w:bottom w:val="single" w:sz="6" w:space="0" w:color="auto"/>
              <w:right w:val="single" w:sz="6" w:space="0" w:color="auto"/>
            </w:tcBorders>
            <w:shd w:val="clear" w:color="auto" w:fill="C6EFCE"/>
          </w:tcPr>
          <w:p w14:paraId="5CC2AC13" w14:textId="77777777" w:rsidR="00733DCA" w:rsidRPr="00BC0323" w:rsidRDefault="00733DCA" w:rsidP="0001477B">
            <w:pPr>
              <w:spacing w:after="0" w:line="240" w:lineRule="auto"/>
              <w:jc w:val="right"/>
              <w:textAlignment w:val="baseline"/>
              <w:rPr>
                <w:rFonts w:eastAsia="Times New Roman" w:cstheme="minorHAnsi"/>
                <w:noProof/>
                <w:sz w:val="20"/>
                <w:szCs w:val="20"/>
                <w:lang w:eastAsia="en-IE"/>
              </w:rPr>
            </w:pPr>
          </w:p>
        </w:tc>
        <w:tc>
          <w:tcPr>
            <w:tcW w:w="488" w:type="dxa"/>
            <w:tcBorders>
              <w:top w:val="nil"/>
              <w:left w:val="nil"/>
              <w:bottom w:val="single" w:sz="6" w:space="0" w:color="auto"/>
              <w:right w:val="single" w:sz="6" w:space="0" w:color="auto"/>
            </w:tcBorders>
            <w:shd w:val="clear" w:color="auto" w:fill="C6EFCE"/>
          </w:tcPr>
          <w:p w14:paraId="33503F74" w14:textId="77777777" w:rsidR="00733DCA" w:rsidRPr="00AD2AC5" w:rsidRDefault="00733DCA" w:rsidP="0001477B">
            <w:pPr>
              <w:spacing w:after="0" w:line="240" w:lineRule="auto"/>
              <w:jc w:val="center"/>
              <w:textAlignment w:val="baseline"/>
              <w:rPr>
                <w:rFonts w:eastAsia="Times New Roman" w:cstheme="minorHAnsi"/>
                <w:noProof/>
                <w:sz w:val="20"/>
                <w:szCs w:val="20"/>
              </w:rPr>
            </w:pPr>
            <w:r>
              <w:rPr>
                <w:noProof/>
                <w:sz w:val="20"/>
              </w:rPr>
              <w:t>1.</w:t>
            </w:r>
          </w:p>
        </w:tc>
        <w:tc>
          <w:tcPr>
            <w:tcW w:w="847" w:type="dxa"/>
            <w:tcBorders>
              <w:top w:val="nil"/>
              <w:left w:val="nil"/>
              <w:bottom w:val="single" w:sz="6" w:space="0" w:color="auto"/>
              <w:right w:val="single" w:sz="6" w:space="0" w:color="auto"/>
            </w:tcBorders>
            <w:shd w:val="clear" w:color="auto" w:fill="C6EFCE"/>
          </w:tcPr>
          <w:p w14:paraId="289F03DB" w14:textId="77777777" w:rsidR="00733DCA" w:rsidRPr="00AD2AC5" w:rsidRDefault="00733DCA" w:rsidP="0001477B">
            <w:pPr>
              <w:spacing w:after="0" w:line="240" w:lineRule="auto"/>
              <w:jc w:val="center"/>
              <w:textAlignment w:val="baseline"/>
              <w:rPr>
                <w:rFonts w:eastAsia="Times New Roman" w:cstheme="minorHAnsi"/>
                <w:noProof/>
                <w:sz w:val="20"/>
                <w:szCs w:val="20"/>
              </w:rPr>
            </w:pPr>
            <w:r>
              <w:rPr>
                <w:noProof/>
                <w:sz w:val="20"/>
              </w:rPr>
              <w:t>2024.</w:t>
            </w:r>
          </w:p>
        </w:tc>
        <w:tc>
          <w:tcPr>
            <w:tcW w:w="3119" w:type="dxa"/>
            <w:tcBorders>
              <w:top w:val="nil"/>
              <w:left w:val="nil"/>
              <w:bottom w:val="single" w:sz="6" w:space="0" w:color="auto"/>
              <w:right w:val="single" w:sz="6" w:space="0" w:color="auto"/>
            </w:tcBorders>
            <w:shd w:val="clear" w:color="auto" w:fill="C6EFCE"/>
          </w:tcPr>
          <w:p w14:paraId="7763C3AB" w14:textId="77777777" w:rsidR="00733DCA" w:rsidRPr="00AD2AC5" w:rsidRDefault="00733DCA" w:rsidP="00B869EA">
            <w:pPr>
              <w:spacing w:after="0" w:line="240" w:lineRule="auto"/>
              <w:textAlignment w:val="baseline"/>
              <w:rPr>
                <w:rFonts w:eastAsia="Times New Roman" w:cstheme="minorHAnsi"/>
                <w:noProof/>
                <w:sz w:val="20"/>
                <w:szCs w:val="20"/>
              </w:rPr>
            </w:pPr>
            <w:r>
              <w:rPr>
                <w:noProof/>
                <w:sz w:val="20"/>
              </w:rPr>
              <w:t>Stupit će na snagu Uredba o Vijeću za vodne usluge. Tom uredbom propisat će se obvezna objava odluka Vijeća za vodne usluge, obvezna objava tumačenja Zakona o vodnim uslugama, Zakona o financiranju vodnog gospodarstva i podzakonskih propisa regulatora, obvezu donošenja poslovnika regulatora te obavezno stručno osposobljavanje službenika regulatora.</w:t>
            </w:r>
          </w:p>
        </w:tc>
      </w:tr>
      <w:tr w:rsidR="000E63A9" w:rsidRPr="00AD2AC5" w14:paraId="54C65B39"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tcPr>
          <w:p w14:paraId="1474852E" w14:textId="6A373C32" w:rsidR="00733DCA" w:rsidRPr="00013F4A" w:rsidRDefault="00041CE6" w:rsidP="0001477B">
            <w:pPr>
              <w:spacing w:after="0" w:line="240" w:lineRule="auto"/>
              <w:jc w:val="center"/>
              <w:textAlignment w:val="baseline"/>
              <w:rPr>
                <w:noProof/>
                <w:sz w:val="20"/>
                <w:szCs w:val="20"/>
              </w:rPr>
            </w:pPr>
            <w:r>
              <w:rPr>
                <w:noProof/>
                <w:sz w:val="20"/>
              </w:rPr>
              <w:t>386   </w:t>
            </w:r>
          </w:p>
        </w:tc>
        <w:tc>
          <w:tcPr>
            <w:tcW w:w="1223" w:type="dxa"/>
            <w:tcBorders>
              <w:top w:val="nil"/>
              <w:left w:val="nil"/>
              <w:bottom w:val="single" w:sz="6" w:space="0" w:color="auto"/>
              <w:right w:val="single" w:sz="6" w:space="0" w:color="auto"/>
            </w:tcBorders>
            <w:shd w:val="clear" w:color="auto" w:fill="C6EFCE"/>
          </w:tcPr>
          <w:p w14:paraId="5525EAE9" w14:textId="58729BE2" w:rsidR="00733DCA" w:rsidRPr="00013F4A" w:rsidRDefault="00733DCA" w:rsidP="00274621">
            <w:pPr>
              <w:spacing w:after="0" w:line="240" w:lineRule="auto"/>
              <w:jc w:val="center"/>
              <w:textAlignment w:val="baseline"/>
              <w:rPr>
                <w:noProof/>
                <w:sz w:val="20"/>
                <w:szCs w:val="20"/>
              </w:rPr>
            </w:pPr>
            <w:r>
              <w:rPr>
                <w:noProof/>
                <w:sz w:val="20"/>
              </w:rPr>
              <w:t>C1.3. R3</w:t>
            </w:r>
          </w:p>
        </w:tc>
        <w:tc>
          <w:tcPr>
            <w:tcW w:w="855" w:type="dxa"/>
            <w:tcBorders>
              <w:top w:val="nil"/>
              <w:left w:val="nil"/>
              <w:bottom w:val="single" w:sz="6" w:space="0" w:color="auto"/>
              <w:right w:val="single" w:sz="6" w:space="0" w:color="auto"/>
            </w:tcBorders>
            <w:shd w:val="clear" w:color="auto" w:fill="C6EFCE"/>
          </w:tcPr>
          <w:p w14:paraId="2AB1C523" w14:textId="0829BAD0" w:rsidR="00733DCA" w:rsidRPr="00AD2AC5" w:rsidRDefault="00733DCA" w:rsidP="004F3E73">
            <w:pPr>
              <w:spacing w:after="0" w:line="240" w:lineRule="auto"/>
              <w:jc w:val="center"/>
              <w:textAlignment w:val="baseline"/>
              <w:rPr>
                <w:rFonts w:eastAsia="Times New Roman" w:cstheme="minorHAnsi"/>
                <w:noProof/>
                <w:sz w:val="20"/>
                <w:szCs w:val="20"/>
              </w:rPr>
            </w:pPr>
            <w:r>
              <w:rPr>
                <w:noProof/>
                <w:sz w:val="20"/>
              </w:rPr>
              <w:t>Ciljna vrijednost</w:t>
            </w:r>
          </w:p>
        </w:tc>
        <w:tc>
          <w:tcPr>
            <w:tcW w:w="2410" w:type="dxa"/>
            <w:tcBorders>
              <w:top w:val="nil"/>
              <w:left w:val="nil"/>
              <w:bottom w:val="single" w:sz="6" w:space="0" w:color="auto"/>
              <w:right w:val="single" w:sz="6" w:space="0" w:color="auto"/>
            </w:tcBorders>
            <w:shd w:val="clear" w:color="auto" w:fill="C6EFCE"/>
          </w:tcPr>
          <w:p w14:paraId="00E4970D" w14:textId="77777777" w:rsidR="00733DCA" w:rsidRPr="00AD2AC5" w:rsidRDefault="00733DCA" w:rsidP="00B869EA">
            <w:pPr>
              <w:spacing w:after="200" w:line="276" w:lineRule="auto"/>
              <w:rPr>
                <w:rFonts w:eastAsia="Times New Roman" w:cstheme="minorHAnsi"/>
                <w:noProof/>
                <w:sz w:val="20"/>
                <w:szCs w:val="20"/>
              </w:rPr>
            </w:pPr>
            <w:r>
              <w:rPr>
                <w:noProof/>
                <w:sz w:val="20"/>
              </w:rPr>
              <w:t>Izgradnja kapaciteta Vijeća za vodne usluge</w:t>
            </w:r>
          </w:p>
        </w:tc>
        <w:tc>
          <w:tcPr>
            <w:tcW w:w="1981" w:type="dxa"/>
            <w:tcBorders>
              <w:top w:val="nil"/>
              <w:left w:val="nil"/>
              <w:bottom w:val="single" w:sz="6" w:space="0" w:color="auto"/>
              <w:right w:val="single" w:sz="6" w:space="0" w:color="auto"/>
            </w:tcBorders>
            <w:shd w:val="clear" w:color="auto" w:fill="C6EFCE"/>
          </w:tcPr>
          <w:p w14:paraId="5C837E33" w14:textId="77777777" w:rsidR="00733DCA" w:rsidRPr="00BC0323" w:rsidRDefault="00733DCA" w:rsidP="0001477B">
            <w:pPr>
              <w:spacing w:after="0" w:line="240" w:lineRule="auto"/>
              <w:jc w:val="both"/>
              <w:textAlignment w:val="baseline"/>
              <w:rPr>
                <w:rFonts w:eastAsia="Times New Roman" w:cstheme="minorHAnsi"/>
                <w:noProof/>
                <w:sz w:val="20"/>
                <w:szCs w:val="20"/>
                <w:lang w:eastAsia="en-IE"/>
              </w:rPr>
            </w:pPr>
          </w:p>
        </w:tc>
        <w:tc>
          <w:tcPr>
            <w:tcW w:w="955" w:type="dxa"/>
            <w:tcBorders>
              <w:top w:val="nil"/>
              <w:left w:val="nil"/>
              <w:bottom w:val="single" w:sz="6" w:space="0" w:color="auto"/>
              <w:right w:val="single" w:sz="6" w:space="0" w:color="auto"/>
            </w:tcBorders>
            <w:shd w:val="clear" w:color="auto" w:fill="C6EFCE"/>
          </w:tcPr>
          <w:p w14:paraId="3B8D5860"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Broj</w:t>
            </w:r>
          </w:p>
        </w:tc>
        <w:tc>
          <w:tcPr>
            <w:tcW w:w="1123" w:type="dxa"/>
            <w:tcBorders>
              <w:top w:val="nil"/>
              <w:left w:val="nil"/>
              <w:bottom w:val="single" w:sz="6" w:space="0" w:color="auto"/>
              <w:right w:val="single" w:sz="6" w:space="0" w:color="auto"/>
            </w:tcBorders>
            <w:shd w:val="clear" w:color="auto" w:fill="C6EFCE"/>
          </w:tcPr>
          <w:p w14:paraId="388424C1"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0</w:t>
            </w:r>
          </w:p>
        </w:tc>
        <w:tc>
          <w:tcPr>
            <w:tcW w:w="981" w:type="dxa"/>
            <w:tcBorders>
              <w:top w:val="nil"/>
              <w:left w:val="nil"/>
              <w:bottom w:val="single" w:sz="6" w:space="0" w:color="auto"/>
              <w:right w:val="single" w:sz="6" w:space="0" w:color="auto"/>
            </w:tcBorders>
            <w:shd w:val="clear" w:color="auto" w:fill="C6EFCE"/>
          </w:tcPr>
          <w:p w14:paraId="4082DDB3"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7</w:t>
            </w:r>
          </w:p>
        </w:tc>
        <w:tc>
          <w:tcPr>
            <w:tcW w:w="488" w:type="dxa"/>
            <w:tcBorders>
              <w:top w:val="nil"/>
              <w:left w:val="nil"/>
              <w:bottom w:val="single" w:sz="6" w:space="0" w:color="auto"/>
              <w:right w:val="single" w:sz="6" w:space="0" w:color="auto"/>
            </w:tcBorders>
            <w:shd w:val="clear" w:color="auto" w:fill="C6EFCE"/>
          </w:tcPr>
          <w:p w14:paraId="777FF0D8" w14:textId="77777777" w:rsidR="00733DCA" w:rsidRPr="00AD2AC5" w:rsidRDefault="00733DCA" w:rsidP="0001477B">
            <w:pPr>
              <w:spacing w:after="0" w:line="240" w:lineRule="auto"/>
              <w:jc w:val="center"/>
              <w:textAlignment w:val="baseline"/>
              <w:rPr>
                <w:rFonts w:eastAsia="Times New Roman" w:cstheme="minorHAnsi"/>
                <w:noProof/>
                <w:sz w:val="20"/>
                <w:szCs w:val="20"/>
              </w:rPr>
            </w:pPr>
            <w:r>
              <w:rPr>
                <w:noProof/>
                <w:sz w:val="20"/>
              </w:rPr>
              <w:t>4.</w:t>
            </w:r>
          </w:p>
        </w:tc>
        <w:tc>
          <w:tcPr>
            <w:tcW w:w="847" w:type="dxa"/>
            <w:tcBorders>
              <w:top w:val="nil"/>
              <w:left w:val="nil"/>
              <w:bottom w:val="single" w:sz="6" w:space="0" w:color="auto"/>
              <w:right w:val="single" w:sz="6" w:space="0" w:color="auto"/>
            </w:tcBorders>
            <w:shd w:val="clear" w:color="auto" w:fill="C6EFCE"/>
          </w:tcPr>
          <w:p w14:paraId="02477FFD" w14:textId="77777777" w:rsidR="00733DCA" w:rsidRPr="00AD2AC5" w:rsidRDefault="00733DCA" w:rsidP="0001477B">
            <w:pPr>
              <w:spacing w:after="0" w:line="240" w:lineRule="auto"/>
              <w:jc w:val="center"/>
              <w:textAlignment w:val="baseline"/>
              <w:rPr>
                <w:rFonts w:eastAsia="Times New Roman" w:cstheme="minorHAnsi"/>
                <w:noProof/>
                <w:sz w:val="20"/>
                <w:szCs w:val="20"/>
              </w:rPr>
            </w:pPr>
            <w:r>
              <w:rPr>
                <w:noProof/>
                <w:sz w:val="20"/>
              </w:rPr>
              <w:t>2024.</w:t>
            </w:r>
          </w:p>
        </w:tc>
        <w:tc>
          <w:tcPr>
            <w:tcW w:w="3119" w:type="dxa"/>
            <w:tcBorders>
              <w:top w:val="nil"/>
              <w:left w:val="nil"/>
              <w:bottom w:val="single" w:sz="6" w:space="0" w:color="auto"/>
              <w:right w:val="single" w:sz="6" w:space="0" w:color="auto"/>
            </w:tcBorders>
            <w:shd w:val="clear" w:color="auto" w:fill="C6EFCE"/>
          </w:tcPr>
          <w:p w14:paraId="0C05C795" w14:textId="75233F08" w:rsidR="00733DCA" w:rsidRPr="00AD2AC5" w:rsidRDefault="00733DCA" w:rsidP="00B869EA">
            <w:pPr>
              <w:spacing w:after="0" w:line="240" w:lineRule="auto"/>
              <w:textAlignment w:val="baseline"/>
              <w:rPr>
                <w:rFonts w:eastAsia="Calibri" w:cstheme="minorHAnsi"/>
                <w:noProof/>
                <w:sz w:val="20"/>
                <w:szCs w:val="20"/>
              </w:rPr>
            </w:pPr>
            <w:r>
              <w:rPr>
                <w:noProof/>
                <w:sz w:val="20"/>
              </w:rPr>
              <w:t xml:space="preserve">Vijeće za vodne usluge zaposlit će barem sedam djelatnika na puno radno vrijeme, ne uključujući imenovane vijećnike. </w:t>
            </w:r>
          </w:p>
        </w:tc>
      </w:tr>
      <w:tr w:rsidR="000E63A9" w:rsidRPr="00AD2AC5" w14:paraId="4905EDB3"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tcPr>
          <w:p w14:paraId="58A67E1A" w14:textId="3A1E25CD" w:rsidR="00733DCA" w:rsidRPr="00013F4A" w:rsidRDefault="00BC393C" w:rsidP="0001477B">
            <w:pPr>
              <w:spacing w:after="0" w:line="240" w:lineRule="auto"/>
              <w:jc w:val="center"/>
              <w:textAlignment w:val="baseline"/>
              <w:rPr>
                <w:noProof/>
                <w:sz w:val="20"/>
                <w:szCs w:val="20"/>
              </w:rPr>
            </w:pPr>
            <w:r>
              <w:rPr>
                <w:noProof/>
                <w:sz w:val="20"/>
              </w:rPr>
              <w:t>387   </w:t>
            </w:r>
          </w:p>
        </w:tc>
        <w:tc>
          <w:tcPr>
            <w:tcW w:w="1223" w:type="dxa"/>
            <w:tcBorders>
              <w:top w:val="nil"/>
              <w:left w:val="nil"/>
              <w:bottom w:val="single" w:sz="6" w:space="0" w:color="auto"/>
              <w:right w:val="single" w:sz="6" w:space="0" w:color="auto"/>
            </w:tcBorders>
            <w:shd w:val="clear" w:color="auto" w:fill="C6EFCE"/>
          </w:tcPr>
          <w:p w14:paraId="0640854A" w14:textId="3FD306B7" w:rsidR="00733DCA" w:rsidRPr="00013F4A" w:rsidRDefault="00733DCA" w:rsidP="00274621">
            <w:pPr>
              <w:spacing w:after="0" w:line="240" w:lineRule="auto"/>
              <w:jc w:val="center"/>
              <w:textAlignment w:val="baseline"/>
              <w:rPr>
                <w:noProof/>
                <w:sz w:val="20"/>
                <w:szCs w:val="20"/>
              </w:rPr>
            </w:pPr>
            <w:r>
              <w:rPr>
                <w:noProof/>
                <w:sz w:val="20"/>
              </w:rPr>
              <w:t>C1.3. R3</w:t>
            </w:r>
          </w:p>
        </w:tc>
        <w:tc>
          <w:tcPr>
            <w:tcW w:w="855" w:type="dxa"/>
            <w:tcBorders>
              <w:top w:val="nil"/>
              <w:left w:val="nil"/>
              <w:bottom w:val="single" w:sz="6" w:space="0" w:color="auto"/>
              <w:right w:val="single" w:sz="6" w:space="0" w:color="auto"/>
            </w:tcBorders>
            <w:shd w:val="clear" w:color="auto" w:fill="C6EFCE"/>
          </w:tcPr>
          <w:p w14:paraId="74461330" w14:textId="1A82031A" w:rsidR="00733DCA" w:rsidRPr="00AD2AC5" w:rsidRDefault="00733DCA" w:rsidP="004F3E73">
            <w:pPr>
              <w:spacing w:after="0" w:line="240" w:lineRule="auto"/>
              <w:jc w:val="center"/>
              <w:textAlignment w:val="baseline"/>
              <w:rPr>
                <w:rFonts w:eastAsia="Times New Roman" w:cstheme="minorHAnsi"/>
                <w:noProof/>
                <w:sz w:val="20"/>
                <w:szCs w:val="20"/>
              </w:rPr>
            </w:pPr>
            <w:r>
              <w:rPr>
                <w:noProof/>
                <w:sz w:val="20"/>
              </w:rPr>
              <w:t>Ciljna vrijednost</w:t>
            </w:r>
          </w:p>
        </w:tc>
        <w:tc>
          <w:tcPr>
            <w:tcW w:w="2410" w:type="dxa"/>
            <w:tcBorders>
              <w:top w:val="nil"/>
              <w:left w:val="nil"/>
              <w:bottom w:val="single" w:sz="6" w:space="0" w:color="auto"/>
              <w:right w:val="single" w:sz="6" w:space="0" w:color="auto"/>
            </w:tcBorders>
            <w:shd w:val="clear" w:color="auto" w:fill="C6EFCE"/>
          </w:tcPr>
          <w:p w14:paraId="3F5B1831" w14:textId="77777777" w:rsidR="00733DCA" w:rsidRPr="00AD2AC5" w:rsidRDefault="00733DCA" w:rsidP="0001477B">
            <w:pPr>
              <w:spacing w:after="0" w:line="240" w:lineRule="auto"/>
              <w:jc w:val="both"/>
              <w:textAlignment w:val="baseline"/>
              <w:rPr>
                <w:rFonts w:eastAsia="Times New Roman" w:cstheme="minorHAnsi"/>
                <w:noProof/>
                <w:sz w:val="20"/>
                <w:szCs w:val="20"/>
              </w:rPr>
            </w:pPr>
            <w:r>
              <w:rPr>
                <w:noProof/>
                <w:sz w:val="20"/>
              </w:rPr>
              <w:t>Osposobljavanje osoblja isporučitelja vodnih usluga</w:t>
            </w:r>
          </w:p>
        </w:tc>
        <w:tc>
          <w:tcPr>
            <w:tcW w:w="1981" w:type="dxa"/>
            <w:tcBorders>
              <w:top w:val="nil"/>
              <w:left w:val="nil"/>
              <w:bottom w:val="single" w:sz="6" w:space="0" w:color="auto"/>
              <w:right w:val="single" w:sz="6" w:space="0" w:color="auto"/>
            </w:tcBorders>
            <w:shd w:val="clear" w:color="auto" w:fill="C6EFCE"/>
          </w:tcPr>
          <w:p w14:paraId="24BBDE1A" w14:textId="77777777" w:rsidR="00733DCA" w:rsidRPr="00BC0323" w:rsidRDefault="00733DCA" w:rsidP="0001477B">
            <w:pPr>
              <w:spacing w:after="0" w:line="240" w:lineRule="auto"/>
              <w:jc w:val="both"/>
              <w:textAlignment w:val="baseline"/>
              <w:rPr>
                <w:rFonts w:eastAsia="Times New Roman" w:cstheme="minorHAnsi"/>
                <w:noProof/>
                <w:sz w:val="20"/>
                <w:szCs w:val="20"/>
                <w:lang w:eastAsia="en-IE"/>
              </w:rPr>
            </w:pPr>
          </w:p>
        </w:tc>
        <w:tc>
          <w:tcPr>
            <w:tcW w:w="955" w:type="dxa"/>
            <w:tcBorders>
              <w:top w:val="nil"/>
              <w:left w:val="nil"/>
              <w:bottom w:val="single" w:sz="6" w:space="0" w:color="auto"/>
              <w:right w:val="single" w:sz="6" w:space="0" w:color="auto"/>
            </w:tcBorders>
            <w:shd w:val="clear" w:color="auto" w:fill="C6EFCE"/>
          </w:tcPr>
          <w:p w14:paraId="56445E2A"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Broj</w:t>
            </w:r>
          </w:p>
        </w:tc>
        <w:tc>
          <w:tcPr>
            <w:tcW w:w="1123" w:type="dxa"/>
            <w:tcBorders>
              <w:top w:val="nil"/>
              <w:left w:val="nil"/>
              <w:bottom w:val="single" w:sz="6" w:space="0" w:color="auto"/>
              <w:right w:val="single" w:sz="6" w:space="0" w:color="auto"/>
            </w:tcBorders>
            <w:shd w:val="clear" w:color="auto" w:fill="C6EFCE"/>
          </w:tcPr>
          <w:p w14:paraId="17DD5F7B"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0</w:t>
            </w:r>
          </w:p>
        </w:tc>
        <w:tc>
          <w:tcPr>
            <w:tcW w:w="981" w:type="dxa"/>
            <w:tcBorders>
              <w:top w:val="nil"/>
              <w:left w:val="nil"/>
              <w:bottom w:val="single" w:sz="6" w:space="0" w:color="auto"/>
              <w:right w:val="single" w:sz="6" w:space="0" w:color="auto"/>
            </w:tcBorders>
            <w:shd w:val="clear" w:color="auto" w:fill="C6EFCE"/>
          </w:tcPr>
          <w:p w14:paraId="22A4AC94"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12</w:t>
            </w:r>
          </w:p>
        </w:tc>
        <w:tc>
          <w:tcPr>
            <w:tcW w:w="488" w:type="dxa"/>
            <w:tcBorders>
              <w:top w:val="nil"/>
              <w:left w:val="nil"/>
              <w:bottom w:val="single" w:sz="6" w:space="0" w:color="auto"/>
              <w:right w:val="single" w:sz="6" w:space="0" w:color="auto"/>
            </w:tcBorders>
            <w:shd w:val="clear" w:color="auto" w:fill="C6EFCE"/>
          </w:tcPr>
          <w:p w14:paraId="227D7AC4" w14:textId="77777777" w:rsidR="00733DCA" w:rsidRPr="00AD2AC5" w:rsidRDefault="00733DCA" w:rsidP="0001477B">
            <w:pPr>
              <w:spacing w:after="0" w:line="240" w:lineRule="auto"/>
              <w:jc w:val="center"/>
              <w:textAlignment w:val="baseline"/>
              <w:rPr>
                <w:rFonts w:eastAsia="Times New Roman" w:cstheme="minorHAnsi"/>
                <w:noProof/>
                <w:sz w:val="20"/>
                <w:szCs w:val="20"/>
              </w:rPr>
            </w:pPr>
            <w:r>
              <w:rPr>
                <w:noProof/>
                <w:sz w:val="20"/>
              </w:rPr>
              <w:t>4.</w:t>
            </w:r>
          </w:p>
        </w:tc>
        <w:tc>
          <w:tcPr>
            <w:tcW w:w="847" w:type="dxa"/>
            <w:tcBorders>
              <w:top w:val="nil"/>
              <w:left w:val="nil"/>
              <w:bottom w:val="single" w:sz="6" w:space="0" w:color="auto"/>
              <w:right w:val="single" w:sz="6" w:space="0" w:color="auto"/>
            </w:tcBorders>
            <w:shd w:val="clear" w:color="auto" w:fill="C6EFCE"/>
          </w:tcPr>
          <w:p w14:paraId="42DB723E" w14:textId="77777777" w:rsidR="00733DCA" w:rsidRPr="00AD2AC5" w:rsidRDefault="00733DCA" w:rsidP="0001477B">
            <w:pPr>
              <w:spacing w:after="0" w:line="240" w:lineRule="auto"/>
              <w:jc w:val="center"/>
              <w:textAlignment w:val="baseline"/>
              <w:rPr>
                <w:rFonts w:eastAsia="Times New Roman" w:cstheme="minorHAnsi"/>
                <w:noProof/>
                <w:sz w:val="20"/>
                <w:szCs w:val="20"/>
              </w:rPr>
            </w:pPr>
            <w:r>
              <w:rPr>
                <w:noProof/>
                <w:sz w:val="20"/>
              </w:rPr>
              <w:t>2025.</w:t>
            </w:r>
          </w:p>
        </w:tc>
        <w:tc>
          <w:tcPr>
            <w:tcW w:w="3119" w:type="dxa"/>
            <w:tcBorders>
              <w:top w:val="nil"/>
              <w:left w:val="nil"/>
              <w:bottom w:val="single" w:sz="6" w:space="0" w:color="auto"/>
              <w:right w:val="single" w:sz="6" w:space="0" w:color="auto"/>
            </w:tcBorders>
            <w:shd w:val="clear" w:color="auto" w:fill="C6EFCE"/>
          </w:tcPr>
          <w:p w14:paraId="77BA8179" w14:textId="77777777" w:rsidR="00733DCA" w:rsidRPr="00AD2AC5" w:rsidRDefault="00733DCA" w:rsidP="00B869EA">
            <w:pPr>
              <w:spacing w:after="0" w:line="240" w:lineRule="auto"/>
              <w:textAlignment w:val="baseline"/>
              <w:rPr>
                <w:rFonts w:cstheme="minorHAnsi"/>
                <w:noProof/>
                <w:sz w:val="20"/>
                <w:szCs w:val="20"/>
              </w:rPr>
            </w:pPr>
            <w:r>
              <w:rPr>
                <w:noProof/>
                <w:sz w:val="20"/>
              </w:rPr>
              <w:t>Održano najmanje 12 radionica za osoblje isporučitelja vodnih usluga u cijeloj zemlji. Radionice će pomoći u izradi i provedbi akcijskih planova za smanjenje gubitaka od strane isporučitelja vodnih usluga.</w:t>
            </w:r>
          </w:p>
        </w:tc>
      </w:tr>
      <w:tr w:rsidR="000E63A9" w:rsidRPr="00AD2AC5" w14:paraId="791D2899"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037CD7DA" w14:textId="5003BD0D" w:rsidR="00733DCA" w:rsidRPr="00013F4A" w:rsidRDefault="00BC393C" w:rsidP="00013F4A">
            <w:pPr>
              <w:spacing w:after="0" w:line="240" w:lineRule="auto"/>
              <w:jc w:val="center"/>
              <w:textAlignment w:val="baseline"/>
              <w:rPr>
                <w:noProof/>
                <w:sz w:val="20"/>
                <w:szCs w:val="20"/>
              </w:rPr>
            </w:pPr>
            <w:r>
              <w:rPr>
                <w:noProof/>
                <w:sz w:val="20"/>
              </w:rPr>
              <w:t>388  </w:t>
            </w:r>
          </w:p>
        </w:tc>
        <w:tc>
          <w:tcPr>
            <w:tcW w:w="1223" w:type="dxa"/>
            <w:tcBorders>
              <w:top w:val="nil"/>
              <w:left w:val="nil"/>
              <w:bottom w:val="single" w:sz="6" w:space="0" w:color="auto"/>
              <w:right w:val="single" w:sz="6" w:space="0" w:color="auto"/>
            </w:tcBorders>
            <w:shd w:val="clear" w:color="auto" w:fill="C6EFCE"/>
            <w:hideMark/>
          </w:tcPr>
          <w:p w14:paraId="098613F1" w14:textId="56A0AF6C" w:rsidR="00733DCA" w:rsidRPr="00013F4A" w:rsidRDefault="00733DCA" w:rsidP="00274621">
            <w:pPr>
              <w:spacing w:after="0" w:line="240" w:lineRule="auto"/>
              <w:jc w:val="center"/>
              <w:textAlignment w:val="baseline"/>
              <w:rPr>
                <w:noProof/>
                <w:sz w:val="20"/>
                <w:szCs w:val="20"/>
              </w:rPr>
            </w:pPr>
            <w:r>
              <w:rPr>
                <w:noProof/>
                <w:sz w:val="20"/>
              </w:rPr>
              <w:t>C1.3. R3-I1</w:t>
            </w:r>
          </w:p>
        </w:tc>
        <w:tc>
          <w:tcPr>
            <w:tcW w:w="855" w:type="dxa"/>
            <w:tcBorders>
              <w:top w:val="nil"/>
              <w:left w:val="nil"/>
              <w:bottom w:val="single" w:sz="6" w:space="0" w:color="auto"/>
              <w:right w:val="single" w:sz="6" w:space="0" w:color="auto"/>
            </w:tcBorders>
            <w:shd w:val="clear" w:color="auto" w:fill="C6EFCE"/>
            <w:hideMark/>
          </w:tcPr>
          <w:p w14:paraId="77B7B999" w14:textId="67F68628" w:rsidR="00733DCA" w:rsidRPr="00AD2AC5" w:rsidRDefault="00733DCA" w:rsidP="004F3E73">
            <w:pPr>
              <w:spacing w:after="0" w:line="240" w:lineRule="auto"/>
              <w:jc w:val="center"/>
              <w:rPr>
                <w:rFonts w:eastAsia="Times New Roman" w:cstheme="minorHAnsi"/>
                <w:noProof/>
                <w:sz w:val="20"/>
                <w:szCs w:val="20"/>
              </w:rPr>
            </w:pPr>
            <w:r>
              <w:rPr>
                <w:noProof/>
                <w:sz w:val="20"/>
              </w:rPr>
              <w:t>Ciljna vrijednost</w:t>
            </w:r>
          </w:p>
          <w:p w14:paraId="5E58137F" w14:textId="77777777" w:rsidR="00733DCA" w:rsidRPr="00AD2AC5" w:rsidRDefault="00733DCA" w:rsidP="004F3E73">
            <w:pPr>
              <w:spacing w:after="0" w:line="240" w:lineRule="auto"/>
              <w:jc w:val="center"/>
              <w:rPr>
                <w:rFonts w:eastAsia="Times New Roman" w:cstheme="minorHAnsi"/>
                <w:noProof/>
                <w:sz w:val="20"/>
                <w:szCs w:val="20"/>
                <w:lang w:val="en-IE" w:eastAsia="en-IE"/>
              </w:rPr>
            </w:pPr>
          </w:p>
        </w:tc>
        <w:tc>
          <w:tcPr>
            <w:tcW w:w="2410" w:type="dxa"/>
            <w:tcBorders>
              <w:top w:val="nil"/>
              <w:left w:val="nil"/>
              <w:bottom w:val="single" w:sz="6" w:space="0" w:color="auto"/>
              <w:right w:val="single" w:sz="6" w:space="0" w:color="auto"/>
            </w:tcBorders>
            <w:shd w:val="clear" w:color="auto" w:fill="C6EFCE"/>
            <w:hideMark/>
          </w:tcPr>
          <w:p w14:paraId="73F0E525" w14:textId="5870778F" w:rsidR="00733DCA" w:rsidRPr="00AD2AC5" w:rsidRDefault="00733DCA" w:rsidP="0001477B">
            <w:pPr>
              <w:spacing w:after="0" w:line="240" w:lineRule="auto"/>
              <w:jc w:val="both"/>
              <w:rPr>
                <w:rFonts w:eastAsia="Times New Roman" w:cstheme="minorHAnsi"/>
                <w:noProof/>
                <w:sz w:val="20"/>
                <w:szCs w:val="20"/>
              </w:rPr>
            </w:pPr>
            <w:r>
              <w:rPr>
                <w:noProof/>
                <w:sz w:val="20"/>
                <w:shd w:val="clear" w:color="auto" w:fill="E6E6E6"/>
              </w:rPr>
              <w:t> </w:t>
            </w:r>
            <w:r>
              <w:rPr>
                <w:noProof/>
                <w:sz w:val="20"/>
              </w:rPr>
              <w:t>Postrojenja za pročišćavanje otpadnih voda izgrađena su i u funkciji</w:t>
            </w:r>
          </w:p>
          <w:p w14:paraId="7B93BFDD" w14:textId="77777777" w:rsidR="00733DCA" w:rsidRPr="00AD2AC5" w:rsidRDefault="00733DCA" w:rsidP="0001477B">
            <w:pPr>
              <w:spacing w:after="0" w:line="240" w:lineRule="auto"/>
              <w:jc w:val="both"/>
              <w:rPr>
                <w:rFonts w:eastAsia="Times New Roman" w:cstheme="minorHAnsi"/>
                <w:noProof/>
                <w:sz w:val="20"/>
                <w:szCs w:val="20"/>
                <w:lang w:val="en-IE" w:eastAsia="en-IE"/>
              </w:rPr>
            </w:pPr>
          </w:p>
        </w:tc>
        <w:tc>
          <w:tcPr>
            <w:tcW w:w="1981" w:type="dxa"/>
            <w:tcBorders>
              <w:top w:val="nil"/>
              <w:left w:val="nil"/>
              <w:bottom w:val="single" w:sz="6" w:space="0" w:color="auto"/>
              <w:right w:val="single" w:sz="6" w:space="0" w:color="auto"/>
            </w:tcBorders>
            <w:shd w:val="clear" w:color="auto" w:fill="C6EFCE"/>
            <w:hideMark/>
          </w:tcPr>
          <w:p w14:paraId="6E347233" w14:textId="77777777" w:rsidR="00733DCA" w:rsidRPr="00AD2AC5" w:rsidRDefault="00733DCA" w:rsidP="0001477B">
            <w:pPr>
              <w:spacing w:after="0" w:line="240" w:lineRule="auto"/>
              <w:jc w:val="both"/>
              <w:rPr>
                <w:rFonts w:eastAsia="Times New Roman" w:cstheme="minorHAnsi"/>
                <w:noProof/>
                <w:sz w:val="20"/>
                <w:szCs w:val="20"/>
              </w:rPr>
            </w:pPr>
            <w:r>
              <w:rPr>
                <w:noProof/>
                <w:sz w:val="20"/>
                <w:shd w:val="clear" w:color="auto" w:fill="E6E6E6"/>
              </w:rPr>
              <w:t> </w:t>
            </w:r>
          </w:p>
          <w:p w14:paraId="6D0E0489" w14:textId="77777777" w:rsidR="00733DCA" w:rsidRPr="00AD2AC5" w:rsidRDefault="00733DCA" w:rsidP="0001477B">
            <w:pPr>
              <w:spacing w:after="0" w:line="240" w:lineRule="auto"/>
              <w:jc w:val="both"/>
              <w:rPr>
                <w:rFonts w:eastAsia="Times New Roman" w:cstheme="minorHAnsi"/>
                <w:noProof/>
                <w:sz w:val="20"/>
                <w:szCs w:val="20"/>
                <w:lang w:val="en-IE" w:eastAsia="en-IE"/>
              </w:rPr>
            </w:pPr>
          </w:p>
        </w:tc>
        <w:tc>
          <w:tcPr>
            <w:tcW w:w="955" w:type="dxa"/>
            <w:tcBorders>
              <w:top w:val="nil"/>
              <w:left w:val="nil"/>
              <w:bottom w:val="single" w:sz="6" w:space="0" w:color="auto"/>
              <w:right w:val="single" w:sz="6" w:space="0" w:color="auto"/>
            </w:tcBorders>
            <w:shd w:val="clear" w:color="auto" w:fill="C6EFCE"/>
            <w:hideMark/>
          </w:tcPr>
          <w:p w14:paraId="4DD0FF45" w14:textId="3A3247B4" w:rsidR="00733DCA" w:rsidRPr="00AD2AC5" w:rsidRDefault="00733DCA" w:rsidP="00B869EA">
            <w:pPr>
              <w:spacing w:after="0" w:line="240" w:lineRule="auto"/>
              <w:jc w:val="center"/>
              <w:rPr>
                <w:rFonts w:eastAsia="Times New Roman" w:cstheme="minorHAnsi"/>
                <w:noProof/>
                <w:sz w:val="20"/>
                <w:szCs w:val="20"/>
              </w:rPr>
            </w:pPr>
            <w:r>
              <w:rPr>
                <w:noProof/>
                <w:sz w:val="20"/>
              </w:rPr>
              <w:t>Broj</w:t>
            </w:r>
          </w:p>
        </w:tc>
        <w:tc>
          <w:tcPr>
            <w:tcW w:w="1123" w:type="dxa"/>
            <w:tcBorders>
              <w:top w:val="nil"/>
              <w:left w:val="nil"/>
              <w:bottom w:val="single" w:sz="6" w:space="0" w:color="auto"/>
              <w:right w:val="single" w:sz="6" w:space="0" w:color="auto"/>
            </w:tcBorders>
            <w:shd w:val="clear" w:color="auto" w:fill="C6EFCE"/>
            <w:hideMark/>
          </w:tcPr>
          <w:p w14:paraId="65DDCB83"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12</w:t>
            </w:r>
          </w:p>
        </w:tc>
        <w:tc>
          <w:tcPr>
            <w:tcW w:w="981" w:type="dxa"/>
            <w:tcBorders>
              <w:top w:val="nil"/>
              <w:left w:val="nil"/>
              <w:bottom w:val="single" w:sz="6" w:space="0" w:color="auto"/>
              <w:right w:val="single" w:sz="6" w:space="0" w:color="auto"/>
            </w:tcBorders>
            <w:shd w:val="clear" w:color="auto" w:fill="C6EFCE"/>
            <w:hideMark/>
          </w:tcPr>
          <w:p w14:paraId="08D54B71"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31</w:t>
            </w:r>
          </w:p>
        </w:tc>
        <w:tc>
          <w:tcPr>
            <w:tcW w:w="488" w:type="dxa"/>
            <w:tcBorders>
              <w:top w:val="nil"/>
              <w:left w:val="nil"/>
              <w:bottom w:val="single" w:sz="6" w:space="0" w:color="auto"/>
              <w:right w:val="single" w:sz="6" w:space="0" w:color="auto"/>
            </w:tcBorders>
            <w:shd w:val="clear" w:color="auto" w:fill="C6EFCE"/>
            <w:hideMark/>
          </w:tcPr>
          <w:p w14:paraId="79BBE246"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4.  </w:t>
            </w:r>
          </w:p>
        </w:tc>
        <w:tc>
          <w:tcPr>
            <w:tcW w:w="847" w:type="dxa"/>
            <w:tcBorders>
              <w:top w:val="nil"/>
              <w:left w:val="nil"/>
              <w:bottom w:val="single" w:sz="6" w:space="0" w:color="auto"/>
              <w:right w:val="single" w:sz="6" w:space="0" w:color="auto"/>
            </w:tcBorders>
            <w:shd w:val="clear" w:color="auto" w:fill="C6EFCE"/>
            <w:hideMark/>
          </w:tcPr>
          <w:p w14:paraId="37E4886C"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2025.</w:t>
            </w:r>
          </w:p>
        </w:tc>
        <w:tc>
          <w:tcPr>
            <w:tcW w:w="3119" w:type="dxa"/>
            <w:tcBorders>
              <w:top w:val="nil"/>
              <w:left w:val="nil"/>
              <w:bottom w:val="single" w:sz="6" w:space="0" w:color="auto"/>
              <w:right w:val="single" w:sz="6" w:space="0" w:color="auto"/>
            </w:tcBorders>
            <w:shd w:val="clear" w:color="auto" w:fill="C6EFCE"/>
            <w:hideMark/>
          </w:tcPr>
          <w:p w14:paraId="55526DC7" w14:textId="77777777" w:rsidR="00733DCA" w:rsidRPr="00AD2AC5" w:rsidRDefault="00733DCA" w:rsidP="0001477B">
            <w:pPr>
              <w:spacing w:after="200" w:line="276" w:lineRule="auto"/>
              <w:rPr>
                <w:rFonts w:eastAsia="Calibri" w:cstheme="minorHAnsi"/>
                <w:noProof/>
                <w:sz w:val="20"/>
                <w:szCs w:val="20"/>
              </w:rPr>
            </w:pPr>
            <w:r>
              <w:rPr>
                <w:noProof/>
                <w:sz w:val="20"/>
              </w:rPr>
              <w:t>Najmanje 19 uređaja za pročišćavanje otpadnih voda izgrađeno je i u funkciji.</w:t>
            </w:r>
            <w:r>
              <w:rPr>
                <w:noProof/>
                <w:sz w:val="20"/>
              </w:rPr>
              <w:br/>
            </w:r>
            <w:bookmarkStart w:id="3" w:name="_Int_CkpqEWm3"/>
            <w:bookmarkEnd w:id="3"/>
          </w:p>
          <w:p w14:paraId="564A3D43" w14:textId="77777777" w:rsidR="00733DCA" w:rsidRPr="00BC0323" w:rsidRDefault="00733DCA" w:rsidP="0001477B">
            <w:pPr>
              <w:spacing w:after="200" w:line="276" w:lineRule="auto"/>
              <w:rPr>
                <w:rFonts w:eastAsia="Calibri" w:cstheme="minorHAnsi"/>
                <w:noProof/>
                <w:sz w:val="20"/>
                <w:szCs w:val="20"/>
              </w:rPr>
            </w:pPr>
          </w:p>
        </w:tc>
      </w:tr>
      <w:tr w:rsidR="000E63A9" w:rsidRPr="00AD2AC5" w14:paraId="6B4A8252"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6EAB800C" w14:textId="57EFC4BE" w:rsidR="00733DCA" w:rsidRPr="00AD2AC5" w:rsidRDefault="00BC393C" w:rsidP="0001477B">
            <w:pPr>
              <w:spacing w:after="0" w:line="240" w:lineRule="auto"/>
              <w:jc w:val="center"/>
              <w:textAlignment w:val="baseline"/>
              <w:rPr>
                <w:rFonts w:eastAsia="Times New Roman" w:cstheme="minorHAnsi"/>
                <w:noProof/>
                <w:sz w:val="20"/>
                <w:szCs w:val="20"/>
              </w:rPr>
            </w:pPr>
            <w:r>
              <w:rPr>
                <w:noProof/>
                <w:sz w:val="20"/>
              </w:rPr>
              <w:t>389</w:t>
            </w:r>
          </w:p>
        </w:tc>
        <w:tc>
          <w:tcPr>
            <w:tcW w:w="1223" w:type="dxa"/>
            <w:tcBorders>
              <w:top w:val="nil"/>
              <w:left w:val="nil"/>
              <w:bottom w:val="single" w:sz="6" w:space="0" w:color="auto"/>
              <w:right w:val="single" w:sz="6" w:space="0" w:color="auto"/>
            </w:tcBorders>
            <w:shd w:val="clear" w:color="auto" w:fill="C6EFCE"/>
            <w:hideMark/>
          </w:tcPr>
          <w:p w14:paraId="445C3FF9" w14:textId="0990635B" w:rsidR="00733DCA" w:rsidRPr="00AD2AC5" w:rsidRDefault="00733DCA" w:rsidP="00274621">
            <w:pPr>
              <w:spacing w:after="0" w:line="240" w:lineRule="auto"/>
              <w:jc w:val="center"/>
              <w:rPr>
                <w:rFonts w:eastAsia="Times New Roman" w:cstheme="minorHAnsi"/>
                <w:noProof/>
                <w:sz w:val="20"/>
                <w:szCs w:val="20"/>
              </w:rPr>
            </w:pPr>
            <w:r>
              <w:rPr>
                <w:noProof/>
                <w:sz w:val="20"/>
              </w:rPr>
              <w:t>C1.3. R3-I1</w:t>
            </w:r>
          </w:p>
        </w:tc>
        <w:tc>
          <w:tcPr>
            <w:tcW w:w="855" w:type="dxa"/>
            <w:tcBorders>
              <w:top w:val="nil"/>
              <w:left w:val="nil"/>
              <w:bottom w:val="single" w:sz="6" w:space="0" w:color="auto"/>
              <w:right w:val="single" w:sz="6" w:space="0" w:color="auto"/>
            </w:tcBorders>
            <w:shd w:val="clear" w:color="auto" w:fill="C6EFCE"/>
            <w:hideMark/>
          </w:tcPr>
          <w:p w14:paraId="220F17CA" w14:textId="33056CC2" w:rsidR="00733DCA" w:rsidRPr="00AD2AC5" w:rsidRDefault="00733DCA" w:rsidP="004F3E73">
            <w:pPr>
              <w:spacing w:after="0" w:line="240" w:lineRule="auto"/>
              <w:jc w:val="center"/>
              <w:rPr>
                <w:rFonts w:eastAsia="Times New Roman" w:cstheme="minorHAnsi"/>
                <w:noProof/>
                <w:sz w:val="20"/>
                <w:szCs w:val="20"/>
              </w:rPr>
            </w:pPr>
            <w:r>
              <w:rPr>
                <w:noProof/>
                <w:sz w:val="20"/>
              </w:rPr>
              <w:t>Ciljna vrijednost</w:t>
            </w:r>
          </w:p>
          <w:p w14:paraId="38105C2D" w14:textId="77777777" w:rsidR="00733DCA" w:rsidRPr="00AD2AC5" w:rsidRDefault="00733DCA" w:rsidP="004F3E73">
            <w:pPr>
              <w:spacing w:after="0" w:line="240" w:lineRule="auto"/>
              <w:jc w:val="center"/>
              <w:rPr>
                <w:rFonts w:eastAsia="Times New Roman" w:cstheme="minorHAnsi"/>
                <w:noProof/>
                <w:sz w:val="20"/>
                <w:szCs w:val="20"/>
                <w:lang w:val="en-IE" w:eastAsia="en-IE"/>
              </w:rPr>
            </w:pPr>
          </w:p>
        </w:tc>
        <w:tc>
          <w:tcPr>
            <w:tcW w:w="2410" w:type="dxa"/>
            <w:tcBorders>
              <w:top w:val="nil"/>
              <w:left w:val="nil"/>
              <w:bottom w:val="single" w:sz="6" w:space="0" w:color="auto"/>
              <w:right w:val="single" w:sz="6" w:space="0" w:color="auto"/>
            </w:tcBorders>
            <w:shd w:val="clear" w:color="auto" w:fill="C6EFCE"/>
            <w:hideMark/>
          </w:tcPr>
          <w:p w14:paraId="66AD023D" w14:textId="466993F2" w:rsidR="00733DCA" w:rsidRPr="00AD2AC5" w:rsidRDefault="00733DCA" w:rsidP="0001477B">
            <w:pPr>
              <w:spacing w:after="0" w:line="240" w:lineRule="auto"/>
              <w:jc w:val="both"/>
              <w:rPr>
                <w:rFonts w:eastAsia="Times New Roman"/>
                <w:noProof/>
                <w:sz w:val="20"/>
                <w:szCs w:val="20"/>
              </w:rPr>
            </w:pPr>
            <w:r>
              <w:rPr>
                <w:noProof/>
                <w:sz w:val="20"/>
              </w:rPr>
              <w:t>Izgrađena ili rekonstruirana javna mreža odvodnje otpadnih voda</w:t>
            </w:r>
          </w:p>
          <w:p w14:paraId="163BBA7A" w14:textId="77777777" w:rsidR="00733DCA" w:rsidRPr="00AD2AC5" w:rsidRDefault="00733DCA" w:rsidP="0001477B">
            <w:pPr>
              <w:spacing w:after="0" w:line="240" w:lineRule="auto"/>
              <w:jc w:val="both"/>
              <w:rPr>
                <w:rFonts w:eastAsia="Times New Roman" w:cstheme="minorHAnsi"/>
                <w:noProof/>
                <w:sz w:val="20"/>
                <w:szCs w:val="20"/>
                <w:lang w:val="en-IE" w:eastAsia="en-IE"/>
              </w:rPr>
            </w:pPr>
          </w:p>
        </w:tc>
        <w:tc>
          <w:tcPr>
            <w:tcW w:w="1981" w:type="dxa"/>
            <w:tcBorders>
              <w:top w:val="nil"/>
              <w:left w:val="nil"/>
              <w:bottom w:val="single" w:sz="6" w:space="0" w:color="auto"/>
              <w:right w:val="single" w:sz="6" w:space="0" w:color="auto"/>
            </w:tcBorders>
            <w:shd w:val="clear" w:color="auto" w:fill="C6EFCE"/>
            <w:hideMark/>
          </w:tcPr>
          <w:p w14:paraId="0C6D8568" w14:textId="77777777" w:rsidR="00733DCA" w:rsidRPr="00AD2AC5" w:rsidRDefault="00733DCA" w:rsidP="0001477B">
            <w:pPr>
              <w:spacing w:after="0" w:line="240" w:lineRule="auto"/>
              <w:jc w:val="both"/>
              <w:rPr>
                <w:rFonts w:eastAsia="Times New Roman" w:cstheme="minorHAnsi"/>
                <w:noProof/>
                <w:sz w:val="20"/>
                <w:szCs w:val="20"/>
                <w:lang w:val="en-IE" w:eastAsia="en-IE"/>
              </w:rPr>
            </w:pPr>
          </w:p>
        </w:tc>
        <w:tc>
          <w:tcPr>
            <w:tcW w:w="955" w:type="dxa"/>
            <w:tcBorders>
              <w:top w:val="nil"/>
              <w:left w:val="nil"/>
              <w:bottom w:val="single" w:sz="6" w:space="0" w:color="auto"/>
              <w:right w:val="single" w:sz="6" w:space="0" w:color="auto"/>
            </w:tcBorders>
            <w:shd w:val="clear" w:color="auto" w:fill="C6EFCE"/>
            <w:hideMark/>
          </w:tcPr>
          <w:p w14:paraId="60A3AB44" w14:textId="77777777" w:rsidR="00733DCA" w:rsidRPr="00AD2AC5" w:rsidRDefault="00733DCA" w:rsidP="0001477B">
            <w:pPr>
              <w:spacing w:after="0" w:line="240" w:lineRule="auto"/>
              <w:jc w:val="both"/>
              <w:rPr>
                <w:rFonts w:eastAsia="Times New Roman" w:cstheme="minorHAnsi"/>
                <w:noProof/>
                <w:sz w:val="20"/>
                <w:szCs w:val="20"/>
              </w:rPr>
            </w:pPr>
            <w:r>
              <w:rPr>
                <w:noProof/>
                <w:sz w:val="20"/>
              </w:rPr>
              <w:t xml:space="preserve">   Broj </w:t>
            </w:r>
          </w:p>
          <w:p w14:paraId="01EE2A4C" w14:textId="77777777" w:rsidR="00733DCA" w:rsidRPr="00AD2AC5" w:rsidRDefault="00733DCA" w:rsidP="0001477B">
            <w:pPr>
              <w:spacing w:after="0" w:line="240" w:lineRule="auto"/>
              <w:jc w:val="both"/>
              <w:rPr>
                <w:rFonts w:eastAsia="Times New Roman" w:cstheme="minorHAnsi"/>
                <w:noProof/>
                <w:sz w:val="20"/>
                <w:szCs w:val="20"/>
                <w:lang w:val="en-IE" w:eastAsia="en-IE"/>
              </w:rPr>
            </w:pPr>
          </w:p>
        </w:tc>
        <w:tc>
          <w:tcPr>
            <w:tcW w:w="1123" w:type="dxa"/>
            <w:tcBorders>
              <w:top w:val="nil"/>
              <w:left w:val="nil"/>
              <w:bottom w:val="single" w:sz="6" w:space="0" w:color="auto"/>
              <w:right w:val="single" w:sz="6" w:space="0" w:color="auto"/>
            </w:tcBorders>
            <w:shd w:val="clear" w:color="auto" w:fill="C6EFCE"/>
            <w:hideMark/>
          </w:tcPr>
          <w:p w14:paraId="28D949E0"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775</w:t>
            </w:r>
          </w:p>
        </w:tc>
        <w:tc>
          <w:tcPr>
            <w:tcW w:w="981" w:type="dxa"/>
            <w:tcBorders>
              <w:top w:val="nil"/>
              <w:left w:val="nil"/>
              <w:bottom w:val="single" w:sz="6" w:space="0" w:color="auto"/>
              <w:right w:val="single" w:sz="6" w:space="0" w:color="auto"/>
            </w:tcBorders>
            <w:shd w:val="clear" w:color="auto" w:fill="C6EFCE"/>
            <w:hideMark/>
          </w:tcPr>
          <w:p w14:paraId="32F3ECEC"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851</w:t>
            </w:r>
          </w:p>
        </w:tc>
        <w:tc>
          <w:tcPr>
            <w:tcW w:w="488" w:type="dxa"/>
            <w:tcBorders>
              <w:top w:val="nil"/>
              <w:left w:val="nil"/>
              <w:bottom w:val="single" w:sz="6" w:space="0" w:color="auto"/>
              <w:right w:val="single" w:sz="6" w:space="0" w:color="auto"/>
            </w:tcBorders>
            <w:shd w:val="clear" w:color="auto" w:fill="C6EFCE"/>
            <w:hideMark/>
          </w:tcPr>
          <w:p w14:paraId="52D4DC58"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  4.</w:t>
            </w:r>
          </w:p>
        </w:tc>
        <w:tc>
          <w:tcPr>
            <w:tcW w:w="847" w:type="dxa"/>
            <w:tcBorders>
              <w:top w:val="nil"/>
              <w:left w:val="nil"/>
              <w:bottom w:val="single" w:sz="6" w:space="0" w:color="auto"/>
              <w:right w:val="single" w:sz="6" w:space="0" w:color="auto"/>
            </w:tcBorders>
            <w:shd w:val="clear" w:color="auto" w:fill="C6EFCE"/>
            <w:hideMark/>
          </w:tcPr>
          <w:p w14:paraId="4B16082A" w14:textId="77777777" w:rsidR="00733DCA" w:rsidRPr="00AD2AC5" w:rsidRDefault="00733DCA" w:rsidP="00B869EA">
            <w:pPr>
              <w:spacing w:after="0" w:line="240" w:lineRule="auto"/>
              <w:jc w:val="center"/>
              <w:textAlignment w:val="baseline"/>
              <w:rPr>
                <w:rFonts w:eastAsia="Times New Roman" w:cstheme="minorHAnsi"/>
                <w:noProof/>
                <w:sz w:val="20"/>
                <w:szCs w:val="20"/>
              </w:rPr>
            </w:pPr>
            <w:r>
              <w:rPr>
                <w:noProof/>
                <w:sz w:val="20"/>
              </w:rPr>
              <w:t>2025.  </w:t>
            </w:r>
          </w:p>
        </w:tc>
        <w:tc>
          <w:tcPr>
            <w:tcW w:w="3119" w:type="dxa"/>
            <w:tcBorders>
              <w:top w:val="nil"/>
              <w:left w:val="nil"/>
              <w:bottom w:val="single" w:sz="6" w:space="0" w:color="auto"/>
              <w:right w:val="single" w:sz="6" w:space="0" w:color="auto"/>
            </w:tcBorders>
            <w:shd w:val="clear" w:color="auto" w:fill="C6EFCE"/>
            <w:hideMark/>
          </w:tcPr>
          <w:p w14:paraId="27441830" w14:textId="77777777" w:rsidR="00733DCA" w:rsidRPr="00AD2AC5" w:rsidRDefault="00733DCA" w:rsidP="0001477B">
            <w:pPr>
              <w:spacing w:after="200" w:line="276" w:lineRule="auto"/>
              <w:rPr>
                <w:rFonts w:eastAsia="Calibri" w:cstheme="minorHAnsi"/>
                <w:noProof/>
                <w:sz w:val="20"/>
                <w:szCs w:val="20"/>
              </w:rPr>
            </w:pPr>
            <w:r>
              <w:rPr>
                <w:noProof/>
                <w:sz w:val="20"/>
              </w:rPr>
              <w:t>Izgrađeno je ili rekonstruirano najmanje 76 km mreže javne odvodnje otpadnih voda.</w:t>
            </w:r>
          </w:p>
          <w:p w14:paraId="7A60B69C" w14:textId="77777777" w:rsidR="00733DCA" w:rsidRPr="00BC0323" w:rsidRDefault="00733DCA" w:rsidP="0001477B">
            <w:pPr>
              <w:spacing w:after="200" w:line="276" w:lineRule="auto"/>
              <w:rPr>
                <w:rFonts w:eastAsia="Calibri" w:cstheme="minorHAnsi"/>
                <w:noProof/>
                <w:sz w:val="20"/>
                <w:szCs w:val="20"/>
              </w:rPr>
            </w:pPr>
          </w:p>
        </w:tc>
      </w:tr>
      <w:tr w:rsidR="000E63A9" w:rsidRPr="00AD2AC5" w14:paraId="515E6E49"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2476632D" w14:textId="07DB9B7F" w:rsidR="00733DCA" w:rsidRPr="00AD2AC5" w:rsidRDefault="00BC393C">
            <w:pPr>
              <w:spacing w:after="0" w:line="240" w:lineRule="auto"/>
              <w:jc w:val="center"/>
              <w:textAlignment w:val="baseline"/>
              <w:rPr>
                <w:rFonts w:cstheme="minorHAnsi"/>
                <w:noProof/>
                <w:sz w:val="20"/>
                <w:szCs w:val="20"/>
                <w:highlight w:val="yellow"/>
              </w:rPr>
            </w:pPr>
            <w:r>
              <w:rPr>
                <w:noProof/>
                <w:sz w:val="20"/>
              </w:rPr>
              <w:t>390 </w:t>
            </w:r>
          </w:p>
        </w:tc>
        <w:tc>
          <w:tcPr>
            <w:tcW w:w="1223" w:type="dxa"/>
            <w:tcBorders>
              <w:top w:val="nil"/>
              <w:left w:val="nil"/>
              <w:bottom w:val="single" w:sz="6" w:space="0" w:color="auto"/>
              <w:right w:val="single" w:sz="6" w:space="0" w:color="auto"/>
            </w:tcBorders>
            <w:shd w:val="clear" w:color="auto" w:fill="C6EFCE"/>
            <w:hideMark/>
          </w:tcPr>
          <w:p w14:paraId="3A606910" w14:textId="3D67044F" w:rsidR="00733DCA" w:rsidRPr="00AD2AC5" w:rsidRDefault="00733DCA" w:rsidP="004F3E73">
            <w:pPr>
              <w:spacing w:after="0" w:line="240" w:lineRule="auto"/>
              <w:jc w:val="center"/>
              <w:rPr>
                <w:rFonts w:eastAsia="Times New Roman" w:cstheme="minorHAnsi"/>
                <w:noProof/>
                <w:sz w:val="20"/>
                <w:szCs w:val="20"/>
              </w:rPr>
            </w:pPr>
            <w:r>
              <w:rPr>
                <w:noProof/>
                <w:sz w:val="20"/>
              </w:rPr>
              <w:t>C1.3. R3-I1</w:t>
            </w:r>
          </w:p>
        </w:tc>
        <w:tc>
          <w:tcPr>
            <w:tcW w:w="855" w:type="dxa"/>
            <w:tcBorders>
              <w:top w:val="nil"/>
              <w:left w:val="nil"/>
              <w:bottom w:val="single" w:sz="6" w:space="0" w:color="auto"/>
              <w:right w:val="single" w:sz="6" w:space="0" w:color="auto"/>
            </w:tcBorders>
            <w:shd w:val="clear" w:color="auto" w:fill="C6EFCE"/>
            <w:hideMark/>
          </w:tcPr>
          <w:p w14:paraId="1FAB70A4" w14:textId="084B1815" w:rsidR="00733DCA" w:rsidRPr="00AD2AC5" w:rsidRDefault="00733DCA" w:rsidP="004F3E73">
            <w:pPr>
              <w:spacing w:after="0" w:line="240" w:lineRule="auto"/>
              <w:jc w:val="center"/>
              <w:rPr>
                <w:rFonts w:eastAsia="Times New Roman" w:cstheme="minorHAnsi"/>
                <w:noProof/>
                <w:sz w:val="20"/>
                <w:szCs w:val="20"/>
              </w:rPr>
            </w:pPr>
            <w:r>
              <w:rPr>
                <w:noProof/>
                <w:sz w:val="20"/>
              </w:rPr>
              <w:t>Ciljna vrijednost</w:t>
            </w:r>
          </w:p>
        </w:tc>
        <w:tc>
          <w:tcPr>
            <w:tcW w:w="2410" w:type="dxa"/>
            <w:tcBorders>
              <w:top w:val="nil"/>
              <w:left w:val="nil"/>
              <w:bottom w:val="single" w:sz="6" w:space="0" w:color="auto"/>
              <w:right w:val="single" w:sz="6" w:space="0" w:color="auto"/>
            </w:tcBorders>
            <w:shd w:val="clear" w:color="auto" w:fill="C6EFCE"/>
            <w:hideMark/>
          </w:tcPr>
          <w:p w14:paraId="0F0D17A7" w14:textId="77777777" w:rsidR="00733DCA" w:rsidRPr="00AD2AC5" w:rsidRDefault="00733DCA" w:rsidP="0001477B">
            <w:pPr>
              <w:spacing w:after="0" w:line="240" w:lineRule="auto"/>
              <w:jc w:val="both"/>
              <w:rPr>
                <w:rFonts w:eastAsia="Times New Roman" w:cstheme="minorHAnsi"/>
                <w:noProof/>
                <w:sz w:val="20"/>
                <w:szCs w:val="20"/>
              </w:rPr>
            </w:pPr>
            <w:r>
              <w:rPr>
                <w:noProof/>
                <w:sz w:val="20"/>
              </w:rPr>
              <w:t>Broj stanovnika koji imaju koristi od poboljšanog pristupa unaprijeđenom sustavu pročišćavanja otpadnih voda</w:t>
            </w:r>
          </w:p>
        </w:tc>
        <w:tc>
          <w:tcPr>
            <w:tcW w:w="1981" w:type="dxa"/>
            <w:tcBorders>
              <w:top w:val="nil"/>
              <w:left w:val="nil"/>
              <w:bottom w:val="single" w:sz="6" w:space="0" w:color="auto"/>
              <w:right w:val="single" w:sz="6" w:space="0" w:color="auto"/>
            </w:tcBorders>
            <w:shd w:val="clear" w:color="auto" w:fill="C6EFCE"/>
            <w:hideMark/>
          </w:tcPr>
          <w:p w14:paraId="04510D81" w14:textId="77777777" w:rsidR="00733DCA" w:rsidRPr="00BC0323" w:rsidRDefault="00733DCA" w:rsidP="0001477B">
            <w:pPr>
              <w:spacing w:after="0" w:line="240" w:lineRule="auto"/>
              <w:jc w:val="both"/>
              <w:rPr>
                <w:rFonts w:eastAsia="Times New Roman" w:cstheme="minorHAnsi"/>
                <w:noProof/>
                <w:sz w:val="20"/>
                <w:szCs w:val="20"/>
                <w:lang w:eastAsia="en-IE"/>
              </w:rPr>
            </w:pPr>
          </w:p>
        </w:tc>
        <w:tc>
          <w:tcPr>
            <w:tcW w:w="955" w:type="dxa"/>
            <w:tcBorders>
              <w:top w:val="nil"/>
              <w:left w:val="nil"/>
              <w:bottom w:val="single" w:sz="6" w:space="0" w:color="auto"/>
              <w:right w:val="single" w:sz="6" w:space="0" w:color="auto"/>
            </w:tcBorders>
            <w:shd w:val="clear" w:color="auto" w:fill="C6EFCE"/>
            <w:hideMark/>
          </w:tcPr>
          <w:p w14:paraId="347FCB4E"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Broj</w:t>
            </w:r>
          </w:p>
        </w:tc>
        <w:tc>
          <w:tcPr>
            <w:tcW w:w="1123" w:type="dxa"/>
            <w:tcBorders>
              <w:top w:val="nil"/>
              <w:left w:val="nil"/>
              <w:bottom w:val="single" w:sz="6" w:space="0" w:color="auto"/>
              <w:right w:val="single" w:sz="6" w:space="0" w:color="auto"/>
            </w:tcBorders>
            <w:shd w:val="clear" w:color="auto" w:fill="C6EFCE"/>
            <w:hideMark/>
          </w:tcPr>
          <w:p w14:paraId="25A74714"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200 000</w:t>
            </w:r>
          </w:p>
        </w:tc>
        <w:tc>
          <w:tcPr>
            <w:tcW w:w="981" w:type="dxa"/>
            <w:tcBorders>
              <w:top w:val="nil"/>
              <w:left w:val="nil"/>
              <w:bottom w:val="single" w:sz="6" w:space="0" w:color="auto"/>
              <w:right w:val="single" w:sz="6" w:space="0" w:color="auto"/>
            </w:tcBorders>
            <w:shd w:val="clear" w:color="auto" w:fill="C6EFCE"/>
            <w:hideMark/>
          </w:tcPr>
          <w:p w14:paraId="1D5E98A5"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220 000</w:t>
            </w:r>
          </w:p>
        </w:tc>
        <w:tc>
          <w:tcPr>
            <w:tcW w:w="488" w:type="dxa"/>
            <w:tcBorders>
              <w:top w:val="nil"/>
              <w:left w:val="nil"/>
              <w:bottom w:val="single" w:sz="6" w:space="0" w:color="auto"/>
              <w:right w:val="single" w:sz="6" w:space="0" w:color="auto"/>
            </w:tcBorders>
            <w:shd w:val="clear" w:color="auto" w:fill="C6EFCE"/>
            <w:hideMark/>
          </w:tcPr>
          <w:p w14:paraId="5112A544"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2.</w:t>
            </w:r>
          </w:p>
        </w:tc>
        <w:tc>
          <w:tcPr>
            <w:tcW w:w="847" w:type="dxa"/>
            <w:tcBorders>
              <w:top w:val="nil"/>
              <w:left w:val="nil"/>
              <w:bottom w:val="single" w:sz="6" w:space="0" w:color="auto"/>
              <w:right w:val="single" w:sz="6" w:space="0" w:color="auto"/>
            </w:tcBorders>
            <w:shd w:val="clear" w:color="auto" w:fill="C6EFCE"/>
            <w:hideMark/>
          </w:tcPr>
          <w:p w14:paraId="535B0BCD"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2026.</w:t>
            </w:r>
          </w:p>
        </w:tc>
        <w:tc>
          <w:tcPr>
            <w:tcW w:w="3119" w:type="dxa"/>
            <w:tcBorders>
              <w:top w:val="nil"/>
              <w:left w:val="nil"/>
              <w:bottom w:val="single" w:sz="6" w:space="0" w:color="auto"/>
              <w:right w:val="single" w:sz="6" w:space="0" w:color="auto"/>
            </w:tcBorders>
            <w:shd w:val="clear" w:color="auto" w:fill="C6EFCE"/>
            <w:hideMark/>
          </w:tcPr>
          <w:p w14:paraId="66E0991A" w14:textId="77777777" w:rsidR="00733DCA" w:rsidRPr="00AD2AC5" w:rsidRDefault="00733DCA" w:rsidP="0001477B">
            <w:pPr>
              <w:spacing w:after="200" w:line="276" w:lineRule="auto"/>
              <w:rPr>
                <w:rFonts w:eastAsia="Calibri" w:cstheme="minorHAnsi"/>
                <w:noProof/>
                <w:sz w:val="20"/>
                <w:szCs w:val="20"/>
              </w:rPr>
            </w:pPr>
            <w:r>
              <w:rPr>
                <w:noProof/>
                <w:sz w:val="20"/>
              </w:rPr>
              <w:t xml:space="preserve">Najmanje dodatnih 20 000 stanovnika ima koristi od poboljšanih usluga vodoopskrbe.  </w:t>
            </w:r>
          </w:p>
        </w:tc>
      </w:tr>
      <w:tr w:rsidR="000E63A9" w:rsidRPr="00AD2AC5" w14:paraId="730CBD98"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2EB9B951" w14:textId="32344097" w:rsidR="00733DCA" w:rsidRPr="00AD2AC5" w:rsidRDefault="00D4014E" w:rsidP="0001477B">
            <w:pPr>
              <w:spacing w:after="0" w:line="240" w:lineRule="auto"/>
              <w:jc w:val="center"/>
              <w:rPr>
                <w:rFonts w:cstheme="minorHAnsi"/>
                <w:noProof/>
                <w:sz w:val="20"/>
                <w:szCs w:val="20"/>
              </w:rPr>
            </w:pPr>
            <w:r>
              <w:rPr>
                <w:noProof/>
                <w:sz w:val="20"/>
              </w:rPr>
              <w:t>391 </w:t>
            </w:r>
          </w:p>
          <w:p w14:paraId="26072741" w14:textId="77777777" w:rsidR="00733DCA" w:rsidRPr="00AD2AC5" w:rsidRDefault="00733DCA" w:rsidP="0001477B">
            <w:pPr>
              <w:spacing w:after="200" w:line="276" w:lineRule="auto"/>
              <w:jc w:val="center"/>
              <w:rPr>
                <w:rFonts w:eastAsia="Calibri" w:cstheme="minorHAnsi"/>
                <w:noProof/>
                <w:sz w:val="20"/>
                <w:szCs w:val="20"/>
                <w:lang w:val="en-GB"/>
              </w:rPr>
            </w:pPr>
          </w:p>
        </w:tc>
        <w:tc>
          <w:tcPr>
            <w:tcW w:w="1223" w:type="dxa"/>
            <w:tcBorders>
              <w:top w:val="nil"/>
              <w:left w:val="nil"/>
              <w:bottom w:val="single" w:sz="6" w:space="0" w:color="auto"/>
              <w:right w:val="single" w:sz="6" w:space="0" w:color="auto"/>
            </w:tcBorders>
            <w:shd w:val="clear" w:color="auto" w:fill="C6EFCE"/>
            <w:hideMark/>
          </w:tcPr>
          <w:p w14:paraId="7B799F62" w14:textId="0340587A" w:rsidR="00733DCA" w:rsidRPr="00AD2AC5" w:rsidRDefault="00733DCA" w:rsidP="004F3E73">
            <w:pPr>
              <w:spacing w:after="0" w:line="240" w:lineRule="auto"/>
              <w:jc w:val="center"/>
              <w:rPr>
                <w:rFonts w:eastAsia="Calibri" w:cstheme="minorHAnsi"/>
                <w:noProof/>
                <w:sz w:val="20"/>
                <w:szCs w:val="20"/>
              </w:rPr>
            </w:pPr>
            <w:r>
              <w:rPr>
                <w:noProof/>
                <w:sz w:val="20"/>
              </w:rPr>
              <w:t>C1.3. R3-I2</w:t>
            </w:r>
          </w:p>
        </w:tc>
        <w:tc>
          <w:tcPr>
            <w:tcW w:w="855" w:type="dxa"/>
            <w:tcBorders>
              <w:top w:val="nil"/>
              <w:left w:val="nil"/>
              <w:bottom w:val="single" w:sz="6" w:space="0" w:color="auto"/>
              <w:right w:val="single" w:sz="6" w:space="0" w:color="auto"/>
            </w:tcBorders>
            <w:shd w:val="clear" w:color="auto" w:fill="C6EFCE"/>
            <w:hideMark/>
          </w:tcPr>
          <w:p w14:paraId="03E46A57" w14:textId="45CCF3C2" w:rsidR="00733DCA" w:rsidRPr="00AD2AC5" w:rsidRDefault="00733DCA" w:rsidP="005F5E52">
            <w:pPr>
              <w:spacing w:after="0" w:line="240" w:lineRule="auto"/>
              <w:jc w:val="center"/>
              <w:rPr>
                <w:rFonts w:eastAsia="Calibri" w:cstheme="minorHAnsi"/>
                <w:noProof/>
                <w:sz w:val="20"/>
                <w:szCs w:val="20"/>
              </w:rPr>
            </w:pPr>
            <w:r>
              <w:rPr>
                <w:noProof/>
                <w:sz w:val="20"/>
              </w:rPr>
              <w:t>Ciljna vrijednost</w:t>
            </w:r>
          </w:p>
        </w:tc>
        <w:tc>
          <w:tcPr>
            <w:tcW w:w="2410" w:type="dxa"/>
            <w:tcBorders>
              <w:top w:val="nil"/>
              <w:left w:val="nil"/>
              <w:bottom w:val="single" w:sz="6" w:space="0" w:color="auto"/>
              <w:right w:val="single" w:sz="6" w:space="0" w:color="auto"/>
            </w:tcBorders>
            <w:shd w:val="clear" w:color="auto" w:fill="C6EFCE"/>
            <w:hideMark/>
          </w:tcPr>
          <w:p w14:paraId="6CD04945" w14:textId="77777777" w:rsidR="00733DCA" w:rsidRPr="00AD2AC5" w:rsidRDefault="00733DCA" w:rsidP="0001477B">
            <w:pPr>
              <w:spacing w:after="200" w:line="276" w:lineRule="auto"/>
              <w:rPr>
                <w:rFonts w:eastAsia="Calibri" w:cstheme="minorHAnsi"/>
                <w:noProof/>
                <w:sz w:val="20"/>
                <w:szCs w:val="20"/>
              </w:rPr>
            </w:pPr>
            <w:r>
              <w:rPr>
                <w:noProof/>
                <w:sz w:val="20"/>
              </w:rPr>
              <w:t xml:space="preserve">Izgrađena ili rekonstruirana javna vodoopskrbna mreža </w:t>
            </w:r>
          </w:p>
        </w:tc>
        <w:tc>
          <w:tcPr>
            <w:tcW w:w="1981" w:type="dxa"/>
            <w:tcBorders>
              <w:top w:val="nil"/>
              <w:left w:val="nil"/>
              <w:bottom w:val="single" w:sz="6" w:space="0" w:color="auto"/>
              <w:right w:val="single" w:sz="6" w:space="0" w:color="auto"/>
            </w:tcBorders>
            <w:shd w:val="clear" w:color="auto" w:fill="C6EFCE"/>
            <w:hideMark/>
          </w:tcPr>
          <w:p w14:paraId="0D97C8B7" w14:textId="77777777" w:rsidR="00733DCA" w:rsidRPr="00AD2AC5" w:rsidRDefault="00733DCA" w:rsidP="0001477B">
            <w:pPr>
              <w:spacing w:after="200" w:line="276" w:lineRule="auto"/>
              <w:rPr>
                <w:rFonts w:eastAsia="Calibri" w:cstheme="minorHAnsi"/>
                <w:noProof/>
                <w:sz w:val="20"/>
                <w:szCs w:val="20"/>
              </w:rPr>
            </w:pPr>
            <w:r>
              <w:rPr>
                <w:noProof/>
                <w:sz w:val="20"/>
                <w:shd w:val="clear" w:color="auto" w:fill="E6E6E6"/>
              </w:rPr>
              <w:t xml:space="preserve"> </w:t>
            </w:r>
          </w:p>
        </w:tc>
        <w:tc>
          <w:tcPr>
            <w:tcW w:w="955" w:type="dxa"/>
            <w:tcBorders>
              <w:top w:val="nil"/>
              <w:left w:val="nil"/>
              <w:bottom w:val="single" w:sz="6" w:space="0" w:color="auto"/>
              <w:right w:val="single" w:sz="6" w:space="0" w:color="auto"/>
            </w:tcBorders>
            <w:shd w:val="clear" w:color="auto" w:fill="C6EFCE"/>
            <w:hideMark/>
          </w:tcPr>
          <w:p w14:paraId="12FBD6A5"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Broj</w:t>
            </w:r>
          </w:p>
        </w:tc>
        <w:tc>
          <w:tcPr>
            <w:tcW w:w="1123" w:type="dxa"/>
            <w:tcBorders>
              <w:top w:val="nil"/>
              <w:left w:val="nil"/>
              <w:bottom w:val="single" w:sz="6" w:space="0" w:color="auto"/>
              <w:right w:val="single" w:sz="6" w:space="0" w:color="auto"/>
            </w:tcBorders>
            <w:shd w:val="clear" w:color="auto" w:fill="C6EFCE"/>
            <w:hideMark/>
          </w:tcPr>
          <w:p w14:paraId="62663A53"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956</w:t>
            </w:r>
          </w:p>
        </w:tc>
        <w:tc>
          <w:tcPr>
            <w:tcW w:w="981" w:type="dxa"/>
            <w:tcBorders>
              <w:top w:val="nil"/>
              <w:left w:val="nil"/>
              <w:bottom w:val="single" w:sz="6" w:space="0" w:color="auto"/>
              <w:right w:val="single" w:sz="6" w:space="0" w:color="auto"/>
            </w:tcBorders>
            <w:shd w:val="clear" w:color="auto" w:fill="C6EFCE"/>
            <w:hideMark/>
          </w:tcPr>
          <w:p w14:paraId="06D87FD0"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1087</w:t>
            </w:r>
          </w:p>
        </w:tc>
        <w:tc>
          <w:tcPr>
            <w:tcW w:w="488" w:type="dxa"/>
            <w:tcBorders>
              <w:top w:val="nil"/>
              <w:left w:val="nil"/>
              <w:bottom w:val="single" w:sz="6" w:space="0" w:color="auto"/>
              <w:right w:val="single" w:sz="6" w:space="0" w:color="auto"/>
            </w:tcBorders>
            <w:shd w:val="clear" w:color="auto" w:fill="C6EFCE"/>
            <w:hideMark/>
          </w:tcPr>
          <w:p w14:paraId="3AABF321"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4.</w:t>
            </w:r>
          </w:p>
        </w:tc>
        <w:tc>
          <w:tcPr>
            <w:tcW w:w="847" w:type="dxa"/>
            <w:tcBorders>
              <w:top w:val="nil"/>
              <w:left w:val="nil"/>
              <w:bottom w:val="single" w:sz="6" w:space="0" w:color="auto"/>
              <w:right w:val="single" w:sz="6" w:space="0" w:color="auto"/>
            </w:tcBorders>
            <w:shd w:val="clear" w:color="auto" w:fill="C6EFCE"/>
            <w:hideMark/>
          </w:tcPr>
          <w:p w14:paraId="719B050A"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2025.</w:t>
            </w:r>
          </w:p>
        </w:tc>
        <w:tc>
          <w:tcPr>
            <w:tcW w:w="3119" w:type="dxa"/>
            <w:tcBorders>
              <w:top w:val="nil"/>
              <w:left w:val="nil"/>
              <w:bottom w:val="single" w:sz="6" w:space="0" w:color="auto"/>
              <w:right w:val="single" w:sz="6" w:space="0" w:color="auto"/>
            </w:tcBorders>
            <w:shd w:val="clear" w:color="auto" w:fill="C6EFCE"/>
            <w:hideMark/>
          </w:tcPr>
          <w:p w14:paraId="631D387B" w14:textId="77777777" w:rsidR="00733DCA" w:rsidRPr="00AD2AC5" w:rsidRDefault="00733DCA" w:rsidP="0001477B">
            <w:pPr>
              <w:spacing w:after="200" w:line="276" w:lineRule="auto"/>
              <w:rPr>
                <w:rFonts w:eastAsia="Calibri" w:cstheme="minorHAnsi"/>
                <w:noProof/>
                <w:sz w:val="20"/>
                <w:szCs w:val="20"/>
              </w:rPr>
            </w:pPr>
            <w:r>
              <w:rPr>
                <w:noProof/>
                <w:sz w:val="20"/>
              </w:rPr>
              <w:t>Izgrađeno ili obnovljeno najmanje 131 km javne vodoopskrbne mreže.</w:t>
            </w:r>
            <w:r>
              <w:rPr>
                <w:noProof/>
                <w:sz w:val="20"/>
                <w:shd w:val="clear" w:color="auto" w:fill="E6E6E6"/>
              </w:rPr>
              <w:t xml:space="preserve"> </w:t>
            </w:r>
            <w:r>
              <w:rPr>
                <w:noProof/>
                <w:sz w:val="20"/>
              </w:rPr>
              <w:br/>
            </w:r>
            <w:r>
              <w:rPr>
                <w:noProof/>
                <w:sz w:val="20"/>
                <w:shd w:val="clear" w:color="auto" w:fill="E6E6E6"/>
              </w:rPr>
              <w:t xml:space="preserve"> </w:t>
            </w:r>
          </w:p>
        </w:tc>
      </w:tr>
      <w:tr w:rsidR="000E63A9" w:rsidRPr="00AD2AC5" w14:paraId="2F1C1B0A" w14:textId="77777777" w:rsidTr="00274621">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4AD2542C" w14:textId="7F4985A8" w:rsidR="00733DCA" w:rsidRPr="00AD2AC5" w:rsidRDefault="00D4014E" w:rsidP="0001477B">
            <w:pPr>
              <w:spacing w:after="0" w:line="240" w:lineRule="auto"/>
              <w:jc w:val="center"/>
              <w:rPr>
                <w:rFonts w:cstheme="minorHAnsi"/>
                <w:noProof/>
                <w:sz w:val="20"/>
                <w:szCs w:val="20"/>
              </w:rPr>
            </w:pPr>
            <w:r>
              <w:rPr>
                <w:noProof/>
                <w:sz w:val="20"/>
              </w:rPr>
              <w:t>392</w:t>
            </w:r>
          </w:p>
          <w:p w14:paraId="01F401D1" w14:textId="77777777" w:rsidR="00733DCA" w:rsidRPr="00AD2AC5" w:rsidRDefault="00733DCA" w:rsidP="0001477B">
            <w:pPr>
              <w:spacing w:after="200" w:line="276" w:lineRule="auto"/>
              <w:jc w:val="center"/>
              <w:rPr>
                <w:rFonts w:eastAsia="Calibri" w:cstheme="minorHAnsi"/>
                <w:noProof/>
                <w:sz w:val="20"/>
                <w:szCs w:val="20"/>
                <w:lang w:val="en-GB"/>
              </w:rPr>
            </w:pPr>
          </w:p>
        </w:tc>
        <w:tc>
          <w:tcPr>
            <w:tcW w:w="1223" w:type="dxa"/>
            <w:tcBorders>
              <w:top w:val="nil"/>
              <w:left w:val="nil"/>
              <w:bottom w:val="single" w:sz="6" w:space="0" w:color="auto"/>
              <w:right w:val="single" w:sz="6" w:space="0" w:color="auto"/>
            </w:tcBorders>
            <w:shd w:val="clear" w:color="auto" w:fill="C6EFCE"/>
            <w:hideMark/>
          </w:tcPr>
          <w:p w14:paraId="08F65CA3" w14:textId="568EFF8F" w:rsidR="00733DCA" w:rsidRPr="00AD2AC5" w:rsidRDefault="00733DCA" w:rsidP="004F3E73">
            <w:pPr>
              <w:spacing w:after="0" w:line="240" w:lineRule="auto"/>
              <w:jc w:val="center"/>
              <w:rPr>
                <w:rFonts w:eastAsia="Calibri" w:cstheme="minorHAnsi"/>
                <w:noProof/>
                <w:sz w:val="20"/>
                <w:szCs w:val="20"/>
              </w:rPr>
            </w:pPr>
            <w:r>
              <w:rPr>
                <w:noProof/>
                <w:sz w:val="20"/>
              </w:rPr>
              <w:t>C1.3. R3-I2</w:t>
            </w:r>
          </w:p>
        </w:tc>
        <w:tc>
          <w:tcPr>
            <w:tcW w:w="855" w:type="dxa"/>
            <w:tcBorders>
              <w:top w:val="nil"/>
              <w:left w:val="nil"/>
              <w:bottom w:val="single" w:sz="6" w:space="0" w:color="auto"/>
              <w:right w:val="single" w:sz="6" w:space="0" w:color="auto"/>
            </w:tcBorders>
            <w:shd w:val="clear" w:color="auto" w:fill="C6EFCE"/>
            <w:hideMark/>
          </w:tcPr>
          <w:p w14:paraId="6E4C850C" w14:textId="4CF24BF5" w:rsidR="00733DCA" w:rsidRPr="00AD2AC5" w:rsidRDefault="00733DCA" w:rsidP="005F5E52">
            <w:pPr>
              <w:spacing w:after="0" w:line="240" w:lineRule="auto"/>
              <w:jc w:val="center"/>
              <w:rPr>
                <w:rFonts w:eastAsia="Calibri" w:cstheme="minorHAnsi"/>
                <w:noProof/>
                <w:sz w:val="20"/>
                <w:szCs w:val="20"/>
              </w:rPr>
            </w:pPr>
            <w:r>
              <w:rPr>
                <w:noProof/>
                <w:sz w:val="20"/>
              </w:rPr>
              <w:t>Ciljna vrijednost</w:t>
            </w:r>
          </w:p>
        </w:tc>
        <w:tc>
          <w:tcPr>
            <w:tcW w:w="2410" w:type="dxa"/>
            <w:tcBorders>
              <w:top w:val="nil"/>
              <w:left w:val="nil"/>
              <w:bottom w:val="single" w:sz="6" w:space="0" w:color="auto"/>
              <w:right w:val="single" w:sz="6" w:space="0" w:color="auto"/>
            </w:tcBorders>
            <w:shd w:val="clear" w:color="auto" w:fill="C6EFCE"/>
            <w:hideMark/>
          </w:tcPr>
          <w:p w14:paraId="08991829" w14:textId="63E0E1AA" w:rsidR="00733DCA" w:rsidRPr="00AD2AC5" w:rsidRDefault="00733DCA" w:rsidP="0001477B">
            <w:pPr>
              <w:spacing w:after="200" w:line="276" w:lineRule="auto"/>
              <w:rPr>
                <w:rFonts w:eastAsia="Calibri"/>
                <w:noProof/>
                <w:sz w:val="20"/>
                <w:szCs w:val="20"/>
              </w:rPr>
            </w:pPr>
            <w:r>
              <w:rPr>
                <w:noProof/>
                <w:sz w:val="20"/>
              </w:rPr>
              <w:t>Stanovništvo s poboljšanim pristupom vodoopskrbi</w:t>
            </w:r>
          </w:p>
        </w:tc>
        <w:tc>
          <w:tcPr>
            <w:tcW w:w="1981" w:type="dxa"/>
            <w:tcBorders>
              <w:top w:val="nil"/>
              <w:left w:val="nil"/>
              <w:bottom w:val="single" w:sz="6" w:space="0" w:color="auto"/>
              <w:right w:val="single" w:sz="6" w:space="0" w:color="auto"/>
            </w:tcBorders>
            <w:shd w:val="clear" w:color="auto" w:fill="C6EFCE"/>
            <w:hideMark/>
          </w:tcPr>
          <w:p w14:paraId="74409C5B" w14:textId="77777777" w:rsidR="00733DCA" w:rsidRPr="00AD2AC5" w:rsidRDefault="00733DCA" w:rsidP="0001477B">
            <w:pPr>
              <w:spacing w:after="200" w:line="276" w:lineRule="auto"/>
              <w:rPr>
                <w:rFonts w:eastAsia="Calibri" w:cstheme="minorHAnsi"/>
                <w:noProof/>
                <w:sz w:val="20"/>
                <w:szCs w:val="20"/>
              </w:rPr>
            </w:pPr>
            <w:r>
              <w:rPr>
                <w:noProof/>
                <w:sz w:val="20"/>
                <w:shd w:val="clear" w:color="auto" w:fill="E6E6E6"/>
              </w:rPr>
              <w:t xml:space="preserve"> </w:t>
            </w:r>
          </w:p>
        </w:tc>
        <w:tc>
          <w:tcPr>
            <w:tcW w:w="955" w:type="dxa"/>
            <w:tcBorders>
              <w:top w:val="nil"/>
              <w:left w:val="nil"/>
              <w:bottom w:val="single" w:sz="6" w:space="0" w:color="auto"/>
              <w:right w:val="single" w:sz="6" w:space="0" w:color="auto"/>
            </w:tcBorders>
            <w:shd w:val="clear" w:color="auto" w:fill="C6EFCE"/>
            <w:hideMark/>
          </w:tcPr>
          <w:p w14:paraId="6DBB497D"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Broj</w:t>
            </w:r>
          </w:p>
        </w:tc>
        <w:tc>
          <w:tcPr>
            <w:tcW w:w="1123" w:type="dxa"/>
            <w:tcBorders>
              <w:top w:val="nil"/>
              <w:left w:val="nil"/>
              <w:bottom w:val="single" w:sz="6" w:space="0" w:color="auto"/>
              <w:right w:val="single" w:sz="6" w:space="0" w:color="auto"/>
            </w:tcBorders>
            <w:shd w:val="clear" w:color="auto" w:fill="C6EFCE"/>
            <w:hideMark/>
          </w:tcPr>
          <w:p w14:paraId="44FF391F"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45 000</w:t>
            </w:r>
          </w:p>
        </w:tc>
        <w:tc>
          <w:tcPr>
            <w:tcW w:w="981" w:type="dxa"/>
            <w:tcBorders>
              <w:top w:val="nil"/>
              <w:left w:val="nil"/>
              <w:bottom w:val="single" w:sz="6" w:space="0" w:color="auto"/>
              <w:right w:val="single" w:sz="6" w:space="0" w:color="auto"/>
            </w:tcBorders>
            <w:shd w:val="clear" w:color="auto" w:fill="C6EFCE"/>
            <w:hideMark/>
          </w:tcPr>
          <w:p w14:paraId="0E3F25B8"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71 000</w:t>
            </w:r>
          </w:p>
        </w:tc>
        <w:tc>
          <w:tcPr>
            <w:tcW w:w="488" w:type="dxa"/>
            <w:tcBorders>
              <w:top w:val="nil"/>
              <w:left w:val="nil"/>
              <w:bottom w:val="single" w:sz="6" w:space="0" w:color="auto"/>
              <w:right w:val="single" w:sz="6" w:space="0" w:color="auto"/>
            </w:tcBorders>
            <w:shd w:val="clear" w:color="auto" w:fill="C6EFCE"/>
            <w:hideMark/>
          </w:tcPr>
          <w:p w14:paraId="2796B3F3"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2.</w:t>
            </w:r>
          </w:p>
        </w:tc>
        <w:tc>
          <w:tcPr>
            <w:tcW w:w="847" w:type="dxa"/>
            <w:tcBorders>
              <w:top w:val="nil"/>
              <w:left w:val="nil"/>
              <w:bottom w:val="single" w:sz="6" w:space="0" w:color="auto"/>
              <w:right w:val="single" w:sz="6" w:space="0" w:color="auto"/>
            </w:tcBorders>
            <w:shd w:val="clear" w:color="auto" w:fill="C6EFCE"/>
            <w:hideMark/>
          </w:tcPr>
          <w:p w14:paraId="5B823C47" w14:textId="77777777" w:rsidR="00733DCA" w:rsidRPr="00AD2AC5" w:rsidRDefault="00733DCA" w:rsidP="00AD2AC5">
            <w:pPr>
              <w:spacing w:after="0" w:line="240" w:lineRule="auto"/>
              <w:jc w:val="center"/>
              <w:textAlignment w:val="baseline"/>
              <w:rPr>
                <w:rFonts w:eastAsia="Times New Roman" w:cstheme="minorHAnsi"/>
                <w:noProof/>
                <w:sz w:val="20"/>
                <w:szCs w:val="20"/>
              </w:rPr>
            </w:pPr>
            <w:r>
              <w:rPr>
                <w:noProof/>
                <w:sz w:val="20"/>
              </w:rPr>
              <w:t>2026.</w:t>
            </w:r>
          </w:p>
        </w:tc>
        <w:tc>
          <w:tcPr>
            <w:tcW w:w="3119" w:type="dxa"/>
            <w:tcBorders>
              <w:top w:val="nil"/>
              <w:left w:val="nil"/>
              <w:bottom w:val="single" w:sz="6" w:space="0" w:color="auto"/>
              <w:right w:val="single" w:sz="6" w:space="0" w:color="auto"/>
            </w:tcBorders>
            <w:shd w:val="clear" w:color="auto" w:fill="C6EFCE"/>
            <w:hideMark/>
          </w:tcPr>
          <w:p w14:paraId="3782C714" w14:textId="5B871F68" w:rsidR="00733DCA" w:rsidRPr="00AD2AC5" w:rsidRDefault="00733DCA" w:rsidP="0001477B">
            <w:pPr>
              <w:spacing w:after="200" w:line="276" w:lineRule="auto"/>
              <w:rPr>
                <w:rFonts w:eastAsia="Calibri" w:cstheme="minorHAnsi"/>
                <w:noProof/>
                <w:sz w:val="20"/>
                <w:szCs w:val="20"/>
              </w:rPr>
            </w:pPr>
            <w:r>
              <w:rPr>
                <w:noProof/>
                <w:sz w:val="20"/>
              </w:rPr>
              <w:t xml:space="preserve">Najmanje 26 000 stanovnika ima koristi od poboljšanih usluga vodoopskrbe </w:t>
            </w:r>
          </w:p>
        </w:tc>
      </w:tr>
    </w:tbl>
    <w:p w14:paraId="64462121" w14:textId="77777777" w:rsidR="00733DCA" w:rsidRPr="00BC0323" w:rsidRDefault="00733DCA" w:rsidP="0001477B">
      <w:pPr>
        <w:rPr>
          <w:noProof/>
        </w:rPr>
      </w:pPr>
    </w:p>
    <w:p w14:paraId="73CE527A" w14:textId="77777777" w:rsidR="00845775" w:rsidRPr="00BC0323" w:rsidRDefault="00845775" w:rsidP="0001477B">
      <w:pPr>
        <w:keepNext/>
        <w:tabs>
          <w:tab w:val="left" w:pos="850"/>
        </w:tabs>
        <w:spacing w:after="200" w:line="276" w:lineRule="auto"/>
        <w:ind w:left="850" w:hanging="850"/>
        <w:jc w:val="both"/>
        <w:outlineLvl w:val="0"/>
        <w:rPr>
          <w:rFonts w:ascii="Times New Roman" w:eastAsia="Calibri" w:hAnsi="Times New Roman" w:cs="Times New Roman"/>
          <w:b/>
          <w:bCs/>
          <w:smallCaps/>
          <w:noProof/>
          <w:sz w:val="24"/>
          <w:szCs w:val="24"/>
        </w:rPr>
        <w:sectPr w:rsidR="00845775" w:rsidRPr="00BC0323" w:rsidSect="0001477B">
          <w:headerReference w:type="even" r:id="rId72"/>
          <w:headerReference w:type="default" r:id="rId73"/>
          <w:footerReference w:type="even" r:id="rId74"/>
          <w:footerReference w:type="default" r:id="rId75"/>
          <w:headerReference w:type="first" r:id="rId76"/>
          <w:footerReference w:type="first" r:id="rId77"/>
          <w:pgSz w:w="15840" w:h="12240" w:orient="landscape"/>
          <w:pgMar w:top="1440" w:right="1440" w:bottom="1440" w:left="1440" w:header="708" w:footer="708" w:gutter="0"/>
          <w:cols w:space="708"/>
          <w:docGrid w:linePitch="360"/>
        </w:sectPr>
      </w:pPr>
    </w:p>
    <w:p w14:paraId="4741E20D" w14:textId="77777777" w:rsidR="00733DCA" w:rsidRPr="008B6B47" w:rsidRDefault="00733DCA" w:rsidP="0001477B">
      <w:pPr>
        <w:keepNext/>
        <w:tabs>
          <w:tab w:val="left" w:pos="850"/>
        </w:tabs>
        <w:spacing w:after="200" w:line="276" w:lineRule="auto"/>
        <w:ind w:left="850" w:hanging="850"/>
        <w:jc w:val="both"/>
        <w:outlineLvl w:val="0"/>
        <w:rPr>
          <w:rFonts w:ascii="Calibri" w:eastAsia="Calibri" w:hAnsi="Calibri" w:cs="Arial"/>
          <w:noProof/>
        </w:rPr>
      </w:pPr>
      <w:r>
        <w:rPr>
          <w:rFonts w:ascii="Times New Roman" w:hAnsi="Times New Roman"/>
          <w:b/>
          <w:smallCaps/>
          <w:noProof/>
          <w:sz w:val="24"/>
        </w:rPr>
        <w:t>D. KOMPONENTA 1.4.: RAZVOJ KONKURENTNOG, ENERGETSKI ODRŽIVOG I UČINKOVITOG PROMETNOG SUSTAVA</w:t>
      </w:r>
    </w:p>
    <w:p w14:paraId="4589E36A"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Prometni sektor jedan je od najvećih izvora emisija stakleničkih plinova u Hrvatskoj. Emisije iz tog sektora 2018. činile su 27 % ukupnih emisija, od čega: je cestovni prijevoz putnika činio 71,6 %, cestovni prijevoz tereta 24,7 %, željeznički promet 0,8 %, pomorski i riječni promet 2,4 % i domaći zračni promet 0,5 %. Očekuje se da će modernizacija postojeće prometne infrastrukture ulaganjem u ekološki održive, učinkovite, inovativne i konkurentne vrste prometa imati važnu ulogu u djelotvornoj provedbi zelene i digitalne tranzicije.</w:t>
      </w:r>
    </w:p>
    <w:p w14:paraId="55E6396A"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ove komponente NPOO-a razviti ujednačenu prometnu mrežu s razvijenom željezničkom infrastrukturom i infrastrukturom za javni promet i intermodalnošću među raznim vrstama prijevoza, povećati udio osobnih vozila na alternativni pogon, smanjiti emisije stakleničkih plinova i okolišni otisak prometnog sektora te poticati održivu mobilnost ljudi i dobara.</w:t>
      </w:r>
    </w:p>
    <w:p w14:paraId="7C358486"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Komponenta uključuje reforme i ulaganja u sve vrste prometa (željeznički, cestovni, pomorski, zračni i javni gradski promet te promet unutarnjim plovnim putovima) i obuhvaća sve regije Hrvatske.</w:t>
      </w:r>
    </w:p>
    <w:p w14:paraId="2C2A13E6"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Ulaganja i reforme doprinijet će rješavanju preporuke upućene Hrvatskoj „usmjeriti ulaganja u zelenu i digitalnu tranziciju” (3. preporuka za Hrvatsku iz 2020.) i „održiv gradski i željeznički promet” (3. preporuka za Hrvatsku iz 2019.).</w:t>
      </w:r>
    </w:p>
    <w:p w14:paraId="654A24E9"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Očekuje se da nijedna mjera u ovoj komponenti ne nanosi bitnu štetu okolišnim ciljevima u smislu članka 17. Uredbe (EU) 2020/852, uzimajući u obzir opis mjera i korake ublažavanja utvrđene u planu za oporavak i otpornost u skladu s Tehničkim smjernicama za primjenu načela nenanošenja bitne štete (2021/C58/01).</w:t>
      </w:r>
    </w:p>
    <w:p w14:paraId="6876EDFC" w14:textId="77777777" w:rsidR="00733DCA" w:rsidRPr="008B6B47" w:rsidRDefault="00733DCA" w:rsidP="0001477B">
      <w:pPr>
        <w:keepNext/>
        <w:tabs>
          <w:tab w:val="num" w:pos="850"/>
        </w:tabs>
        <w:spacing w:after="200" w:line="240" w:lineRule="auto"/>
        <w:ind w:left="851"/>
        <w:jc w:val="both"/>
        <w:outlineLvl w:val="1"/>
        <w:rPr>
          <w:rFonts w:ascii="Calibri" w:eastAsia="Calibri" w:hAnsi="Calibri" w:cs="Arial"/>
          <w:noProof/>
        </w:rPr>
      </w:pPr>
      <w:r>
        <w:rPr>
          <w:rFonts w:ascii="Times New Roman" w:hAnsi="Times New Roman"/>
          <w:b/>
          <w:noProof/>
          <w:sz w:val="24"/>
          <w:u w:val="single"/>
        </w:rPr>
        <w:t xml:space="preserve">D.1. </w:t>
      </w:r>
      <w:r>
        <w:rPr>
          <w:rFonts w:ascii="Times New Roman" w:hAnsi="Times New Roman"/>
          <w:b/>
          <w:noProof/>
          <w:sz w:val="24"/>
          <w:u w:val="single"/>
        </w:rPr>
        <w:tab/>
        <w:t>Opis reformi i ulaganja za programe bespovratne financijske potpore</w:t>
      </w:r>
    </w:p>
    <w:p w14:paraId="3594D99A"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Reforma C1.4. R1 – Reforma cestovnog sektora</w:t>
      </w:r>
    </w:p>
    <w:p w14:paraId="2A6CC8DB"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reforme smanjenje operativnih troškova poslovanja društava, usklađivanje financijskih obaveza s novčanim tijekovima, povećanje sigurnosti cestovnog prometa, a time i smanjenje stope smrtnosti u cestovnom prometu. Očekuje se da će se uvođenjem novog sustava naplate cestarine smanjiti emisije stakleničkih plinova uklanjanjem uskih grla i opasnih mjesta na cestama. Kao dio reforme ažurirat će se zakon koji se odnosi na cestovni sektor stupanjem na snagu izmjena Zakona o cestama.</w:t>
      </w:r>
    </w:p>
    <w:p w14:paraId="2A624038"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Reforma će biti dovršena do 31. prosinca 2025.</w:t>
      </w:r>
    </w:p>
    <w:p w14:paraId="59111082" w14:textId="77777777" w:rsidR="00733DCA" w:rsidRPr="008B6B47" w:rsidRDefault="00733DCA" w:rsidP="0001477B">
      <w:pPr>
        <w:spacing w:after="200" w:line="276" w:lineRule="auto"/>
        <w:jc w:val="center"/>
        <w:rPr>
          <w:rFonts w:ascii="Calibri" w:eastAsia="Calibri" w:hAnsi="Calibri" w:cs="Arial"/>
          <w:noProof/>
          <w:lang w:val="en-GB"/>
        </w:rPr>
      </w:pPr>
    </w:p>
    <w:p w14:paraId="7EB32A62"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R1-I2 – Unapređenje sustava korištenja prava osoba s invaliditetom u području mobilnosti</w:t>
      </w:r>
    </w:p>
    <w:p w14:paraId="3A6DE5AB"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ulaganja brže i jednostavnije ostvarivanje prava osoba s invaliditetom u području mobilnosti, uvođenje jedinstvenog dokumenta kojim će osobe s invaliditetom ostvarivati sva prava u području mobilnosti te pojednostavnjenje administrativnog okruženja za krajnje korisnike digitalnih javnih usluga u području mobilnosti i povećanje dostupnosti digitalnih javnih usluga osobama s invaliditetom. Ulaganje je namijenjeno i poboljšanju zaštite osobnih podataka korisnika i usklađenju prakse donošenja odluka koje utječu na prava osoba s invaliditetom u području mobilnosti. Očekuje se da će ulaganje državnim ustanovama omogućiti lakše i sveobuhvatnije praćenje ostvarenih prava i osigurati učinkovit javni pristup svim podacima. Očekuje se da će se ulaganjem smanjiti cijena rada zaposlenika u državnim i lokalnim službama za 15 %–35 %.</w:t>
      </w:r>
    </w:p>
    <w:p w14:paraId="25109289"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2023.</w:t>
      </w:r>
    </w:p>
    <w:p w14:paraId="07D25B34"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R1-I3 – Nacionalni sustav elektroničke pohrane i razmjene podataka u cestovnom prijevozu (NSCP)</w:t>
      </w:r>
    </w:p>
    <w:p w14:paraId="2C018DAB" w14:textId="77777777" w:rsidR="00733DCA" w:rsidRPr="008B6B47" w:rsidRDefault="00733DCA" w:rsidP="0001477B">
      <w:pPr>
        <w:spacing w:before="120" w:after="120" w:line="240" w:lineRule="auto"/>
        <w:jc w:val="both"/>
        <w:rPr>
          <w:rFonts w:ascii="Times New Roman" w:eastAsia="Times New Roman" w:hAnsi="Times New Roman" w:cs="Times New Roman"/>
          <w:b/>
          <w:bCs/>
          <w:noProof/>
          <w:sz w:val="24"/>
        </w:rPr>
      </w:pPr>
      <w:r>
        <w:rPr>
          <w:rFonts w:ascii="Times New Roman" w:hAnsi="Times New Roman"/>
          <w:noProof/>
          <w:sz w:val="24"/>
        </w:rPr>
        <w:t xml:space="preserve">Cilj je ulaganja uspostaviti nacionalni sustav elektroničke pohrane i razmjene podataka u cestovnom prijevozu (NSCP) i provesti Uredbu (EU) 2020/1056 o elektroničkim informacijama o prijevozu tereta (eFTI). Očekuje se da će to dovesti do znatnog smanjenja administrativnih troškova, poboljšanja provedbene sposobnosti nadležnih tijela i povećanja učinkovitosti i održivosti prometa. U skladu s odredbama Uredbe o eFTI-ju, NSCP će se na odgovarajući način ažurirati nakon donošenja tehničkih specifikacija za eFTI. Očekuje se da će se ulaganjem doprinijeti učinkovitijem praćenju cestovnog prometa i smanjenju zastoja u prometu te postići pozitivan učinak na okolišne čimbenike. </w:t>
      </w:r>
    </w:p>
    <w:p w14:paraId="52A4A04D"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svibnja 2026.</w:t>
      </w:r>
    </w:p>
    <w:p w14:paraId="10A6993F"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R1-I4 – Izvještajno-upravljački sustav putničkog i teretnog prijevoza u cestovnom prometu</w:t>
      </w:r>
    </w:p>
    <w:p w14:paraId="6251AF3F"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Cilj je ulaganja povećati sigurnost cestovnog prometa uspostavom funkcionalnog izvještajno-upravljačkog sustava putničkog i teretnog prijevoza u cestovnom prometu. Izvještajno-upravljački sustav povezivat će podatke iz Sustava za središnju obradu tahografskih podataka (SOTAH) i nacionalne evidencije tahografskih kartica i povezanih evidencija koje su u nadležnosti Ministarstva mora, prometa i infrastrukture Republike Hrvatske te doprinijeti digitalizaciji hrvatskog prometnog sektora.</w:t>
      </w:r>
    </w:p>
    <w:p w14:paraId="72BCE7EA"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2024.</w:t>
      </w:r>
    </w:p>
    <w:p w14:paraId="5419E8A7"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R1-I5 – Praćenje prijevoza opasnih tvari u cestovnom prometu (e-ADR)</w:t>
      </w:r>
    </w:p>
    <w:p w14:paraId="00FF3732"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ulaganja digitalizirati sustav za prijevoz opasnih tvari u cestovnom prometu (e-ADR) te time omogućiti njegovo poboljšanje i razvoj. Ulaganje uključuje uspostavu IT rješenja za praćenje prijevoza opasnih tvari u stvarnom vremenu, uvođenjem elektroničkog dopuštenja za prijevoz i elektroničkih teretnih listova te primjenu tehnologije za praćenje i lociranje. Ulaganje je u skladu sa svim zahtjevima relevantnog zakonodavstva na nacionalnoj razini i razini EU-a, prvenstveno Uredbom (EU) 2020/1056 o elektroničkim informacijama o prijevozu tereta (eFTI) te povezanim provedbenim i delegiranim aktima te će se njime integrirati pravna, organizacijska i semantička interoperabilnost u nacionalni zakonodavni okvir.</w:t>
      </w:r>
    </w:p>
    <w:p w14:paraId="59F53B8D"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2024.</w:t>
      </w:r>
    </w:p>
    <w:p w14:paraId="2FFA6784"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Reforma C1.4. R2 – Reforma željezničkog sektora</w:t>
      </w:r>
    </w:p>
    <w:p w14:paraId="34620959"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Reformom se nastoji povećati konkurentnost i učinkovitost željezničkog sektora radi pružanja boljih usluga korisnicima u putničkom i teretnom prometu i podizanja gospodarske konkurentnosti Hrvatske. Kako bi poduprla reformu, Vlada Republike Hrvatske će do 30. lipnja 2021. donijeti Pismo sektorske politike za željeznički sektor u kojem će iznijeti daljnje korake u ključnim područjima povezanima s reformom i modernizacijom željezničkog sektora te utvrditi provedbene planove za Vladu i željeznička poduzeća, uključujući detaljne mjere i mjere u pogledu:</w:t>
      </w:r>
    </w:p>
    <w:p w14:paraId="300D5F5E" w14:textId="77777777" w:rsidR="00733DCA" w:rsidRPr="008B6B47" w:rsidRDefault="00733DCA" w:rsidP="0001477B">
      <w:pPr>
        <w:tabs>
          <w:tab w:val="num" w:pos="850"/>
        </w:tabs>
        <w:spacing w:before="120" w:after="120" w:line="240" w:lineRule="auto"/>
        <w:ind w:left="850" w:hanging="850"/>
        <w:jc w:val="both"/>
        <w:rPr>
          <w:rFonts w:ascii="Times New Roman" w:eastAsia="Calibri" w:hAnsi="Times New Roman" w:cs="Times New Roman"/>
          <w:noProof/>
          <w:sz w:val="24"/>
        </w:rPr>
      </w:pPr>
      <w:r>
        <w:rPr>
          <w:rFonts w:ascii="Times New Roman" w:hAnsi="Times New Roman"/>
          <w:noProof/>
          <w:sz w:val="24"/>
        </w:rPr>
        <w:t>upravljanja sektorom,</w:t>
      </w:r>
    </w:p>
    <w:p w14:paraId="0C10704B" w14:textId="77777777" w:rsidR="00733DCA" w:rsidRPr="008B6B47" w:rsidRDefault="00733DCA" w:rsidP="0001477B">
      <w:pPr>
        <w:tabs>
          <w:tab w:val="num" w:pos="850"/>
        </w:tabs>
        <w:spacing w:before="120" w:after="120" w:line="240" w:lineRule="auto"/>
        <w:ind w:left="850" w:hanging="850"/>
        <w:jc w:val="both"/>
        <w:rPr>
          <w:rFonts w:ascii="Times New Roman" w:eastAsia="Calibri" w:hAnsi="Times New Roman" w:cs="Times New Roman"/>
          <w:noProof/>
          <w:sz w:val="24"/>
        </w:rPr>
      </w:pPr>
      <w:r>
        <w:rPr>
          <w:rFonts w:ascii="Times New Roman" w:hAnsi="Times New Roman"/>
          <w:noProof/>
          <w:sz w:val="24"/>
        </w:rPr>
        <w:t>upravljanja željezničkim društvima i poslovanjem,</w:t>
      </w:r>
    </w:p>
    <w:p w14:paraId="6DB0AA3C" w14:textId="77777777" w:rsidR="00733DCA" w:rsidRPr="008B6B47" w:rsidRDefault="00733DCA" w:rsidP="0001477B">
      <w:pPr>
        <w:tabs>
          <w:tab w:val="num" w:pos="850"/>
        </w:tabs>
        <w:spacing w:before="120" w:after="120" w:line="240" w:lineRule="auto"/>
        <w:ind w:left="850" w:hanging="850"/>
        <w:jc w:val="both"/>
        <w:rPr>
          <w:rFonts w:ascii="Times New Roman" w:eastAsia="Calibri" w:hAnsi="Times New Roman" w:cs="Times New Roman"/>
          <w:noProof/>
          <w:sz w:val="24"/>
        </w:rPr>
      </w:pPr>
      <w:r>
        <w:rPr>
          <w:rFonts w:ascii="Times New Roman" w:hAnsi="Times New Roman"/>
          <w:noProof/>
          <w:sz w:val="24"/>
        </w:rPr>
        <w:t>planiranja sektorskih ulaganja i financiranja,</w:t>
      </w:r>
    </w:p>
    <w:p w14:paraId="2D7FBA75" w14:textId="77777777" w:rsidR="00733DCA" w:rsidRPr="008B6B47" w:rsidRDefault="00733DCA" w:rsidP="0001477B">
      <w:pPr>
        <w:tabs>
          <w:tab w:val="num" w:pos="850"/>
        </w:tabs>
        <w:spacing w:before="120" w:after="120" w:line="240" w:lineRule="auto"/>
        <w:ind w:left="850" w:hanging="850"/>
        <w:jc w:val="both"/>
        <w:rPr>
          <w:rFonts w:ascii="Times New Roman" w:eastAsia="Calibri" w:hAnsi="Times New Roman" w:cs="Times New Roman"/>
          <w:noProof/>
          <w:sz w:val="24"/>
        </w:rPr>
      </w:pPr>
      <w:r>
        <w:rPr>
          <w:rFonts w:ascii="Times New Roman" w:hAnsi="Times New Roman"/>
          <w:noProof/>
          <w:sz w:val="24"/>
        </w:rPr>
        <w:t>razvoja znanja, tehnologija i vještina željezničkog sektora.</w:t>
      </w:r>
    </w:p>
    <w:p w14:paraId="1820DB52"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Reforma će biti dovršena do 31. prosinca 2025.</w:t>
      </w:r>
    </w:p>
    <w:p w14:paraId="66B2354C"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R2-I2 – Modernizacija pruge M604 Oštarije-Knin-Split</w:t>
      </w:r>
    </w:p>
    <w:p w14:paraId="5DB37FB8"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Cilj je ulaganja obnova kolodvora i ugradnja elektroničkih signalno-sigurnosnih uređaja na željezničku prugu Oštarije-Knin-Split na dionici Knin (isključeno)-Split (uključeno), čime će se omogućiti uspostava tzv. međukolodvorske ovisnosti i središnje upravljanje prometom, što će pak povećati kapacitet i brzinu prometovanja. Linija je dio sveobuhvatne mreže TEN-T.</w:t>
      </w:r>
    </w:p>
    <w:p w14:paraId="4A37B140"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2025.</w:t>
      </w:r>
    </w:p>
    <w:p w14:paraId="5597C44F"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R2-I3 – Uklanjanje „uskih grla” na željezničkoj infrastrukturi</w:t>
      </w:r>
    </w:p>
    <w:p w14:paraId="3A52DF4B"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je usmjereno na rješavanje uskih grla na željezničkoj mreži Hrvatske. Očekuje se da će se time povećati brzina prometovanja, poboljšati sigurnost željezničkog prometa i unaprijediti željeznička mreža. Mjera se sastoji od izgradnje, rekonstrukcije i obnove mostova, vijadukata, propusta i usjeka na hrvatskoj željezničkoj mreži. Time će se ukloniti uska grla infrastrukture stare od 50 do 77 godina. Veći dio pruga obuhvaćenih ulaganjem dio je mreže TEN-T.</w:t>
      </w:r>
    </w:p>
    <w:p w14:paraId="184D1CDC"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2025.</w:t>
      </w:r>
    </w:p>
    <w:p w14:paraId="6158EAE1"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R2-I4 – Modernizacija dionice Zagreb Kustošija-Zagreb ZK-Zagreb GK</w:t>
      </w:r>
    </w:p>
    <w:p w14:paraId="2B37941A"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Cilj je ulaganja modernizirati dionicu Zagreb Kustošija – Zagreb Zapadni Kolodvor – Zagreb Glavni Kolodvor poboljšanjem kvalitete i dostupnosti lokalnog i regionalnog željezničkog putničkog prijevoza, pospješiti integraciju željeznice u sustav javnog prijevoza Grada Zagreba te poboljšati udio željezničkog i lokalnog javnog prijevoza u ukupnom prijevozu na širem području Grada Zagreba. Projektom će se doprinijeti ostvarivanju cilja dovršetka osnovne TEN-T mreže do 31. prosinca 2030.</w:t>
      </w:r>
    </w:p>
    <w:p w14:paraId="0E398589"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2025.</w:t>
      </w:r>
    </w:p>
    <w:p w14:paraId="4FC49550"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R2-I5 – Zamjena kočnih umetaka teretnih vagona u cilju smanjenja buke</w:t>
      </w:r>
    </w:p>
    <w:p w14:paraId="43A0EEE9"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Cilj je ulaganja poboljšati postojeći vozni park teretnih prijevoznika i vlasnika vagona koji koriste hrvatsku željezničku mrežu kako bi se pružila kvalitetnija usluga krajnjim korisnicima i smanjio utjecaj buke. Očekuje se da će to doprinijeti bržem razvoju željezničkog prijevoza tereta, a neizravno i bržem prelasku s cestovnog na željeznički prijevoz. Ulaganjem se predviđa nabava i instalacija elemenata koji smanjuju buku, kao na primjer suvremenih kompozitnih kočnih umetaka, troškove pripreme za ugradnju, troškove demontiranja uključujući, prema potrebi, troškove demontiranja i administrativne troškove povezane s dotičnom naknadnom ugradnjom.</w:t>
      </w:r>
    </w:p>
    <w:p w14:paraId="0FFA3A1D"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svibnja 2026.</w:t>
      </w:r>
    </w:p>
    <w:p w14:paraId="0D94195E"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R2-I6 – Primjena zelenih tehnologija u željezničkom putničkom prijevozu</w:t>
      </w:r>
    </w:p>
    <w:p w14:paraId="059DF2C9"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Cilj je ulaganja nabava dva prototipa vlakova (baterijski elektromotorni vlak BEMV i baterijski motorni vlak (BMV)), čime se mogu izbjeći skupa ulaganja u elektrifikaciju pruga i održavanje kontaktne mreže. Razvoj prototipova omogućit će organizaciju željezničkog prijevoza putnika na neelektrificiranim prugama koje koriste suvremene vlakove na električni pogon, smanjenje troškova energije dizela, smanjenje buke i onečišćenja, zaštitu okoliša, smanjenje operativnih troškova vozila te poboljšanje urbane i regionalne dostupnosti.</w:t>
      </w:r>
    </w:p>
    <w:p w14:paraId="1777AF03"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 xml:space="preserve">Ulaganje uključuje razvoj, proizvodnju, tipsko ispitivanje i dobivanje dozvole za prometovanje navedenih prototipova BEMV i BMV te šest stabilnih punionica baterija na utvrđenim postajama, koje su sastavni dio ulaganja. Očekuje se da će se uvođenjem novih baterijskih vlakova za prijevoz putnika na neelektrificiranim prugama potencijalno postupno zamijeniti 60 dizel motornih vlakova koji su stariji od 40 godina, što će doprinijeti smanjenju štetnih emisija. </w:t>
      </w:r>
    </w:p>
    <w:p w14:paraId="6581BD16" w14:textId="2D169FF5"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2025.</w:t>
      </w:r>
    </w:p>
    <w:p w14:paraId="3D3FDB45" w14:textId="12E534F2"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R2-I7 – Modernizacija informatičkog i prodajnog sustava</w:t>
      </w:r>
    </w:p>
    <w:p w14:paraId="55CBBD95" w14:textId="03581FE4" w:rsidR="00733DCA" w:rsidRPr="00CC65F4" w:rsidRDefault="00733DCA" w:rsidP="0001477B">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rPr>
        <w:t>Cilj je ulaganja povećati kvalitetu željezničke usluge uvođenjem WiFi-ja u vlakovima, nadogradnjom voznog parka HŽPP-a ugradnjom GPS sustava, usklađenjem s informacijskom i kibernetičkom sigurnosti, nadogradnjom podatkovnog centra sustava prodaje i uvođenjem novog sustava prodaje karata.</w:t>
      </w:r>
    </w:p>
    <w:p w14:paraId="0434DCF7" w14:textId="7C2D513F"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30. lipnja 2026.</w:t>
      </w:r>
    </w:p>
    <w:p w14:paraId="7B0DAF6B"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Reforma C1.4. R3 –Reforma pomorstva i unutarnje plovidbe</w:t>
      </w:r>
    </w:p>
    <w:p w14:paraId="570F84D8"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Cilj je reforme potaknuti razvoj održivog i učinkovitog pomorskog prometa i prometa unutarnjim plovnim putovima te time povećati sigurnost plovidbe, osigurati revitalizaciju unutarnjih plovnih putova, poboljšati prometnu povezanost otoka i unaprijediti lučku infrastrukturu u svrhu smanjenja negativnog utjecaja prometnog sektora na okoliš. U okviru reforme stupit će na snagu novi Zakon prijevozu u linijskom i povremenom obalnom prometu, novi Zakon o pomorskom dobru i morskim lukama te novi Zakon o plovidbi lukama unutarnjih voda.</w:t>
      </w:r>
    </w:p>
    <w:p w14:paraId="09683EBE"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Reforma će biti dovršena do 31. prosinca 2022.</w:t>
      </w:r>
    </w:p>
    <w:p w14:paraId="7F3BC48E"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R3-I1 – Program modernizacije luka otvorenih za javni promet</w:t>
      </w:r>
    </w:p>
    <w:p w14:paraId="32F06B01"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Cilj je ulaganja modernizacija lučke infrastrukture koja će povećati kvalitetu javnog pomorskog prijevoza, kapacitete za prihvat brodova u obalnom linijskom pomorskom prometu, osnažiti sigurnost putnika, utjecati na povećanje mobilnost, poboljšati opću kvalitetu života te osigurati održivu mobilnost. Ulaganje će se provesti u skladu s nacionalnim planovima koje je izradilo Ministarstvom mora, prometa i infrastrukture za razvoj i modernizaciju županijskih i držanih luka i planom obalnog linijskog prometa putnika. Ulaganjem su predviđeni sljedeći projekti: novi putnički terminal gradske luke Split i nadogradnja luke Bol-Brač.</w:t>
      </w:r>
    </w:p>
    <w:p w14:paraId="4C45E319"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2025.</w:t>
      </w:r>
    </w:p>
    <w:p w14:paraId="302618D7"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R3-I2 – Nabava/gradnja putničkih brodova za obalni linijski promet</w:t>
      </w:r>
    </w:p>
    <w:p w14:paraId="4093B304"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ulaganja nabava ili izgradnja putničkih brodova na alternativni pogon s ciljem osiguravanja kvalitete i održivog prijevoza, poboljšanja dostupnosti naseljenih otoka te osiguravanja smanjenja negativnog utjecaja na okoliš. Ulaganje uključuje nabavu šest brodova na alternativni pogon s nultom stopom emisija: tri putnička i tri katamarana na električno-solarni pogon.</w:t>
      </w:r>
    </w:p>
    <w:p w14:paraId="7D478228"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30. lipnja 2026.</w:t>
      </w:r>
    </w:p>
    <w:p w14:paraId="3B593357"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R3-I3 – Izgradnja nove skele „Križnica”, Općina Pitomača</w:t>
      </w:r>
    </w:p>
    <w:p w14:paraId="68135F5A"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Cilj je ulaganja izgraditi novu skelu „Križnica” preko rijeke Drave u Općini Pitomača kako bi se osigurala prometna povezanost i potaknuo razvoj slabije razvijenih regija. Ulaganje uključuje novu električnu skelu na solarni pogon, čime će se povećati kapacitet prijevoza i doprinijeti ozelenjivanju prijevoznog sektora.</w:t>
      </w:r>
    </w:p>
    <w:p w14:paraId="4A3DFC3A"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30. listopada 2022.</w:t>
      </w:r>
    </w:p>
    <w:p w14:paraId="47021290"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 xml:space="preserve">Ulaganje C1.4. R3-I4 – Opremanje luka i pristaništa infrastrukturom za zbrinjavanje otpada </w:t>
      </w:r>
    </w:p>
    <w:p w14:paraId="358F01D1"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Ciljevi su ulaganja povećati konkurentnost luka na unutarnjim vodama, uspostava „zelenih luka“ i ostvariti ekološku održivost prometnog sustava u Hrvatskoj opremanjem unutarnjih luka od međunarodnog značaja uređajima za preradu otpada prikupljenog na brodovima. Ulaganje uključuje izgradnju prihvatnih postaja za otpad u lukama u Slavonskom Brodu, Osijeku i Vukovaru za gospodarenje komercijalnim otpadom.</w:t>
      </w:r>
    </w:p>
    <w:p w14:paraId="4A459128"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30. lipnja 2026.</w:t>
      </w:r>
    </w:p>
    <w:p w14:paraId="69DE8A63"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R4-I1 – Nabava vozila na alternativni pogon za javni gradski i prigradski linijski promet</w:t>
      </w:r>
    </w:p>
    <w:p w14:paraId="196FF685" w14:textId="07266B49"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ulaganja modernizacija javnog gradskog i prigradskog linijskog prijevoza putnika nabavom 70 novih vozila (električni pogon i pogon na vodik) radi promicanja korištenja vozila s nultom ili niskom razinom emisija. Ulaganje uključuje nabavu vozila za gradski i prigradski linijski prijevoz putnika i doprinos ekološki prihvatljivijem voznom parku (autobusi) i povezanoj infrastrukturi.</w:t>
      </w:r>
    </w:p>
    <w:p w14:paraId="77511E23" w14:textId="65B96AC5"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30. lipnja 2026.</w:t>
      </w:r>
    </w:p>
    <w:p w14:paraId="7DFE0C0A"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R4-I2 – Modernizacija tramvajskog prometa</w:t>
      </w:r>
    </w:p>
    <w:p w14:paraId="1620C80F"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ulaganja modernizirati tramvajski vozni park u Osijeku i Zagrebu, kako bi se pružila kvalitetnija i brža usluga javnog gradskog prijevoza te povećao broj putnika koji koriste javni gradski prijevoz, što će u konačnici dovesti do smanjenja emisija CO</w:t>
      </w:r>
      <w:r>
        <w:rPr>
          <w:rFonts w:ascii="Times New Roman" w:hAnsi="Times New Roman"/>
          <w:noProof/>
          <w:sz w:val="24"/>
          <w:vertAlign w:val="superscript"/>
        </w:rPr>
        <w:t>2</w:t>
      </w:r>
      <w:r>
        <w:rPr>
          <w:rFonts w:ascii="Times New Roman" w:hAnsi="Times New Roman"/>
          <w:noProof/>
          <w:sz w:val="24"/>
        </w:rPr>
        <w:t xml:space="preserve"> iz prometnog sektora. Ulaganje uključuje modernizaciju tramvajskog prometa kroz nabavu minimalno 30 suvremenih niskopodnih ili poluniskopodnih tramvaja do 27 m u Zagrebu i Osijeku.</w:t>
      </w:r>
    </w:p>
    <w:p w14:paraId="02A794A3"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2025.</w:t>
      </w:r>
    </w:p>
    <w:p w14:paraId="71FDD2A1"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R5-I1 – Elektrifikacija i ozelenjivanje sustava za prihvat i otpremu te električno napajanje zrakoplova u Zračnoj luci Zadar</w:t>
      </w:r>
    </w:p>
    <w:p w14:paraId="31866B25"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Cilj je ulaganja osigurati ekološki prihvatljiv sustav za prihvat i otpremu te električno napajanje zrakoplova i promicati korištenje energije iz obnovljivih izvora. Ulaganje uključuje sljedeće aktivnosti: </w:t>
      </w:r>
    </w:p>
    <w:p w14:paraId="0CC93034" w14:textId="77777777" w:rsidR="00733DCA" w:rsidRPr="008B6B47" w:rsidRDefault="00733DCA" w:rsidP="0001477B">
      <w:pPr>
        <w:tabs>
          <w:tab w:val="num"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uvođenje fiksnih veza za napajanje stacionarnih zrakoplova električnom energijom s potrebnim projektnim i sigurnosnim prilagodbama (bez povećanja kapaciteta stajanke),</w:t>
      </w:r>
    </w:p>
    <w:p w14:paraId="1D4AF27D" w14:textId="77777777" w:rsidR="00733DCA" w:rsidRPr="008B6B47" w:rsidRDefault="00733DCA" w:rsidP="0001477B">
      <w:pPr>
        <w:tabs>
          <w:tab w:val="num"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zamjenu pokretne zemaljske opreme na dizelsko gorivo jedinicama na električni pogon,</w:t>
      </w:r>
    </w:p>
    <w:p w14:paraId="5F4576B5" w14:textId="77777777" w:rsidR="00733DCA" w:rsidRPr="008B6B47" w:rsidRDefault="00733DCA" w:rsidP="0001477B">
      <w:pPr>
        <w:tabs>
          <w:tab w:val="num" w:pos="1417"/>
        </w:tabs>
        <w:spacing w:before="120" w:after="120" w:line="240" w:lineRule="auto"/>
        <w:ind w:left="1417" w:hanging="567"/>
        <w:jc w:val="both"/>
        <w:rPr>
          <w:rFonts w:ascii="Times New Roman" w:eastAsia="Calibri" w:hAnsi="Times New Roman" w:cs="Times New Roman"/>
          <w:noProof/>
          <w:sz w:val="24"/>
        </w:rPr>
      </w:pPr>
      <w:r>
        <w:rPr>
          <w:rFonts w:ascii="Times New Roman" w:hAnsi="Times New Roman"/>
          <w:noProof/>
          <w:sz w:val="24"/>
        </w:rPr>
        <w:t>izgradnju fotonaponske elektrane kapaciteta 610 kW i njezino povezivanje s fiksnim sustavom napajanja i punionicama za pokretnu zemaljsku opremu na električni pogon.</w:t>
      </w:r>
    </w:p>
    <w:p w14:paraId="06E7DAAB"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Očekuje se da će ulaganje doprinijeti smanjenju stakleničkih plinova, onečišćenja i buke te povećanju sigurnosti i učinkovitosti prometovanja.</w:t>
      </w:r>
    </w:p>
    <w:p w14:paraId="07BC8E98" w14:textId="3B26A9E8"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31. prosinca 2025.</w:t>
      </w:r>
    </w:p>
    <w:p w14:paraId="67B700BC" w14:textId="77777777" w:rsidR="00733DCA" w:rsidRPr="008B6B47" w:rsidRDefault="00733DCA" w:rsidP="0001477B">
      <w:pPr>
        <w:keepNext/>
        <w:tabs>
          <w:tab w:val="num" w:pos="850"/>
        </w:tabs>
        <w:spacing w:after="200" w:line="276" w:lineRule="auto"/>
        <w:ind w:left="851"/>
        <w:jc w:val="both"/>
        <w:outlineLvl w:val="2"/>
        <w:rPr>
          <w:rFonts w:ascii="Calibri" w:eastAsia="Calibri" w:hAnsi="Calibri" w:cs="Arial"/>
          <w:noProof/>
        </w:rPr>
      </w:pPr>
      <w:r>
        <w:rPr>
          <w:rFonts w:ascii="Times New Roman" w:hAnsi="Times New Roman"/>
          <w:noProof/>
          <w:sz w:val="24"/>
          <w:u w:val="single"/>
        </w:rPr>
        <w:t>Ulaganje C1.4. R5-I2 – Istraživanje, razvoj i proizvodnja vozila nove mobilnosti i prateće infrastrukture</w:t>
      </w:r>
    </w:p>
    <w:p w14:paraId="72A409E1"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Cilj je ulaganja razviti i provesti projekt novog ekosustava urbane mobilnosti. Ulaganje će omogućiti potporu dijelu projekta koji se odnosi na istraživanje i razvoj, to jest faze obilježene dovršetkom početnog prototipa potpuno autonomnog električnog vozila i početkom rada na razvoju verifikacijskih prototipova. Novi ekosustav urbane mobilnosti obuhvaća tri ključne komponente: i. potpuno autonomna električna vozila koja su, uz pomoć umjetne inteligencije, sposobna izvršavati sve dinamičke funkcije vožnje bez ikakve asistencije vozača-osobe, ii. razvoj i izgradnju specijalizirane infrastrukture za autonomna i električna vozila ugrađene u javni gradski promet i iii. razvoj softverske platforme za upravljanje kompletnim sustavom. </w:t>
      </w:r>
    </w:p>
    <w:p w14:paraId="1A1BF7EC"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Očekuje se da će se provedbom projekta u Gradu Zagrebu postići znatno povećanje sigurnosti u prometu uz povećanje učinkovitosti i smanjenje zastoja u prometu. Očekuje se i da će projekt postići značajan pozitivan utjecaj na okoliš zbog smanjenja ukupnih emisija štetnih plinova uzrokovanih prometom motornih vozila zahvaljujući istraživačkim i inovacijskim procesima, prijenosu tehnologije i suradnji među društvima usmjerenima na niskougljično gospodarstvo. Projekt će uključivati stvaranje digitaliziranog sustava autonomnih vozila s nultom stopom emisija i digitalizirane infrastrukture punjenja. U dogovoru s Gradom Zagrebom i operaterom javnog prijevoza 50 000 vaučera za putovanja potpuno autonomnim vozilima izdat će se osobama s invaliditetom i/ili osobama koje nailaze na poteškoće u korištenju drugih oblika javnog prijevoza.</w:t>
      </w:r>
    </w:p>
    <w:p w14:paraId="3E02E3E3" w14:textId="77777777" w:rsidR="00733DCA" w:rsidRPr="008B6B47" w:rsidRDefault="00733DCA" w:rsidP="0001477B">
      <w:pPr>
        <w:spacing w:after="200" w:line="276" w:lineRule="auto"/>
        <w:jc w:val="both"/>
        <w:rPr>
          <w:rFonts w:ascii="Calibri" w:eastAsia="Calibri" w:hAnsi="Calibri" w:cs="Arial"/>
          <w:noProof/>
        </w:rPr>
      </w:pPr>
      <w:r>
        <w:rPr>
          <w:rFonts w:ascii="Times New Roman" w:hAnsi="Times New Roman"/>
          <w:noProof/>
          <w:sz w:val="24"/>
        </w:rPr>
        <w:t>Ulaganje će biti dovršeno do 31. ožujka 2026.</w:t>
      </w:r>
    </w:p>
    <w:p w14:paraId="0FED5C6D" w14:textId="77777777" w:rsidR="00733DCA" w:rsidRPr="008B6B47" w:rsidRDefault="00733DCA" w:rsidP="0001477B">
      <w:pPr>
        <w:keepNext/>
        <w:tabs>
          <w:tab w:val="num" w:pos="850"/>
        </w:tabs>
        <w:spacing w:after="200" w:line="276" w:lineRule="auto"/>
        <w:ind w:left="851"/>
        <w:jc w:val="both"/>
        <w:outlineLvl w:val="2"/>
        <w:rPr>
          <w:rFonts w:ascii="Calibri" w:eastAsia="Calibri" w:hAnsi="Calibri" w:cs="Arial"/>
          <w:noProof/>
        </w:rPr>
      </w:pPr>
      <w:r>
        <w:rPr>
          <w:rFonts w:ascii="Times New Roman" w:hAnsi="Times New Roman"/>
          <w:noProof/>
          <w:sz w:val="24"/>
          <w:u w:val="single"/>
        </w:rPr>
        <w:t>Ulaganje C1.4. R5-I3 – Program sufinanciranja kupnje novih vozila na alternativni pogon i razvoja infrastrukture alternativnih goriva u cestovnom prometu</w:t>
      </w:r>
    </w:p>
    <w:p w14:paraId="1FFF76B9" w14:textId="34B6B486"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ulaganja povećati energetsku učinkovitost cestovnog prijevoza smanjenjem ovisnosti o fosilnim gorivima. Aktivnosti u okviru ulaganja bit će usmjerene na povećanje broja vozila na alternativni pogon (električna energija ili vodik) registriranih u Hrvatskoj. Te aktivnosti doprinijet će smanjenju ukupnih emisija CO2 i drugih štetnih plinova. Mjera se sastoji od sufinanciranja kupnje barem 2000 novih vozila na alternativni pogon.</w:t>
      </w:r>
    </w:p>
    <w:p w14:paraId="267A68BB" w14:textId="77777777" w:rsidR="00733DCA" w:rsidRPr="008B6B47" w:rsidRDefault="00733DCA" w:rsidP="0001477B">
      <w:pPr>
        <w:spacing w:after="200" w:line="276" w:lineRule="auto"/>
        <w:jc w:val="both"/>
        <w:rPr>
          <w:rFonts w:ascii="Calibri" w:eastAsia="Calibri" w:hAnsi="Calibri" w:cs="Arial"/>
          <w:noProof/>
        </w:rPr>
      </w:pPr>
      <w:r>
        <w:rPr>
          <w:rFonts w:ascii="Times New Roman" w:hAnsi="Times New Roman"/>
          <w:noProof/>
          <w:sz w:val="24"/>
        </w:rPr>
        <w:t>Ulaganje će biti dovršeno do 30. lipnja 2026.</w:t>
      </w:r>
    </w:p>
    <w:p w14:paraId="41109963" w14:textId="77777777" w:rsidR="00733DCA" w:rsidRPr="008B6B47"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rPr>
        <w:t xml:space="preserve"> </w:t>
      </w:r>
    </w:p>
    <w:p w14:paraId="34D9416F" w14:textId="77777777" w:rsidR="00733DCA" w:rsidRDefault="00733DCA">
      <w:pPr>
        <w:rPr>
          <w:noProof/>
          <w:lang w:val="en-GB"/>
        </w:rPr>
        <w:sectPr w:rsidR="00733DCA" w:rsidSect="00042078">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08" w:footer="708" w:gutter="0"/>
          <w:cols w:space="708"/>
          <w:docGrid w:linePitch="360"/>
        </w:sectPr>
      </w:pPr>
    </w:p>
    <w:p w14:paraId="0DB00A55" w14:textId="77777777" w:rsidR="00733DCA" w:rsidRPr="008B6B47"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D.2. </w:t>
      </w:r>
      <w:r>
        <w:rPr>
          <w:rFonts w:ascii="Times New Roman" w:hAnsi="Times New Roman"/>
          <w:b/>
          <w:noProof/>
          <w:sz w:val="24"/>
          <w:u w:val="single"/>
        </w:rPr>
        <w:tab/>
        <w:t>Ključne etape, ciljne vrijednosti, pokazatelji i vremenski raspored za praćenje i provedbu programa bespovratne financijske potpore</w:t>
      </w:r>
    </w:p>
    <w:tbl>
      <w:tblPr>
        <w:tblW w:w="15055" w:type="dxa"/>
        <w:jc w:val="center"/>
        <w:tblCellMar>
          <w:top w:w="28" w:type="dxa"/>
          <w:left w:w="28" w:type="dxa"/>
          <w:bottom w:w="28" w:type="dxa"/>
          <w:right w:w="28" w:type="dxa"/>
        </w:tblCellMar>
        <w:tblLook w:val="04A0" w:firstRow="1" w:lastRow="0" w:firstColumn="1" w:lastColumn="0" w:noHBand="0" w:noVBand="1"/>
      </w:tblPr>
      <w:tblGrid>
        <w:gridCol w:w="764"/>
        <w:gridCol w:w="993"/>
        <w:gridCol w:w="871"/>
        <w:gridCol w:w="2268"/>
        <w:gridCol w:w="1931"/>
        <w:gridCol w:w="1168"/>
        <w:gridCol w:w="836"/>
        <w:gridCol w:w="1178"/>
        <w:gridCol w:w="425"/>
        <w:gridCol w:w="709"/>
        <w:gridCol w:w="3942"/>
      </w:tblGrid>
      <w:tr w:rsidR="000E63A9" w:rsidRPr="008B6B47" w14:paraId="7E5F27CA" w14:textId="77777777" w:rsidTr="00274621">
        <w:trPr>
          <w:tblHeader/>
          <w:jc w:val="center"/>
        </w:trPr>
        <w:tc>
          <w:tcPr>
            <w:tcW w:w="76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890B8A"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8C6A7F"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DE8146"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122CED"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52596A"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Calibri" w:hAnsi="Calibri"/>
                <w:noProof/>
              </w:rPr>
              <w:br/>
            </w:r>
            <w:r>
              <w:rPr>
                <w:rFonts w:ascii="Times New Roman" w:hAnsi="Times New Roman"/>
                <w:b/>
                <w:noProof/>
                <w:sz w:val="18"/>
              </w:rPr>
              <w:t>(za ključne etape)</w:t>
            </w:r>
          </w:p>
        </w:tc>
        <w:tc>
          <w:tcPr>
            <w:tcW w:w="3172"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F3CFEC3"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Calibri" w:hAnsi="Calibri"/>
                <w:noProof/>
              </w:rPr>
              <w:br/>
            </w:r>
            <w:r>
              <w:rPr>
                <w:rFonts w:ascii="Times New Roman" w:hAnsi="Times New Roman"/>
                <w:b/>
                <w:noProof/>
                <w:sz w:val="18"/>
              </w:rPr>
              <w:t>(za ciljne vrijednosti)</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12067514"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1CC64C05"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0E63A9" w:rsidRPr="008B6B47" w14:paraId="02158FDD" w14:textId="77777777" w:rsidTr="003752C8">
        <w:trPr>
          <w:tblHeader/>
          <w:jc w:val="center"/>
        </w:trPr>
        <w:tc>
          <w:tcPr>
            <w:tcW w:w="764" w:type="dxa"/>
            <w:vMerge/>
            <w:tcBorders>
              <w:top w:val="single" w:sz="4" w:space="0" w:color="auto"/>
              <w:left w:val="single" w:sz="4" w:space="0" w:color="auto"/>
              <w:bottom w:val="single" w:sz="4" w:space="0" w:color="auto"/>
              <w:right w:val="single" w:sz="4" w:space="0" w:color="auto"/>
            </w:tcBorders>
            <w:hideMark/>
          </w:tcPr>
          <w:p w14:paraId="238677A1"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78A83014"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51" w:type="dxa"/>
            <w:vMerge/>
            <w:tcBorders>
              <w:top w:val="single" w:sz="4" w:space="0" w:color="auto"/>
              <w:left w:val="single" w:sz="4" w:space="0" w:color="auto"/>
              <w:bottom w:val="single" w:sz="4" w:space="0" w:color="auto"/>
              <w:right w:val="single" w:sz="4" w:space="0" w:color="auto"/>
            </w:tcBorders>
            <w:hideMark/>
          </w:tcPr>
          <w:p w14:paraId="6749723D"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268" w:type="dxa"/>
            <w:vMerge/>
            <w:tcBorders>
              <w:top w:val="single" w:sz="4" w:space="0" w:color="auto"/>
              <w:left w:val="single" w:sz="4" w:space="0" w:color="auto"/>
              <w:bottom w:val="single" w:sz="4" w:space="0" w:color="auto"/>
              <w:right w:val="single" w:sz="4" w:space="0" w:color="auto"/>
            </w:tcBorders>
            <w:hideMark/>
          </w:tcPr>
          <w:p w14:paraId="07B07B7C"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931" w:type="dxa"/>
            <w:vMerge/>
            <w:tcBorders>
              <w:top w:val="single" w:sz="4" w:space="0" w:color="auto"/>
              <w:left w:val="single" w:sz="4" w:space="0" w:color="auto"/>
              <w:bottom w:val="single" w:sz="4" w:space="0" w:color="auto"/>
              <w:right w:val="single" w:sz="4" w:space="0" w:color="auto"/>
            </w:tcBorders>
            <w:hideMark/>
          </w:tcPr>
          <w:p w14:paraId="187DF80D"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hideMark/>
          </w:tcPr>
          <w:p w14:paraId="33A1C073"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hideMark/>
          </w:tcPr>
          <w:p w14:paraId="5F60B851"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1178" w:type="dxa"/>
            <w:tcBorders>
              <w:top w:val="nil"/>
              <w:left w:val="nil"/>
              <w:bottom w:val="single" w:sz="4" w:space="0" w:color="auto"/>
              <w:right w:val="single" w:sz="4" w:space="0" w:color="auto"/>
            </w:tcBorders>
            <w:shd w:val="clear" w:color="auto" w:fill="BDD7EE"/>
            <w:hideMark/>
          </w:tcPr>
          <w:p w14:paraId="1C8BF2A4"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hideMark/>
          </w:tcPr>
          <w:p w14:paraId="3FE830AE"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nil"/>
              <w:left w:val="nil"/>
              <w:bottom w:val="single" w:sz="4" w:space="0" w:color="auto"/>
              <w:right w:val="single" w:sz="4" w:space="0" w:color="auto"/>
            </w:tcBorders>
            <w:shd w:val="clear" w:color="auto" w:fill="BDD7EE"/>
            <w:hideMark/>
          </w:tcPr>
          <w:p w14:paraId="49A05867"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942" w:type="dxa"/>
            <w:vMerge/>
            <w:tcBorders>
              <w:top w:val="single" w:sz="4" w:space="0" w:color="auto"/>
              <w:bottom w:val="single" w:sz="4" w:space="0" w:color="auto"/>
              <w:right w:val="single" w:sz="4" w:space="0" w:color="auto"/>
            </w:tcBorders>
            <w:hideMark/>
          </w:tcPr>
          <w:p w14:paraId="276C556A" w14:textId="77777777" w:rsidR="00733DCA" w:rsidRPr="008B6B47" w:rsidRDefault="00733DCA" w:rsidP="0001477B">
            <w:pPr>
              <w:spacing w:after="0" w:line="276" w:lineRule="auto"/>
              <w:rPr>
                <w:rFonts w:ascii="Times New Roman" w:eastAsia="Times New Roman" w:hAnsi="Times New Roman" w:cs="Times New Roman"/>
                <w:b/>
                <w:noProof/>
                <w:lang w:val="en-IE" w:eastAsia="en-GB"/>
              </w:rPr>
            </w:pPr>
          </w:p>
        </w:tc>
      </w:tr>
      <w:tr w:rsidR="00F04409" w:rsidRPr="008B6B47" w14:paraId="1D6B8767" w14:textId="77777777" w:rsidTr="003752C8">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103CC849" w14:textId="77777777" w:rsidR="00733DCA" w:rsidRPr="008B6B4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91</w:t>
            </w:r>
          </w:p>
        </w:tc>
        <w:tc>
          <w:tcPr>
            <w:tcW w:w="993" w:type="dxa"/>
            <w:tcBorders>
              <w:top w:val="single" w:sz="4" w:space="0" w:color="auto"/>
              <w:left w:val="nil"/>
              <w:bottom w:val="single" w:sz="4" w:space="0" w:color="auto"/>
              <w:right w:val="single" w:sz="4" w:space="0" w:color="auto"/>
            </w:tcBorders>
            <w:shd w:val="clear" w:color="auto" w:fill="C6EFCE"/>
            <w:noWrap/>
          </w:tcPr>
          <w:p w14:paraId="06DC587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R1</w:t>
            </w:r>
          </w:p>
        </w:tc>
        <w:tc>
          <w:tcPr>
            <w:tcW w:w="851" w:type="dxa"/>
            <w:tcBorders>
              <w:top w:val="single" w:sz="4" w:space="0" w:color="auto"/>
              <w:left w:val="nil"/>
              <w:bottom w:val="single" w:sz="4" w:space="0" w:color="auto"/>
              <w:right w:val="single" w:sz="4" w:space="0" w:color="auto"/>
            </w:tcBorders>
            <w:shd w:val="clear" w:color="auto" w:fill="C6EFCE"/>
            <w:noWrap/>
          </w:tcPr>
          <w:p w14:paraId="4E3988D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10439D3D"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Izmjene Zakona o cestama </w:t>
            </w:r>
          </w:p>
        </w:tc>
        <w:tc>
          <w:tcPr>
            <w:tcW w:w="1931" w:type="dxa"/>
            <w:tcBorders>
              <w:top w:val="single" w:sz="4" w:space="0" w:color="auto"/>
              <w:left w:val="nil"/>
              <w:bottom w:val="single" w:sz="4" w:space="0" w:color="auto"/>
              <w:right w:val="single" w:sz="4" w:space="0" w:color="auto"/>
            </w:tcBorders>
            <w:shd w:val="clear" w:color="auto" w:fill="C6EFCE"/>
            <w:noWrap/>
          </w:tcPr>
          <w:p w14:paraId="0CF3EDAD"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izmjena Zakona o cestama </w:t>
            </w:r>
          </w:p>
        </w:tc>
        <w:tc>
          <w:tcPr>
            <w:tcW w:w="1168" w:type="dxa"/>
            <w:tcBorders>
              <w:top w:val="single" w:sz="4" w:space="0" w:color="auto"/>
              <w:left w:val="nil"/>
              <w:bottom w:val="single" w:sz="4" w:space="0" w:color="auto"/>
              <w:right w:val="single" w:sz="4" w:space="0" w:color="auto"/>
            </w:tcBorders>
            <w:shd w:val="clear" w:color="auto" w:fill="C6EFCE"/>
            <w:noWrap/>
          </w:tcPr>
          <w:p w14:paraId="04F1C86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4AA13CD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26A77A1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0202AAF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9" w:type="dxa"/>
            <w:tcBorders>
              <w:top w:val="single" w:sz="4" w:space="0" w:color="auto"/>
              <w:left w:val="nil"/>
              <w:bottom w:val="single" w:sz="4" w:space="0" w:color="auto"/>
              <w:right w:val="single" w:sz="4" w:space="0" w:color="auto"/>
            </w:tcBorders>
            <w:shd w:val="clear" w:color="auto" w:fill="C6EFCE"/>
            <w:noWrap/>
          </w:tcPr>
          <w:p w14:paraId="3B6619A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942" w:type="dxa"/>
            <w:tcBorders>
              <w:top w:val="single" w:sz="4" w:space="0" w:color="auto"/>
              <w:left w:val="nil"/>
              <w:bottom w:val="single" w:sz="4" w:space="0" w:color="auto"/>
              <w:right w:val="single" w:sz="4" w:space="0" w:color="auto"/>
            </w:tcBorders>
            <w:shd w:val="clear" w:color="auto" w:fill="C6EFCE"/>
            <w:noWrap/>
          </w:tcPr>
          <w:p w14:paraId="56F2030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Izmjenama Zakona o cestama među ostalim će se:</w:t>
            </w:r>
            <w:r>
              <w:rPr>
                <w:rFonts w:ascii="Calibri" w:hAnsi="Calibri"/>
                <w:noProof/>
                <w:color w:val="000000"/>
                <w:sz w:val="20"/>
              </w:rPr>
              <w:br/>
              <w:t>– osigurati interoperabilnost elektroničkih sustava za naplatu cestarine na cijeloj cestovnoj mreži Unije, gradskim i međugradskim autocestama, glavnim i sporednim cestama te različitim strukturama, kao što su tuneli ili mostovi, i trajektima;</w:t>
            </w:r>
            <w:r>
              <w:rPr>
                <w:rFonts w:ascii="Calibri" w:hAnsi="Calibri"/>
                <w:noProof/>
                <w:color w:val="000000"/>
                <w:sz w:val="20"/>
              </w:rPr>
              <w:br/>
              <w:t>– olakšati prekograničnu razmjenu podataka iz registra vozila u vezi s vozilima i vlasnicima ili korisnicima vozila za koje je utvrđeno neplaćanje bilo koje vrste cestarina u Uniji.,</w:t>
            </w:r>
            <w:r>
              <w:rPr>
                <w:rFonts w:ascii="Calibri" w:hAnsi="Calibri"/>
                <w:noProof/>
                <w:color w:val="000000"/>
                <w:sz w:val="20"/>
              </w:rPr>
              <w:br/>
              <w:t>– uvrstiti odredbe kojima se potiče proširenje biciklističke i pješačke infrastrukture,</w:t>
            </w:r>
            <w:r>
              <w:rPr>
                <w:rFonts w:ascii="Calibri" w:hAnsi="Calibri"/>
                <w:noProof/>
                <w:color w:val="000000"/>
                <w:sz w:val="20"/>
              </w:rPr>
              <w:br/>
              <w:t>– utvrditi kriterije i uvjete za pokrivanje troškova naplate cestarine,</w:t>
            </w:r>
            <w:r>
              <w:rPr>
                <w:rFonts w:ascii="Calibri" w:hAnsi="Calibri"/>
                <w:noProof/>
                <w:color w:val="000000"/>
                <w:sz w:val="20"/>
              </w:rPr>
              <w:br/>
              <w:t xml:space="preserve">– riješiti pitanje izuzeća od obveze plaćanja naknade za pravo građenja i pravo služnosti na javnoj cesti uklanjanjem tih izuzeća iz zakonodavstva. Time će se svim poduzetnicama omogućiti ravnopravni uvjeti u pogledu takvih naknada. </w:t>
            </w:r>
          </w:p>
        </w:tc>
      </w:tr>
      <w:tr w:rsidR="00F04409" w:rsidRPr="008B6B47" w14:paraId="45A76D69"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41363C0E" w14:textId="77777777" w:rsidR="00733DCA" w:rsidRPr="008B6B4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92</w:t>
            </w:r>
          </w:p>
        </w:tc>
        <w:tc>
          <w:tcPr>
            <w:tcW w:w="993" w:type="dxa"/>
            <w:tcBorders>
              <w:top w:val="single" w:sz="4" w:space="0" w:color="auto"/>
              <w:left w:val="nil"/>
              <w:bottom w:val="single" w:sz="4" w:space="0" w:color="auto"/>
              <w:right w:val="single" w:sz="4" w:space="0" w:color="auto"/>
            </w:tcBorders>
            <w:shd w:val="clear" w:color="auto" w:fill="C6EFCE"/>
            <w:noWrap/>
          </w:tcPr>
          <w:p w14:paraId="58AAC36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R1</w:t>
            </w:r>
          </w:p>
        </w:tc>
        <w:tc>
          <w:tcPr>
            <w:tcW w:w="851" w:type="dxa"/>
            <w:tcBorders>
              <w:top w:val="single" w:sz="4" w:space="0" w:color="auto"/>
              <w:left w:val="nil"/>
              <w:bottom w:val="single" w:sz="4" w:space="0" w:color="auto"/>
              <w:right w:val="single" w:sz="4" w:space="0" w:color="auto"/>
            </w:tcBorders>
            <w:shd w:val="clear" w:color="auto" w:fill="C6EFCE"/>
            <w:noWrap/>
          </w:tcPr>
          <w:p w14:paraId="2A17D40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6F2D3F65"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Nacionalni program sigurnosti cestovnog prometa za razdoblje 2021.–2030.</w:t>
            </w:r>
          </w:p>
        </w:tc>
        <w:tc>
          <w:tcPr>
            <w:tcW w:w="1931" w:type="dxa"/>
            <w:tcBorders>
              <w:top w:val="single" w:sz="4" w:space="0" w:color="auto"/>
              <w:left w:val="nil"/>
              <w:bottom w:val="single" w:sz="4" w:space="0" w:color="auto"/>
              <w:right w:val="single" w:sz="4" w:space="0" w:color="auto"/>
            </w:tcBorders>
            <w:shd w:val="clear" w:color="auto" w:fill="C6EFCE"/>
            <w:noWrap/>
          </w:tcPr>
          <w:p w14:paraId="35E5EA65"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Vlada Republike Hrvatske donijela je Nacionalni program sigurnosti cestovnog prometa za razdoblje 2021.–2030.</w:t>
            </w:r>
          </w:p>
        </w:tc>
        <w:tc>
          <w:tcPr>
            <w:tcW w:w="1168" w:type="dxa"/>
            <w:tcBorders>
              <w:top w:val="single" w:sz="4" w:space="0" w:color="auto"/>
              <w:left w:val="nil"/>
              <w:bottom w:val="single" w:sz="4" w:space="0" w:color="auto"/>
              <w:right w:val="single" w:sz="4" w:space="0" w:color="auto"/>
            </w:tcBorders>
            <w:shd w:val="clear" w:color="auto" w:fill="C6EFCE"/>
            <w:noWrap/>
          </w:tcPr>
          <w:p w14:paraId="505E035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41B270C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759E46A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5409813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9" w:type="dxa"/>
            <w:tcBorders>
              <w:top w:val="single" w:sz="4" w:space="0" w:color="auto"/>
              <w:left w:val="nil"/>
              <w:bottom w:val="single" w:sz="4" w:space="0" w:color="auto"/>
              <w:right w:val="single" w:sz="4" w:space="0" w:color="auto"/>
            </w:tcBorders>
            <w:shd w:val="clear" w:color="auto" w:fill="C6EFCE"/>
            <w:noWrap/>
          </w:tcPr>
          <w:p w14:paraId="0BAFAB5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942" w:type="dxa"/>
            <w:tcBorders>
              <w:top w:val="single" w:sz="4" w:space="0" w:color="auto"/>
              <w:left w:val="nil"/>
              <w:bottom w:val="single" w:sz="4" w:space="0" w:color="auto"/>
              <w:right w:val="single" w:sz="4" w:space="0" w:color="auto"/>
            </w:tcBorders>
            <w:shd w:val="clear" w:color="auto" w:fill="C6EFCE"/>
            <w:noWrap/>
          </w:tcPr>
          <w:p w14:paraId="6D4D32E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Cilj je Nacionalnog programa sigurnosti cestovnog prometa za razdoblje 2021.–2030., koji je izradilo Ministarstvo unutarnjih poslova u suradnji s Ministarstvom mora, prometa i infrastrukture i drugim resornim ministarstvima, poboljšati sigurnost cestovnog prometa u Hrvatskoj. </w:t>
            </w:r>
          </w:p>
        </w:tc>
      </w:tr>
      <w:tr w:rsidR="00F04409" w:rsidRPr="008B6B47" w14:paraId="45F4D85A"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7C55EFF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94</w:t>
            </w:r>
          </w:p>
        </w:tc>
        <w:tc>
          <w:tcPr>
            <w:tcW w:w="993" w:type="dxa"/>
            <w:tcBorders>
              <w:top w:val="single" w:sz="4" w:space="0" w:color="auto"/>
              <w:left w:val="nil"/>
              <w:bottom w:val="single" w:sz="4" w:space="0" w:color="auto"/>
              <w:right w:val="single" w:sz="4" w:space="0" w:color="auto"/>
            </w:tcBorders>
            <w:shd w:val="clear" w:color="auto" w:fill="C6EFCE"/>
            <w:noWrap/>
          </w:tcPr>
          <w:p w14:paraId="07E40E4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R1-I2</w:t>
            </w:r>
          </w:p>
        </w:tc>
        <w:tc>
          <w:tcPr>
            <w:tcW w:w="851" w:type="dxa"/>
            <w:tcBorders>
              <w:top w:val="single" w:sz="4" w:space="0" w:color="auto"/>
              <w:left w:val="nil"/>
              <w:bottom w:val="single" w:sz="4" w:space="0" w:color="auto"/>
              <w:right w:val="single" w:sz="4" w:space="0" w:color="auto"/>
            </w:tcBorders>
            <w:shd w:val="clear" w:color="auto" w:fill="C6EFCE"/>
            <w:noWrap/>
          </w:tcPr>
          <w:p w14:paraId="5305A11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nil"/>
              <w:bottom w:val="single" w:sz="4" w:space="0" w:color="auto"/>
              <w:right w:val="single" w:sz="4" w:space="0" w:color="auto"/>
            </w:tcBorders>
            <w:shd w:val="clear" w:color="auto" w:fill="C6EFCE"/>
            <w:noWrap/>
          </w:tcPr>
          <w:p w14:paraId="1A012E7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Uvođenje funkcionalnog sustava korištenja prava osoba s invaliditetom u području mobilnosti</w:t>
            </w:r>
          </w:p>
        </w:tc>
        <w:tc>
          <w:tcPr>
            <w:tcW w:w="1931" w:type="dxa"/>
            <w:tcBorders>
              <w:top w:val="single" w:sz="4" w:space="0" w:color="auto"/>
              <w:left w:val="nil"/>
              <w:bottom w:val="single" w:sz="4" w:space="0" w:color="auto"/>
              <w:right w:val="single" w:sz="4" w:space="0" w:color="auto"/>
            </w:tcBorders>
            <w:shd w:val="clear" w:color="auto" w:fill="C6EFCE"/>
            <w:noWrap/>
          </w:tcPr>
          <w:p w14:paraId="3A607FE5" w14:textId="77777777" w:rsidR="00733DCA" w:rsidRPr="008B6B4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168" w:type="dxa"/>
            <w:tcBorders>
              <w:top w:val="single" w:sz="4" w:space="0" w:color="auto"/>
              <w:left w:val="nil"/>
              <w:bottom w:val="single" w:sz="4" w:space="0" w:color="auto"/>
              <w:right w:val="single" w:sz="4" w:space="0" w:color="auto"/>
            </w:tcBorders>
            <w:shd w:val="clear" w:color="auto" w:fill="C6EFCE"/>
            <w:noWrap/>
          </w:tcPr>
          <w:p w14:paraId="231746EA" w14:textId="77777777" w:rsidR="00733DCA" w:rsidRPr="008B6B4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4F0846D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nil"/>
              <w:bottom w:val="single" w:sz="4" w:space="0" w:color="auto"/>
              <w:right w:val="single" w:sz="4" w:space="0" w:color="auto"/>
            </w:tcBorders>
            <w:shd w:val="clear" w:color="auto" w:fill="C6EFCE"/>
            <w:noWrap/>
          </w:tcPr>
          <w:p w14:paraId="0B936D8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w:t>
            </w:r>
          </w:p>
        </w:tc>
        <w:tc>
          <w:tcPr>
            <w:tcW w:w="425" w:type="dxa"/>
            <w:tcBorders>
              <w:top w:val="single" w:sz="4" w:space="0" w:color="auto"/>
              <w:left w:val="nil"/>
              <w:bottom w:val="single" w:sz="4" w:space="0" w:color="auto"/>
              <w:right w:val="single" w:sz="4" w:space="0" w:color="auto"/>
            </w:tcBorders>
            <w:shd w:val="clear" w:color="auto" w:fill="C6EFCE"/>
            <w:noWrap/>
          </w:tcPr>
          <w:p w14:paraId="31DE3E7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36104F2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942" w:type="dxa"/>
            <w:tcBorders>
              <w:top w:val="single" w:sz="4" w:space="0" w:color="auto"/>
              <w:left w:val="nil"/>
              <w:bottom w:val="single" w:sz="4" w:space="0" w:color="auto"/>
              <w:right w:val="single" w:sz="4" w:space="0" w:color="auto"/>
            </w:tcBorders>
            <w:shd w:val="clear" w:color="auto" w:fill="C6EFCE"/>
            <w:noWrap/>
          </w:tcPr>
          <w:p w14:paraId="2ABA3E4D"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Kao dio ulaganja, kojim se uspostavlja funkcionalni sustav za lakše podnošenje zahtjeva za sva prava osoba s invaliditetom u području mobilnosti na jednom mjestu i osigurava brža obrada zahtjeva, uvest će se jedinstveni dokument koji će osobama s invaliditetom omogućiti korištenje funkcionalnog sustava i ostvarivanje prava u području mobilnosti na cijelom državnom području Hrvatske (invalidska e-kartica) te će se izdati najmanje 50 % predviđenih kartica osobama s invaliditetom koje imaju prava u području mobilnosti.</w:t>
            </w:r>
          </w:p>
        </w:tc>
      </w:tr>
      <w:tr w:rsidR="00F04409" w:rsidRPr="008B6B47" w14:paraId="61B6394B"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5D1CE05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95</w:t>
            </w:r>
          </w:p>
        </w:tc>
        <w:tc>
          <w:tcPr>
            <w:tcW w:w="993" w:type="dxa"/>
            <w:tcBorders>
              <w:top w:val="single" w:sz="4" w:space="0" w:color="auto"/>
              <w:left w:val="nil"/>
              <w:bottom w:val="single" w:sz="4" w:space="0" w:color="auto"/>
              <w:right w:val="single" w:sz="4" w:space="0" w:color="auto"/>
            </w:tcBorders>
            <w:shd w:val="clear" w:color="auto" w:fill="C6EFCE"/>
            <w:noWrap/>
          </w:tcPr>
          <w:p w14:paraId="37D850A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R1-I3</w:t>
            </w:r>
          </w:p>
        </w:tc>
        <w:tc>
          <w:tcPr>
            <w:tcW w:w="851" w:type="dxa"/>
            <w:tcBorders>
              <w:top w:val="single" w:sz="4" w:space="0" w:color="auto"/>
              <w:left w:val="nil"/>
              <w:bottom w:val="single" w:sz="4" w:space="0" w:color="auto"/>
              <w:right w:val="single" w:sz="4" w:space="0" w:color="auto"/>
            </w:tcBorders>
            <w:shd w:val="clear" w:color="auto" w:fill="C6EFCE"/>
            <w:noWrap/>
          </w:tcPr>
          <w:p w14:paraId="009B4D6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60F5DC8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funkcionalnog nacionalnog sustava elektroničke pohrane i razmjene podataka u cestovnom prijevozu (NSCP)</w:t>
            </w:r>
          </w:p>
        </w:tc>
        <w:tc>
          <w:tcPr>
            <w:tcW w:w="1931" w:type="dxa"/>
            <w:tcBorders>
              <w:top w:val="single" w:sz="4" w:space="0" w:color="auto"/>
              <w:left w:val="nil"/>
              <w:bottom w:val="single" w:sz="4" w:space="0" w:color="auto"/>
              <w:right w:val="single" w:sz="4" w:space="0" w:color="auto"/>
            </w:tcBorders>
            <w:shd w:val="clear" w:color="auto" w:fill="C6EFCE"/>
            <w:noWrap/>
          </w:tcPr>
          <w:p w14:paraId="531A455E"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Uspostavljen funkcionalni nacionalni sustav elektroničke pohrane i razmjene podataka u cestovnom prijevozu (NSCP)</w:t>
            </w:r>
          </w:p>
        </w:tc>
        <w:tc>
          <w:tcPr>
            <w:tcW w:w="1168" w:type="dxa"/>
            <w:tcBorders>
              <w:top w:val="single" w:sz="4" w:space="0" w:color="auto"/>
              <w:left w:val="nil"/>
              <w:bottom w:val="single" w:sz="4" w:space="0" w:color="auto"/>
              <w:right w:val="single" w:sz="4" w:space="0" w:color="auto"/>
            </w:tcBorders>
            <w:shd w:val="clear" w:color="auto" w:fill="C6EFCE"/>
            <w:noWrap/>
          </w:tcPr>
          <w:p w14:paraId="31E4050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3A1F49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4731729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4F06D37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53EC562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nil"/>
              <w:bottom w:val="single" w:sz="4" w:space="0" w:color="auto"/>
              <w:right w:val="single" w:sz="4" w:space="0" w:color="auto"/>
            </w:tcBorders>
            <w:shd w:val="clear" w:color="auto" w:fill="C6EFCE"/>
            <w:noWrap/>
          </w:tcPr>
          <w:p w14:paraId="2CB2C82D"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Uspostavit će se funkcionalni nacionalni sustav elektroničke pohrane i razmjene podataka u cestovnom prijevozu (NSCP) u skladu s Uredbom (EU) 2020/1056 o elektroničkim informacijama o prijevozu tereta (Uredba o eFTI-ju). Osim toga, NSCP će se na odgovarajući način ažurirati nakon donošenja tehničkih specifikacija za eFTI. Ulaganjem će se doprinijeti učinkovitijem praćenju cestovnog prometa i smanjenju zastoja u prometu te postići pozitivan učinak na okolišne čimbenike.</w:t>
            </w:r>
          </w:p>
        </w:tc>
      </w:tr>
      <w:tr w:rsidR="00F04409" w:rsidRPr="008B6B47" w14:paraId="6B597B1E"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26C0CF0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96</w:t>
            </w:r>
          </w:p>
        </w:tc>
        <w:tc>
          <w:tcPr>
            <w:tcW w:w="993" w:type="dxa"/>
            <w:tcBorders>
              <w:top w:val="single" w:sz="4" w:space="0" w:color="auto"/>
              <w:left w:val="nil"/>
              <w:bottom w:val="single" w:sz="4" w:space="0" w:color="auto"/>
              <w:right w:val="single" w:sz="4" w:space="0" w:color="auto"/>
            </w:tcBorders>
            <w:shd w:val="clear" w:color="auto" w:fill="C6EFCE"/>
            <w:noWrap/>
          </w:tcPr>
          <w:p w14:paraId="4DD2549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R1-I4</w:t>
            </w:r>
          </w:p>
        </w:tc>
        <w:tc>
          <w:tcPr>
            <w:tcW w:w="851" w:type="dxa"/>
            <w:tcBorders>
              <w:top w:val="single" w:sz="4" w:space="0" w:color="auto"/>
              <w:left w:val="nil"/>
              <w:bottom w:val="single" w:sz="4" w:space="0" w:color="auto"/>
              <w:right w:val="single" w:sz="4" w:space="0" w:color="auto"/>
            </w:tcBorders>
            <w:shd w:val="clear" w:color="auto" w:fill="C6EFCE"/>
            <w:noWrap/>
          </w:tcPr>
          <w:p w14:paraId="190529E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76249FEF"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izvještajno-upravljačkog sustav putničkog i teretnog prijevoza u cestovnom prometu</w:t>
            </w:r>
          </w:p>
        </w:tc>
        <w:tc>
          <w:tcPr>
            <w:tcW w:w="1931" w:type="dxa"/>
            <w:tcBorders>
              <w:top w:val="single" w:sz="4" w:space="0" w:color="auto"/>
              <w:left w:val="nil"/>
              <w:bottom w:val="single" w:sz="4" w:space="0" w:color="auto"/>
              <w:right w:val="single" w:sz="4" w:space="0" w:color="auto"/>
            </w:tcBorders>
            <w:shd w:val="clear" w:color="auto" w:fill="C6EFCE"/>
            <w:noWrap/>
          </w:tcPr>
          <w:p w14:paraId="7618960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Funkcionalan izvještajno-upravljački sustav putničkog i teretnog prijevoza u cestovnom prometu </w:t>
            </w:r>
          </w:p>
        </w:tc>
        <w:tc>
          <w:tcPr>
            <w:tcW w:w="1168" w:type="dxa"/>
            <w:tcBorders>
              <w:top w:val="single" w:sz="4" w:space="0" w:color="auto"/>
              <w:left w:val="nil"/>
              <w:bottom w:val="single" w:sz="4" w:space="0" w:color="auto"/>
              <w:right w:val="single" w:sz="4" w:space="0" w:color="auto"/>
            </w:tcBorders>
            <w:shd w:val="clear" w:color="auto" w:fill="C6EFCE"/>
            <w:noWrap/>
          </w:tcPr>
          <w:p w14:paraId="28413EE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6A15DC3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63AEC0D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4229BAA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55EB30E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942" w:type="dxa"/>
            <w:tcBorders>
              <w:top w:val="single" w:sz="4" w:space="0" w:color="auto"/>
              <w:left w:val="nil"/>
              <w:bottom w:val="single" w:sz="4" w:space="0" w:color="auto"/>
              <w:right w:val="single" w:sz="4" w:space="0" w:color="auto"/>
            </w:tcBorders>
            <w:shd w:val="clear" w:color="auto" w:fill="C6EFCE"/>
            <w:noWrap/>
          </w:tcPr>
          <w:p w14:paraId="3ABFCE4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Uspostavit će se funkcionalan izvještajno-upravljački sustav putničkog i teretnog prijevoza u cestovnom prometu koji će povezivati podatke iz Sustava za središnju obradu tahografskih podataka (SOTAH) i nacionalne evidencije tahografskih kartica i povezanih evidencija koje su u nadležnosti Ministarstva mora, prometa i infrastrukture.</w:t>
            </w:r>
          </w:p>
        </w:tc>
      </w:tr>
      <w:tr w:rsidR="00F04409" w:rsidRPr="008B6B47" w14:paraId="28BC3ACD"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62D51B5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97</w:t>
            </w:r>
          </w:p>
        </w:tc>
        <w:tc>
          <w:tcPr>
            <w:tcW w:w="993" w:type="dxa"/>
            <w:tcBorders>
              <w:top w:val="single" w:sz="4" w:space="0" w:color="auto"/>
              <w:left w:val="nil"/>
              <w:bottom w:val="single" w:sz="4" w:space="0" w:color="auto"/>
              <w:right w:val="single" w:sz="4" w:space="0" w:color="auto"/>
            </w:tcBorders>
            <w:shd w:val="clear" w:color="auto" w:fill="C6EFCE"/>
            <w:noWrap/>
          </w:tcPr>
          <w:p w14:paraId="2487CD8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R1-I5</w:t>
            </w:r>
          </w:p>
        </w:tc>
        <w:tc>
          <w:tcPr>
            <w:tcW w:w="851" w:type="dxa"/>
            <w:tcBorders>
              <w:top w:val="single" w:sz="4" w:space="0" w:color="auto"/>
              <w:left w:val="nil"/>
              <w:bottom w:val="single" w:sz="4" w:space="0" w:color="auto"/>
              <w:right w:val="single" w:sz="4" w:space="0" w:color="auto"/>
            </w:tcBorders>
            <w:shd w:val="clear" w:color="auto" w:fill="C6EFCE"/>
            <w:noWrap/>
          </w:tcPr>
          <w:p w14:paraId="08E4687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3D89894F"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Razvoj sustava za praćenje prijevoza opasnih tvari u cestovnom prometu (e-ADR)</w:t>
            </w:r>
          </w:p>
        </w:tc>
        <w:tc>
          <w:tcPr>
            <w:tcW w:w="1931" w:type="dxa"/>
            <w:tcBorders>
              <w:top w:val="single" w:sz="4" w:space="0" w:color="auto"/>
              <w:left w:val="nil"/>
              <w:bottom w:val="single" w:sz="4" w:space="0" w:color="auto"/>
              <w:right w:val="single" w:sz="4" w:space="0" w:color="auto"/>
            </w:tcBorders>
            <w:shd w:val="clear" w:color="auto" w:fill="C6EFCE"/>
            <w:noWrap/>
          </w:tcPr>
          <w:p w14:paraId="606565E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Razvijen je funkcionalan sustav za praćenje prijevoza opasnih tvari u cestovnom prometu (e-ADR) </w:t>
            </w:r>
          </w:p>
        </w:tc>
        <w:tc>
          <w:tcPr>
            <w:tcW w:w="1168" w:type="dxa"/>
            <w:tcBorders>
              <w:top w:val="single" w:sz="4" w:space="0" w:color="auto"/>
              <w:left w:val="nil"/>
              <w:bottom w:val="single" w:sz="4" w:space="0" w:color="auto"/>
              <w:right w:val="single" w:sz="4" w:space="0" w:color="auto"/>
            </w:tcBorders>
            <w:shd w:val="clear" w:color="auto" w:fill="C6EFCE"/>
            <w:noWrap/>
          </w:tcPr>
          <w:p w14:paraId="2D023BD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49BE451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236CDCE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2263F63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6FEA7E5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942" w:type="dxa"/>
            <w:tcBorders>
              <w:top w:val="single" w:sz="4" w:space="0" w:color="auto"/>
              <w:left w:val="nil"/>
              <w:bottom w:val="single" w:sz="4" w:space="0" w:color="auto"/>
              <w:right w:val="single" w:sz="4" w:space="0" w:color="auto"/>
            </w:tcBorders>
            <w:shd w:val="clear" w:color="auto" w:fill="C6EFCE"/>
            <w:noWrap/>
          </w:tcPr>
          <w:p w14:paraId="11FCC272"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Sustavom će se pružiti rješenje za praćenje prijevoza opasnih tvari u cestovnom prometu uvođenjem elektroničkih dopuštenja za prijevoz i teretnih listova te primjenom tehnologije praćenja i sljedivosti. Uspostavit će se sustav u skladu s Uredbom (EU) 2020/1056 o elektroničkim informacijama o prijevozu tereta (Uredba o eFTI-ju) i njezinim provedbenim i delegiranim aktima te drugim primjenjivim zakonodavstvom u području cestovnog prijevoza opasnih tvari. Osim toga, sustav će se na odgovarajući način ažurirati nakon donošenja tehničkih specifikacija za eFTI.</w:t>
            </w:r>
          </w:p>
        </w:tc>
      </w:tr>
      <w:tr w:rsidR="00F04409" w:rsidRPr="008B6B47" w14:paraId="079E1702"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5828847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98</w:t>
            </w:r>
          </w:p>
        </w:tc>
        <w:tc>
          <w:tcPr>
            <w:tcW w:w="993" w:type="dxa"/>
            <w:tcBorders>
              <w:top w:val="single" w:sz="4" w:space="0" w:color="auto"/>
              <w:left w:val="nil"/>
              <w:bottom w:val="single" w:sz="4" w:space="0" w:color="auto"/>
              <w:right w:val="single" w:sz="4" w:space="0" w:color="auto"/>
            </w:tcBorders>
            <w:shd w:val="clear" w:color="auto" w:fill="C6EFCE"/>
            <w:noWrap/>
          </w:tcPr>
          <w:p w14:paraId="256EB9B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w:t>
            </w:r>
          </w:p>
        </w:tc>
        <w:tc>
          <w:tcPr>
            <w:tcW w:w="851" w:type="dxa"/>
            <w:tcBorders>
              <w:top w:val="single" w:sz="4" w:space="0" w:color="auto"/>
              <w:left w:val="nil"/>
              <w:bottom w:val="single" w:sz="4" w:space="0" w:color="auto"/>
              <w:right w:val="single" w:sz="4" w:space="0" w:color="auto"/>
            </w:tcBorders>
            <w:shd w:val="clear" w:color="auto" w:fill="C6EFCE"/>
            <w:noWrap/>
          </w:tcPr>
          <w:p w14:paraId="23D6D42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0395CAFE"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Pisma sektorske politike </w:t>
            </w:r>
          </w:p>
        </w:tc>
        <w:tc>
          <w:tcPr>
            <w:tcW w:w="1931" w:type="dxa"/>
            <w:tcBorders>
              <w:top w:val="single" w:sz="4" w:space="0" w:color="auto"/>
              <w:left w:val="nil"/>
              <w:bottom w:val="single" w:sz="4" w:space="0" w:color="auto"/>
              <w:right w:val="single" w:sz="4" w:space="0" w:color="auto"/>
            </w:tcBorders>
            <w:shd w:val="clear" w:color="auto" w:fill="C6EFCE"/>
            <w:noWrap/>
          </w:tcPr>
          <w:p w14:paraId="2499183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Pismo sektorske politike za željeznički sektor koje je donijela Vlada Republike Hrvatske</w:t>
            </w:r>
          </w:p>
        </w:tc>
        <w:tc>
          <w:tcPr>
            <w:tcW w:w="1168" w:type="dxa"/>
            <w:tcBorders>
              <w:top w:val="single" w:sz="4" w:space="0" w:color="auto"/>
              <w:left w:val="nil"/>
              <w:bottom w:val="single" w:sz="4" w:space="0" w:color="auto"/>
              <w:right w:val="single" w:sz="4" w:space="0" w:color="auto"/>
            </w:tcBorders>
            <w:shd w:val="clear" w:color="auto" w:fill="C6EFCE"/>
            <w:noWrap/>
          </w:tcPr>
          <w:p w14:paraId="2041BFD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569126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7AF443A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07D41AA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6F0F99D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942" w:type="dxa"/>
            <w:tcBorders>
              <w:top w:val="single" w:sz="4" w:space="0" w:color="auto"/>
              <w:left w:val="nil"/>
              <w:bottom w:val="single" w:sz="4" w:space="0" w:color="auto"/>
              <w:right w:val="single" w:sz="4" w:space="0" w:color="auto"/>
            </w:tcBorders>
            <w:shd w:val="clear" w:color="auto" w:fill="C6EFCE"/>
            <w:noWrap/>
          </w:tcPr>
          <w:p w14:paraId="448D9BC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Pismo sektorske politike uključuje: i. glavne ciljeve, ii. preispitivanje predviđenih poboljšanja kao što su profesionalizacija, transparentnost poslovanja i aktivnosti upravljanja te iii. plan provedbe mjera i djelovanja za reformu i modernizaciju željezničkog sektora, kao što su: donošenje Strateškog okvira za željeznički sektor, Nacionalnog plana razvoja željezničke infrastrukture i Nacionalnog plana upravljanja željezničkom infrastrukturom i uslužnim objektima, i razvoj usluga željezničkog prijevoza.</w:t>
            </w:r>
          </w:p>
        </w:tc>
      </w:tr>
      <w:tr w:rsidR="00F04409" w:rsidRPr="008B6B47" w14:paraId="0BA98194"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56E568E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99</w:t>
            </w:r>
          </w:p>
        </w:tc>
        <w:tc>
          <w:tcPr>
            <w:tcW w:w="993" w:type="dxa"/>
            <w:tcBorders>
              <w:top w:val="single" w:sz="4" w:space="0" w:color="auto"/>
              <w:left w:val="nil"/>
              <w:bottom w:val="single" w:sz="4" w:space="0" w:color="auto"/>
              <w:right w:val="single" w:sz="4" w:space="0" w:color="auto"/>
            </w:tcBorders>
            <w:shd w:val="clear" w:color="auto" w:fill="C6EFCE"/>
            <w:noWrap/>
          </w:tcPr>
          <w:p w14:paraId="39F6B3E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w:t>
            </w:r>
          </w:p>
        </w:tc>
        <w:tc>
          <w:tcPr>
            <w:tcW w:w="851" w:type="dxa"/>
            <w:tcBorders>
              <w:top w:val="single" w:sz="4" w:space="0" w:color="auto"/>
              <w:left w:val="nil"/>
              <w:bottom w:val="single" w:sz="4" w:space="0" w:color="auto"/>
              <w:right w:val="single" w:sz="4" w:space="0" w:color="auto"/>
            </w:tcBorders>
            <w:shd w:val="clear" w:color="auto" w:fill="C6EFCE"/>
            <w:noWrap/>
          </w:tcPr>
          <w:p w14:paraId="48603EB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2F51F8B9"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Nacionalni plan razvoja željezničke infrastrukture i Nacionalni plan upravljanja željezničkom infrastrukturom i uslužnim objektima</w:t>
            </w:r>
          </w:p>
        </w:tc>
        <w:tc>
          <w:tcPr>
            <w:tcW w:w="1931" w:type="dxa"/>
            <w:tcBorders>
              <w:top w:val="single" w:sz="4" w:space="0" w:color="auto"/>
              <w:left w:val="nil"/>
              <w:bottom w:val="single" w:sz="4" w:space="0" w:color="auto"/>
              <w:right w:val="single" w:sz="4" w:space="0" w:color="auto"/>
            </w:tcBorders>
            <w:shd w:val="clear" w:color="auto" w:fill="C6EFCE"/>
            <w:noWrap/>
          </w:tcPr>
          <w:p w14:paraId="76BFA4AD"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Vlada Republike Hrvatske donijela je Nacionalni plan razvoja željezničke infrastrukture i Nacionalni plan upravljanja željezničkom infrastrukturom i uslužnim objektima</w:t>
            </w:r>
          </w:p>
        </w:tc>
        <w:tc>
          <w:tcPr>
            <w:tcW w:w="1168" w:type="dxa"/>
            <w:tcBorders>
              <w:top w:val="single" w:sz="4" w:space="0" w:color="auto"/>
              <w:left w:val="nil"/>
              <w:bottom w:val="single" w:sz="4" w:space="0" w:color="auto"/>
              <w:right w:val="single" w:sz="4" w:space="0" w:color="auto"/>
            </w:tcBorders>
            <w:shd w:val="clear" w:color="auto" w:fill="C6EFCE"/>
            <w:noWrap/>
          </w:tcPr>
          <w:p w14:paraId="311D680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502C8CA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581D317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72FFAF0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55EA384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942" w:type="dxa"/>
            <w:tcBorders>
              <w:top w:val="single" w:sz="4" w:space="0" w:color="auto"/>
              <w:left w:val="nil"/>
              <w:bottom w:val="single" w:sz="4" w:space="0" w:color="auto"/>
              <w:right w:val="single" w:sz="4" w:space="0" w:color="auto"/>
            </w:tcBorders>
            <w:shd w:val="clear" w:color="auto" w:fill="C6EFCE"/>
            <w:noWrap/>
          </w:tcPr>
          <w:p w14:paraId="157D86CF"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Nacionalnom planu razvoja željezničke infrastrukture utvrdit će se projekti i aktivnosti potrebni za razvoj željezničke infrastrukture. U Nacionalnom planu upravljanja željezničkom infrastrukturom i uslužnim objektima utvrdit će se projekti i aktivnosti za upravljanje i organizaciju regulative željezničkog prometa te razvoj usluga željezničkog prijevoza. </w:t>
            </w:r>
          </w:p>
        </w:tc>
      </w:tr>
      <w:tr w:rsidR="00F04409" w:rsidRPr="008B6B47" w14:paraId="2D29DD2F"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00DCBE1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993" w:type="dxa"/>
            <w:tcBorders>
              <w:top w:val="single" w:sz="4" w:space="0" w:color="auto"/>
              <w:left w:val="nil"/>
              <w:bottom w:val="single" w:sz="4" w:space="0" w:color="auto"/>
              <w:right w:val="single" w:sz="4" w:space="0" w:color="auto"/>
            </w:tcBorders>
            <w:shd w:val="clear" w:color="auto" w:fill="C6EFCE"/>
            <w:noWrap/>
          </w:tcPr>
          <w:p w14:paraId="2F75627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w:t>
            </w:r>
          </w:p>
        </w:tc>
        <w:tc>
          <w:tcPr>
            <w:tcW w:w="851" w:type="dxa"/>
            <w:tcBorders>
              <w:top w:val="single" w:sz="4" w:space="0" w:color="auto"/>
              <w:left w:val="nil"/>
              <w:bottom w:val="single" w:sz="4" w:space="0" w:color="auto"/>
              <w:right w:val="single" w:sz="4" w:space="0" w:color="auto"/>
            </w:tcBorders>
            <w:shd w:val="clear" w:color="auto" w:fill="C6EFCE"/>
            <w:noWrap/>
          </w:tcPr>
          <w:p w14:paraId="454EDDC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7D9ECDE7"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Reorganizacija upravljanja željezničkim društvima i poslovanjem </w:t>
            </w:r>
          </w:p>
        </w:tc>
        <w:tc>
          <w:tcPr>
            <w:tcW w:w="1931" w:type="dxa"/>
            <w:tcBorders>
              <w:top w:val="single" w:sz="4" w:space="0" w:color="auto"/>
              <w:left w:val="nil"/>
              <w:bottom w:val="single" w:sz="4" w:space="0" w:color="auto"/>
              <w:right w:val="single" w:sz="4" w:space="0" w:color="auto"/>
            </w:tcBorders>
            <w:shd w:val="clear" w:color="auto" w:fill="C6EFCE"/>
            <w:noWrap/>
          </w:tcPr>
          <w:p w14:paraId="504E1EB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Provedena i dovršena reorganizacija upravljanja željezničkim društvima i poslovanjem</w:t>
            </w:r>
          </w:p>
        </w:tc>
        <w:tc>
          <w:tcPr>
            <w:tcW w:w="1168" w:type="dxa"/>
            <w:tcBorders>
              <w:top w:val="single" w:sz="4" w:space="0" w:color="auto"/>
              <w:left w:val="nil"/>
              <w:bottom w:val="single" w:sz="4" w:space="0" w:color="auto"/>
              <w:right w:val="single" w:sz="4" w:space="0" w:color="auto"/>
            </w:tcBorders>
            <w:shd w:val="clear" w:color="auto" w:fill="C6EFCE"/>
            <w:noWrap/>
          </w:tcPr>
          <w:p w14:paraId="5FFC24D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671F5E2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396C8BB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1437A04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350C864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942" w:type="dxa"/>
            <w:tcBorders>
              <w:top w:val="single" w:sz="4" w:space="0" w:color="auto"/>
              <w:left w:val="nil"/>
              <w:bottom w:val="single" w:sz="4" w:space="0" w:color="auto"/>
              <w:right w:val="single" w:sz="4" w:space="0" w:color="auto"/>
            </w:tcBorders>
            <w:shd w:val="clear" w:color="auto" w:fill="C6EFCE"/>
            <w:noWrap/>
          </w:tcPr>
          <w:p w14:paraId="3C8749E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Reorganizacija upravljanja željezničkim društvima i poslovanjem provest će se uzimajući u obzir povećanu odgovornost za upravljanje, u području održavanja, upravljanja prometom i vođenja infrastrukturnih ulagačkih projekata, a radi optimiziranja troškova i usluga prijevoza putnika.</w:t>
            </w:r>
          </w:p>
        </w:tc>
      </w:tr>
      <w:tr w:rsidR="00F04409" w:rsidRPr="008B6B47" w14:paraId="4F86DEBF"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17F47CB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102</w:t>
            </w:r>
          </w:p>
        </w:tc>
        <w:tc>
          <w:tcPr>
            <w:tcW w:w="993" w:type="dxa"/>
            <w:tcBorders>
              <w:top w:val="single" w:sz="4" w:space="0" w:color="auto"/>
              <w:left w:val="nil"/>
              <w:bottom w:val="single" w:sz="4" w:space="0" w:color="auto"/>
              <w:right w:val="single" w:sz="4" w:space="0" w:color="auto"/>
            </w:tcBorders>
            <w:shd w:val="clear" w:color="auto" w:fill="C6EFCE"/>
            <w:noWrap/>
          </w:tcPr>
          <w:p w14:paraId="1961312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R2-I2</w:t>
            </w:r>
          </w:p>
        </w:tc>
        <w:tc>
          <w:tcPr>
            <w:tcW w:w="851" w:type="dxa"/>
            <w:tcBorders>
              <w:top w:val="single" w:sz="4" w:space="0" w:color="auto"/>
              <w:left w:val="nil"/>
              <w:bottom w:val="single" w:sz="4" w:space="0" w:color="auto"/>
              <w:right w:val="single" w:sz="4" w:space="0" w:color="auto"/>
            </w:tcBorders>
            <w:shd w:val="clear" w:color="auto" w:fill="C6EFCE"/>
            <w:noWrap/>
          </w:tcPr>
          <w:p w14:paraId="40A67EC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nil"/>
              <w:bottom w:val="single" w:sz="4" w:space="0" w:color="auto"/>
              <w:right w:val="single" w:sz="4" w:space="0" w:color="auto"/>
            </w:tcBorders>
            <w:shd w:val="clear" w:color="auto" w:fill="C6EFCE"/>
            <w:noWrap/>
          </w:tcPr>
          <w:p w14:paraId="4E597BB1"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Obnova tri kolodvora na dionici Oštarije-Knin-Split</w:t>
            </w:r>
          </w:p>
        </w:tc>
        <w:tc>
          <w:tcPr>
            <w:tcW w:w="1931" w:type="dxa"/>
            <w:tcBorders>
              <w:top w:val="single" w:sz="4" w:space="0" w:color="auto"/>
              <w:left w:val="nil"/>
              <w:bottom w:val="single" w:sz="4" w:space="0" w:color="auto"/>
              <w:right w:val="single" w:sz="4" w:space="0" w:color="auto"/>
            </w:tcBorders>
            <w:shd w:val="clear" w:color="auto" w:fill="C6EFCE"/>
            <w:noWrap/>
          </w:tcPr>
          <w:p w14:paraId="59EB1D6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2BD2D12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51AF9B5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nil"/>
              <w:bottom w:val="single" w:sz="4" w:space="0" w:color="auto"/>
              <w:right w:val="single" w:sz="4" w:space="0" w:color="auto"/>
            </w:tcBorders>
            <w:shd w:val="clear" w:color="auto" w:fill="C6EFCE"/>
            <w:noWrap/>
          </w:tcPr>
          <w:p w14:paraId="58E82DD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425" w:type="dxa"/>
            <w:tcBorders>
              <w:top w:val="single" w:sz="4" w:space="0" w:color="auto"/>
              <w:left w:val="nil"/>
              <w:bottom w:val="single" w:sz="4" w:space="0" w:color="auto"/>
              <w:right w:val="single" w:sz="4" w:space="0" w:color="auto"/>
            </w:tcBorders>
            <w:shd w:val="clear" w:color="auto" w:fill="C6EFCE"/>
            <w:noWrap/>
          </w:tcPr>
          <w:p w14:paraId="5E32FF3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6575118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nil"/>
              <w:bottom w:val="single" w:sz="4" w:space="0" w:color="auto"/>
              <w:right w:val="single" w:sz="4" w:space="0" w:color="auto"/>
            </w:tcBorders>
            <w:shd w:val="clear" w:color="auto" w:fill="C6EFCE"/>
            <w:noWrap/>
          </w:tcPr>
          <w:p w14:paraId="572F601B"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Kao dio obnove željezničke pruge Oštarije-Knin-Split na dionici Knin (isključeno)-Split (uključeno), ulaganjem će se obnoviti kolodvori Drniš, Perković i Labin Dalmatinski.</w:t>
            </w:r>
            <w:r>
              <w:rPr>
                <w:rFonts w:ascii="Calibri" w:hAnsi="Calibri"/>
                <w:noProof/>
                <w:color w:val="000000"/>
                <w:sz w:val="20"/>
              </w:rPr>
              <w:br/>
              <w:t>Dostavit će se dokazi o usklađenosti s postupcima odobrenja na temelju procjene utjecaja na okoliš u skladu s Direktivom 2011/92/EU.</w:t>
            </w:r>
          </w:p>
        </w:tc>
      </w:tr>
      <w:tr w:rsidR="00F04409" w:rsidRPr="008B6B47" w14:paraId="0704E989"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041C37A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103</w:t>
            </w:r>
          </w:p>
        </w:tc>
        <w:tc>
          <w:tcPr>
            <w:tcW w:w="993" w:type="dxa"/>
            <w:tcBorders>
              <w:top w:val="single" w:sz="4" w:space="0" w:color="auto"/>
              <w:left w:val="nil"/>
              <w:bottom w:val="single" w:sz="4" w:space="0" w:color="auto"/>
              <w:right w:val="single" w:sz="4" w:space="0" w:color="auto"/>
            </w:tcBorders>
            <w:shd w:val="clear" w:color="auto" w:fill="C6EFCE"/>
            <w:noWrap/>
          </w:tcPr>
          <w:p w14:paraId="498FDB9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R2-I2</w:t>
            </w:r>
          </w:p>
        </w:tc>
        <w:tc>
          <w:tcPr>
            <w:tcW w:w="851" w:type="dxa"/>
            <w:tcBorders>
              <w:top w:val="single" w:sz="4" w:space="0" w:color="auto"/>
              <w:left w:val="nil"/>
              <w:bottom w:val="single" w:sz="4" w:space="0" w:color="auto"/>
              <w:right w:val="single" w:sz="4" w:space="0" w:color="auto"/>
            </w:tcBorders>
            <w:shd w:val="clear" w:color="auto" w:fill="C6EFCE"/>
            <w:noWrap/>
          </w:tcPr>
          <w:p w14:paraId="2EE7BBC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0B1B49D7"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Signalno-sigurnosni uređaji na dionici Oštarije-Knin-Split ugrađeni su i u funkciji</w:t>
            </w:r>
          </w:p>
        </w:tc>
        <w:tc>
          <w:tcPr>
            <w:tcW w:w="1931" w:type="dxa"/>
            <w:tcBorders>
              <w:top w:val="single" w:sz="4" w:space="0" w:color="auto"/>
              <w:left w:val="nil"/>
              <w:bottom w:val="single" w:sz="4" w:space="0" w:color="auto"/>
              <w:right w:val="single" w:sz="4" w:space="0" w:color="auto"/>
            </w:tcBorders>
            <w:shd w:val="clear" w:color="auto" w:fill="C6EFCE"/>
            <w:noWrap/>
          </w:tcPr>
          <w:p w14:paraId="30EC655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Elektronički signalno-sigurnosni uređaji na željezničkoj pruzi Oštarije-Knin-Split ugrađeni su i u funkciji</w:t>
            </w:r>
          </w:p>
        </w:tc>
        <w:tc>
          <w:tcPr>
            <w:tcW w:w="1168" w:type="dxa"/>
            <w:tcBorders>
              <w:top w:val="single" w:sz="4" w:space="0" w:color="auto"/>
              <w:left w:val="nil"/>
              <w:bottom w:val="single" w:sz="4" w:space="0" w:color="auto"/>
              <w:right w:val="single" w:sz="4" w:space="0" w:color="auto"/>
            </w:tcBorders>
            <w:shd w:val="clear" w:color="auto" w:fill="C6EFCE"/>
            <w:noWrap/>
          </w:tcPr>
          <w:p w14:paraId="77F8A93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97FE74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5AD7D82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258CD9D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278ED0D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nil"/>
              <w:bottom w:val="single" w:sz="4" w:space="0" w:color="auto"/>
              <w:right w:val="single" w:sz="4" w:space="0" w:color="auto"/>
            </w:tcBorders>
            <w:shd w:val="clear" w:color="auto" w:fill="C6EFCE"/>
            <w:noWrap/>
          </w:tcPr>
          <w:p w14:paraId="2CEFCFD5"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Kao dio modernizacije dionice željezničke pruge Oštarije-Knin-Split ugradit će se elektronički signalno-sigurnosni uređaji koji omogućavaju uspostavu tzv. međukolodvorske ovisnosti te će se uvesti središnje upravljanje prometom.</w:t>
            </w:r>
          </w:p>
        </w:tc>
      </w:tr>
      <w:tr w:rsidR="00F04409" w:rsidRPr="008B6B47" w14:paraId="18C696C6"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627FE75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104</w:t>
            </w:r>
          </w:p>
        </w:tc>
        <w:tc>
          <w:tcPr>
            <w:tcW w:w="993" w:type="dxa"/>
            <w:tcBorders>
              <w:top w:val="single" w:sz="4" w:space="0" w:color="auto"/>
              <w:left w:val="nil"/>
              <w:bottom w:val="single" w:sz="4" w:space="0" w:color="auto"/>
              <w:right w:val="single" w:sz="4" w:space="0" w:color="auto"/>
            </w:tcBorders>
            <w:shd w:val="clear" w:color="auto" w:fill="C6EFCE"/>
            <w:noWrap/>
          </w:tcPr>
          <w:p w14:paraId="5FDBB64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R2-I3</w:t>
            </w:r>
          </w:p>
        </w:tc>
        <w:tc>
          <w:tcPr>
            <w:tcW w:w="851" w:type="dxa"/>
            <w:tcBorders>
              <w:top w:val="single" w:sz="4" w:space="0" w:color="auto"/>
              <w:left w:val="nil"/>
              <w:bottom w:val="single" w:sz="4" w:space="0" w:color="auto"/>
              <w:right w:val="single" w:sz="4" w:space="0" w:color="auto"/>
            </w:tcBorders>
            <w:shd w:val="clear" w:color="auto" w:fill="C6EFCE"/>
            <w:noWrap/>
          </w:tcPr>
          <w:p w14:paraId="0AEC6CF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nil"/>
              <w:bottom w:val="single" w:sz="4" w:space="0" w:color="auto"/>
              <w:right w:val="single" w:sz="4" w:space="0" w:color="auto"/>
            </w:tcBorders>
            <w:shd w:val="clear" w:color="auto" w:fill="C6EFCE"/>
            <w:noWrap/>
          </w:tcPr>
          <w:p w14:paraId="2B1C981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Uklonjeno pet uskih grla na dionicama s trenutačnim ograničenjem brzine od 60 km/h </w:t>
            </w:r>
          </w:p>
        </w:tc>
        <w:tc>
          <w:tcPr>
            <w:tcW w:w="1931" w:type="dxa"/>
            <w:tcBorders>
              <w:top w:val="single" w:sz="4" w:space="0" w:color="auto"/>
              <w:left w:val="nil"/>
              <w:bottom w:val="single" w:sz="4" w:space="0" w:color="auto"/>
              <w:right w:val="single" w:sz="4" w:space="0" w:color="auto"/>
            </w:tcBorders>
            <w:shd w:val="clear" w:color="auto" w:fill="C6EFCE"/>
            <w:noWrap/>
          </w:tcPr>
          <w:p w14:paraId="0303A731"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3E31A77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11F16D1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nil"/>
              <w:bottom w:val="single" w:sz="4" w:space="0" w:color="auto"/>
              <w:right w:val="single" w:sz="4" w:space="0" w:color="auto"/>
            </w:tcBorders>
            <w:shd w:val="clear" w:color="auto" w:fill="C6EFCE"/>
            <w:noWrap/>
          </w:tcPr>
          <w:p w14:paraId="75F2464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w:t>
            </w:r>
          </w:p>
        </w:tc>
        <w:tc>
          <w:tcPr>
            <w:tcW w:w="425" w:type="dxa"/>
            <w:tcBorders>
              <w:top w:val="single" w:sz="4" w:space="0" w:color="auto"/>
              <w:left w:val="nil"/>
              <w:bottom w:val="single" w:sz="4" w:space="0" w:color="auto"/>
              <w:right w:val="single" w:sz="4" w:space="0" w:color="auto"/>
            </w:tcBorders>
            <w:shd w:val="clear" w:color="auto" w:fill="C6EFCE"/>
            <w:noWrap/>
          </w:tcPr>
          <w:p w14:paraId="6A7EB32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19AB191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nil"/>
              <w:bottom w:val="single" w:sz="4" w:space="0" w:color="auto"/>
              <w:right w:val="single" w:sz="4" w:space="0" w:color="auto"/>
            </w:tcBorders>
            <w:shd w:val="clear" w:color="auto" w:fill="C6EFCE"/>
            <w:noWrap/>
          </w:tcPr>
          <w:p w14:paraId="53EF2761"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Ulaganjem će se ukloniti pet uskih grla na dionicama s trenutačnim ograničenjem brzine od 60 km/h.</w:t>
            </w:r>
            <w:r>
              <w:rPr>
                <w:rFonts w:ascii="Calibri" w:hAnsi="Calibri"/>
                <w:noProof/>
                <w:color w:val="000000"/>
                <w:sz w:val="20"/>
              </w:rPr>
              <w:br/>
              <w:t>Dostavit će se dokazi o usklađenosti s postupcima odobrenja na temelju procjene utjecaja na okoliš u skladu s Direktivom 2011/92/EU.</w:t>
            </w:r>
          </w:p>
        </w:tc>
      </w:tr>
      <w:tr w:rsidR="00F04409" w:rsidRPr="008B6B47" w14:paraId="10D4B70A"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1592D7F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105</w:t>
            </w:r>
          </w:p>
        </w:tc>
        <w:tc>
          <w:tcPr>
            <w:tcW w:w="993" w:type="dxa"/>
            <w:tcBorders>
              <w:top w:val="single" w:sz="4" w:space="0" w:color="auto"/>
              <w:left w:val="nil"/>
              <w:bottom w:val="single" w:sz="4" w:space="0" w:color="auto"/>
              <w:right w:val="single" w:sz="4" w:space="0" w:color="auto"/>
            </w:tcBorders>
            <w:shd w:val="clear" w:color="auto" w:fill="C6EFCE"/>
            <w:noWrap/>
          </w:tcPr>
          <w:p w14:paraId="3D72D9E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R2-I4</w:t>
            </w:r>
          </w:p>
        </w:tc>
        <w:tc>
          <w:tcPr>
            <w:tcW w:w="851" w:type="dxa"/>
            <w:tcBorders>
              <w:top w:val="single" w:sz="4" w:space="0" w:color="auto"/>
              <w:left w:val="nil"/>
              <w:bottom w:val="single" w:sz="4" w:space="0" w:color="auto"/>
              <w:right w:val="single" w:sz="4" w:space="0" w:color="auto"/>
            </w:tcBorders>
            <w:shd w:val="clear" w:color="auto" w:fill="C6EFCE"/>
            <w:noWrap/>
          </w:tcPr>
          <w:p w14:paraId="7A1DF98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nil"/>
              <w:bottom w:val="single" w:sz="4" w:space="0" w:color="auto"/>
              <w:right w:val="single" w:sz="4" w:space="0" w:color="auto"/>
            </w:tcBorders>
            <w:shd w:val="clear" w:color="auto" w:fill="C6EFCE"/>
            <w:noWrap/>
          </w:tcPr>
          <w:p w14:paraId="6AF9EFD4"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Obnovljena je i nadograđena dvokolosiječna željeznička pruga na dionici Zagreb Kustošija-Zagreb Zapadni kolodvor-Zagreb Glavni kolodvor u duljini od 3,4 km</w:t>
            </w:r>
          </w:p>
        </w:tc>
        <w:tc>
          <w:tcPr>
            <w:tcW w:w="1931" w:type="dxa"/>
            <w:tcBorders>
              <w:top w:val="single" w:sz="4" w:space="0" w:color="auto"/>
              <w:left w:val="nil"/>
              <w:bottom w:val="single" w:sz="4" w:space="0" w:color="auto"/>
              <w:right w:val="single" w:sz="4" w:space="0" w:color="auto"/>
            </w:tcBorders>
            <w:shd w:val="clear" w:color="auto" w:fill="C6EFCE"/>
            <w:noWrap/>
          </w:tcPr>
          <w:p w14:paraId="11727EBF"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70751A0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 (km)</w:t>
            </w:r>
          </w:p>
        </w:tc>
        <w:tc>
          <w:tcPr>
            <w:tcW w:w="826" w:type="dxa"/>
            <w:tcBorders>
              <w:top w:val="single" w:sz="4" w:space="0" w:color="auto"/>
              <w:left w:val="nil"/>
              <w:bottom w:val="single" w:sz="4" w:space="0" w:color="auto"/>
              <w:right w:val="single" w:sz="4" w:space="0" w:color="auto"/>
            </w:tcBorders>
            <w:shd w:val="clear" w:color="auto" w:fill="C6EFCE"/>
            <w:noWrap/>
          </w:tcPr>
          <w:p w14:paraId="5775A5E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nil"/>
              <w:bottom w:val="single" w:sz="4" w:space="0" w:color="auto"/>
              <w:right w:val="single" w:sz="4" w:space="0" w:color="auto"/>
            </w:tcBorders>
            <w:shd w:val="clear" w:color="auto" w:fill="C6EFCE"/>
            <w:noWrap/>
          </w:tcPr>
          <w:p w14:paraId="5769D9C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w:t>
            </w:r>
          </w:p>
        </w:tc>
        <w:tc>
          <w:tcPr>
            <w:tcW w:w="425" w:type="dxa"/>
            <w:tcBorders>
              <w:top w:val="single" w:sz="4" w:space="0" w:color="auto"/>
              <w:left w:val="nil"/>
              <w:bottom w:val="single" w:sz="4" w:space="0" w:color="auto"/>
              <w:right w:val="single" w:sz="4" w:space="0" w:color="auto"/>
            </w:tcBorders>
            <w:shd w:val="clear" w:color="auto" w:fill="C6EFCE"/>
            <w:noWrap/>
          </w:tcPr>
          <w:p w14:paraId="12D522E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15A8CFD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nil"/>
              <w:bottom w:val="single" w:sz="4" w:space="0" w:color="auto"/>
              <w:right w:val="single" w:sz="4" w:space="0" w:color="auto"/>
            </w:tcBorders>
            <w:shd w:val="clear" w:color="auto" w:fill="C6EFCE"/>
            <w:noWrap/>
          </w:tcPr>
          <w:p w14:paraId="08391484"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Obnovit će se i nadograditi dvokolosiječna željeznička pruga na dionici Zagreb Kustošija-Zagreb Zapadni kolodvor-Zagreb Glavni kolodvor u duljini od 3,4 km.</w:t>
            </w:r>
            <w:r>
              <w:rPr>
                <w:rFonts w:ascii="Calibri" w:hAnsi="Calibri"/>
                <w:noProof/>
                <w:color w:val="000000"/>
                <w:sz w:val="20"/>
              </w:rPr>
              <w:br/>
              <w:t>Dostavit će se dokazi o usklađenosti s postupcima odobrenja na temelju procjene utjecaja na okoliš u skladu s Direktivom 2011/92/EU.</w:t>
            </w:r>
          </w:p>
        </w:tc>
      </w:tr>
      <w:tr w:rsidR="00F04409" w:rsidRPr="008B6B47" w14:paraId="74C42C6A"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4B7EBF1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106</w:t>
            </w:r>
          </w:p>
        </w:tc>
        <w:tc>
          <w:tcPr>
            <w:tcW w:w="993" w:type="dxa"/>
            <w:tcBorders>
              <w:top w:val="single" w:sz="4" w:space="0" w:color="auto"/>
              <w:left w:val="nil"/>
              <w:bottom w:val="single" w:sz="4" w:space="0" w:color="auto"/>
              <w:right w:val="single" w:sz="4" w:space="0" w:color="auto"/>
            </w:tcBorders>
            <w:shd w:val="clear" w:color="auto" w:fill="C6EFCE"/>
            <w:noWrap/>
          </w:tcPr>
          <w:p w14:paraId="5876BC7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R2-I5</w:t>
            </w:r>
          </w:p>
        </w:tc>
        <w:tc>
          <w:tcPr>
            <w:tcW w:w="851" w:type="dxa"/>
            <w:tcBorders>
              <w:top w:val="single" w:sz="4" w:space="0" w:color="auto"/>
              <w:left w:val="nil"/>
              <w:bottom w:val="single" w:sz="4" w:space="0" w:color="auto"/>
              <w:right w:val="single" w:sz="4" w:space="0" w:color="auto"/>
            </w:tcBorders>
            <w:shd w:val="clear" w:color="auto" w:fill="C6EFCE"/>
            <w:noWrap/>
          </w:tcPr>
          <w:p w14:paraId="5E29D20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nil"/>
              <w:bottom w:val="single" w:sz="4" w:space="0" w:color="auto"/>
              <w:right w:val="single" w:sz="4" w:space="0" w:color="auto"/>
            </w:tcBorders>
            <w:shd w:val="clear" w:color="auto" w:fill="C6EFCE"/>
            <w:noWrap/>
          </w:tcPr>
          <w:p w14:paraId="056BA02E"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Radi smanjenja buke zamijenjeni su kočni umetci na 2 000 teretnih vagona</w:t>
            </w:r>
          </w:p>
        </w:tc>
        <w:tc>
          <w:tcPr>
            <w:tcW w:w="1931" w:type="dxa"/>
            <w:tcBorders>
              <w:top w:val="single" w:sz="4" w:space="0" w:color="auto"/>
              <w:left w:val="nil"/>
              <w:bottom w:val="single" w:sz="4" w:space="0" w:color="auto"/>
              <w:right w:val="single" w:sz="4" w:space="0" w:color="auto"/>
            </w:tcBorders>
            <w:shd w:val="clear" w:color="auto" w:fill="C6EFCE"/>
            <w:noWrap/>
          </w:tcPr>
          <w:p w14:paraId="0CECB053"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6F3508B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609B2C0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nil"/>
              <w:bottom w:val="single" w:sz="4" w:space="0" w:color="auto"/>
              <w:right w:val="single" w:sz="4" w:space="0" w:color="auto"/>
            </w:tcBorders>
            <w:shd w:val="clear" w:color="auto" w:fill="C6EFCE"/>
            <w:noWrap/>
          </w:tcPr>
          <w:p w14:paraId="3BF56F3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2 000</w:t>
            </w:r>
          </w:p>
        </w:tc>
        <w:tc>
          <w:tcPr>
            <w:tcW w:w="425" w:type="dxa"/>
            <w:tcBorders>
              <w:top w:val="single" w:sz="4" w:space="0" w:color="auto"/>
              <w:left w:val="nil"/>
              <w:bottom w:val="single" w:sz="4" w:space="0" w:color="auto"/>
              <w:right w:val="single" w:sz="4" w:space="0" w:color="auto"/>
            </w:tcBorders>
            <w:shd w:val="clear" w:color="auto" w:fill="C6EFCE"/>
            <w:noWrap/>
          </w:tcPr>
          <w:p w14:paraId="51B9A82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5A74484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nil"/>
              <w:bottom w:val="single" w:sz="4" w:space="0" w:color="auto"/>
              <w:right w:val="single" w:sz="4" w:space="0" w:color="auto"/>
            </w:tcBorders>
            <w:shd w:val="clear" w:color="auto" w:fill="C6EFCE"/>
            <w:noWrap/>
          </w:tcPr>
          <w:p w14:paraId="3A0534B7"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okviru sufinanciranja ulaganja u naknadnu ugradnju elemenata u vagone ugradit će se 2 000 kočnih umetaka na teretnim vagonima, čime će se doprinijeti smanjenju zagađenja bukom u sektoru željezničkog prometa. </w:t>
            </w:r>
          </w:p>
        </w:tc>
      </w:tr>
      <w:tr w:rsidR="00F04409" w:rsidRPr="008B6B47" w14:paraId="7A183F72"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24E8D9D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107</w:t>
            </w:r>
          </w:p>
        </w:tc>
        <w:tc>
          <w:tcPr>
            <w:tcW w:w="993" w:type="dxa"/>
            <w:tcBorders>
              <w:top w:val="single" w:sz="4" w:space="0" w:color="auto"/>
              <w:left w:val="nil"/>
              <w:bottom w:val="single" w:sz="4" w:space="0" w:color="auto"/>
              <w:right w:val="single" w:sz="4" w:space="0" w:color="auto"/>
            </w:tcBorders>
            <w:shd w:val="clear" w:color="auto" w:fill="C6EFCE"/>
            <w:noWrap/>
          </w:tcPr>
          <w:p w14:paraId="13F9E65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R2-I6</w:t>
            </w:r>
          </w:p>
        </w:tc>
        <w:tc>
          <w:tcPr>
            <w:tcW w:w="851" w:type="dxa"/>
            <w:tcBorders>
              <w:top w:val="single" w:sz="4" w:space="0" w:color="auto"/>
              <w:left w:val="nil"/>
              <w:bottom w:val="single" w:sz="4" w:space="0" w:color="auto"/>
              <w:right w:val="single" w:sz="4" w:space="0" w:color="auto"/>
            </w:tcBorders>
            <w:shd w:val="clear" w:color="auto" w:fill="C6EFCE"/>
            <w:noWrap/>
          </w:tcPr>
          <w:p w14:paraId="7506A49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nil"/>
              <w:bottom w:val="single" w:sz="4" w:space="0" w:color="auto"/>
              <w:right w:val="single" w:sz="4" w:space="0" w:color="auto"/>
            </w:tcBorders>
            <w:shd w:val="clear" w:color="auto" w:fill="C6EFCE"/>
            <w:noWrap/>
          </w:tcPr>
          <w:p w14:paraId="1AE63BC2"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Proizvedena dva prototipa vlakova; početak operativnog testiranja</w:t>
            </w:r>
          </w:p>
        </w:tc>
        <w:tc>
          <w:tcPr>
            <w:tcW w:w="1931" w:type="dxa"/>
            <w:tcBorders>
              <w:top w:val="single" w:sz="4" w:space="0" w:color="auto"/>
              <w:left w:val="nil"/>
              <w:bottom w:val="single" w:sz="4" w:space="0" w:color="auto"/>
              <w:right w:val="single" w:sz="4" w:space="0" w:color="auto"/>
            </w:tcBorders>
            <w:shd w:val="clear" w:color="auto" w:fill="C6EFCE"/>
            <w:noWrap/>
          </w:tcPr>
          <w:p w14:paraId="0D8F4CC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4D815D3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76E0CDA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nil"/>
              <w:bottom w:val="single" w:sz="4" w:space="0" w:color="auto"/>
              <w:right w:val="single" w:sz="4" w:space="0" w:color="auto"/>
            </w:tcBorders>
            <w:shd w:val="clear" w:color="auto" w:fill="C6EFCE"/>
            <w:noWrap/>
          </w:tcPr>
          <w:p w14:paraId="293F84D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425" w:type="dxa"/>
            <w:tcBorders>
              <w:top w:val="single" w:sz="4" w:space="0" w:color="auto"/>
              <w:left w:val="nil"/>
              <w:bottom w:val="single" w:sz="4" w:space="0" w:color="auto"/>
              <w:right w:val="single" w:sz="4" w:space="0" w:color="auto"/>
            </w:tcBorders>
            <w:shd w:val="clear" w:color="auto" w:fill="C6EFCE"/>
            <w:noWrap/>
          </w:tcPr>
          <w:p w14:paraId="04D83D6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76B806E2" w14:textId="3611D4B2"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nil"/>
              <w:bottom w:val="single" w:sz="4" w:space="0" w:color="auto"/>
              <w:right w:val="single" w:sz="4" w:space="0" w:color="auto"/>
            </w:tcBorders>
            <w:shd w:val="clear" w:color="auto" w:fill="C6EFCE"/>
            <w:noWrap/>
          </w:tcPr>
          <w:p w14:paraId="0CECF8F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Proizvest će se dva prototipa baterijskog elektromotornog vlaka (BEMV) i baterijskog motornog vlaka (BMV). </w:t>
            </w:r>
          </w:p>
        </w:tc>
      </w:tr>
      <w:tr w:rsidR="00F04409" w:rsidRPr="008B6B47" w14:paraId="74721E77"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0F46F43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108</w:t>
            </w:r>
          </w:p>
        </w:tc>
        <w:tc>
          <w:tcPr>
            <w:tcW w:w="993" w:type="dxa"/>
            <w:tcBorders>
              <w:top w:val="single" w:sz="4" w:space="0" w:color="auto"/>
              <w:left w:val="nil"/>
              <w:bottom w:val="single" w:sz="4" w:space="0" w:color="auto"/>
              <w:right w:val="single" w:sz="4" w:space="0" w:color="auto"/>
            </w:tcBorders>
            <w:shd w:val="clear" w:color="auto" w:fill="C6EFCE"/>
            <w:noWrap/>
          </w:tcPr>
          <w:p w14:paraId="3012FEB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R2-I7</w:t>
            </w:r>
          </w:p>
        </w:tc>
        <w:tc>
          <w:tcPr>
            <w:tcW w:w="851" w:type="dxa"/>
            <w:tcBorders>
              <w:top w:val="single" w:sz="4" w:space="0" w:color="auto"/>
              <w:left w:val="nil"/>
              <w:bottom w:val="single" w:sz="4" w:space="0" w:color="auto"/>
              <w:right w:val="single" w:sz="4" w:space="0" w:color="auto"/>
            </w:tcBorders>
            <w:shd w:val="clear" w:color="auto" w:fill="C6EFCE"/>
            <w:noWrap/>
          </w:tcPr>
          <w:p w14:paraId="63C1FF6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246F0ABA" w14:textId="668D2C16"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sustav prodaje karata</w:t>
            </w:r>
          </w:p>
        </w:tc>
        <w:tc>
          <w:tcPr>
            <w:tcW w:w="1931" w:type="dxa"/>
            <w:tcBorders>
              <w:top w:val="single" w:sz="4" w:space="0" w:color="auto"/>
              <w:left w:val="nil"/>
              <w:bottom w:val="single" w:sz="4" w:space="0" w:color="auto"/>
              <w:right w:val="single" w:sz="4" w:space="0" w:color="auto"/>
            </w:tcBorders>
            <w:shd w:val="clear" w:color="auto" w:fill="C6EFCE"/>
            <w:noWrap/>
          </w:tcPr>
          <w:p w14:paraId="52FB36EB" w14:textId="5CE07D78"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sustav prodaje karata u funkciji</w:t>
            </w:r>
          </w:p>
        </w:tc>
        <w:tc>
          <w:tcPr>
            <w:tcW w:w="1168" w:type="dxa"/>
            <w:tcBorders>
              <w:top w:val="single" w:sz="4" w:space="0" w:color="auto"/>
              <w:left w:val="nil"/>
              <w:bottom w:val="single" w:sz="4" w:space="0" w:color="auto"/>
              <w:right w:val="single" w:sz="4" w:space="0" w:color="auto"/>
            </w:tcBorders>
            <w:shd w:val="clear" w:color="auto" w:fill="C6EFCE"/>
            <w:noWrap/>
          </w:tcPr>
          <w:p w14:paraId="0A76BBC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080F669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nil"/>
              <w:bottom w:val="single" w:sz="4" w:space="0" w:color="auto"/>
              <w:right w:val="single" w:sz="4" w:space="0" w:color="auto"/>
            </w:tcBorders>
            <w:shd w:val="clear" w:color="auto" w:fill="C6EFCE"/>
            <w:noWrap/>
          </w:tcPr>
          <w:p w14:paraId="51DE79E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5EF779B8" w14:textId="44557F79"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570569C6" w14:textId="62BC8A9F"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nil"/>
              <w:bottom w:val="single" w:sz="4" w:space="0" w:color="auto"/>
              <w:right w:val="single" w:sz="4" w:space="0" w:color="auto"/>
            </w:tcBorders>
            <w:shd w:val="clear" w:color="auto" w:fill="C6EFCE"/>
            <w:noWrap/>
          </w:tcPr>
          <w:p w14:paraId="05B7BA48" w14:textId="46DDBBA1" w:rsidR="00733DCA" w:rsidRPr="000066E8"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Uspostavit će se novi sustav prodaje karata koji podrazumijeva internetsku prodaju karata (web i mobilna aplikacija za prodaju karata), prodaju putem mobilnih platnih terminala u vlakovima, prodaju putem vanjskih samoposlužnih kiosk terminala (TVM) i prodaju putem POS blagajni.</w:t>
            </w:r>
          </w:p>
        </w:tc>
      </w:tr>
      <w:tr w:rsidR="000E63A9" w:rsidRPr="008B6B47" w14:paraId="735A704D"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5907B1E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109</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1741536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02A21E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2B63D305"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 Zakon o prijevozu u linijskom i povremenom prometu </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2FA32575"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novog Zakona o prijevozu u linijskom i povremenom obalnom pomorskom prometu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20E0CDA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6B3E327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4C23054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768E4CF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4C2C315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566ECA79"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Novim Zakonom o prijevozu u linijskom i povremenom obalnom pomorskom prometu pojednostavnit će se postojeće administrativne procedure i stvoriti bolji preduvjeti za učinkovitije poslovanje javnog obalnog pomorskog prometa, i to uređivanjem odredaba povezanih s djelatnošću Agencije za obalni linijski pomorski promet, naročito u dijelu koji se odnosi na koncesioniranje državnih linija te kvalitetnije korištenje i kontrolu IT sustavâ javnog prijevoza (SEOP sustav).</w:t>
            </w:r>
            <w:r>
              <w:rPr>
                <w:rFonts w:ascii="Calibri" w:hAnsi="Calibri"/>
                <w:noProof/>
                <w:color w:val="000000"/>
                <w:sz w:val="20"/>
              </w:rPr>
              <w:br/>
              <w:t xml:space="preserve"> </w:t>
            </w:r>
          </w:p>
        </w:tc>
      </w:tr>
      <w:tr w:rsidR="000E63A9" w:rsidRPr="008B6B47" w14:paraId="0C17C3AA"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6F932CD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110</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7C2BF91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3E00B29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3BD10C39"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Zakon o plovidbi i lukama unutarnjih voda</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5DCEC2B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novog Zakona o plovidbi i lukama unutarnjih voda</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6010E8C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03BF15A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54AD743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1D503AB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29E89AE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5B8B5A65"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Novim Zakonom o plovidbi i lukama unutarnjih voda omogućit će se, kad je to potrebno radi osiguravanja sigurnosti plovidbe, utvrđivanje posebnih rizika na (dijelu) hrvatskih unutarnjih plovnih putova.</w:t>
            </w:r>
          </w:p>
        </w:tc>
      </w:tr>
      <w:tr w:rsidR="000E63A9" w:rsidRPr="008B6B47" w14:paraId="1EF81FD5"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06BA049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111</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94FA2D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6F263D6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290FC1C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Zakon o pomorskom dobru i morskim lukama</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5C8A1C9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novog Zakona o pomorskom dobru i morskim lukama</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39781EF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50485CC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031BBB2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59E7628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1CBB474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57A98FA2"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Novim Zakonom o pomorskom dobru i morskim lukama reorganizirat će se ustroj lučkog sustava luka otvorenih za javni promet, a što ima za cilj osigurati jednoobraznost u provedbi zakonskih obveza upravljanja javnim lukama te racionalizirati troškove upravljanja.</w:t>
            </w:r>
          </w:p>
        </w:tc>
      </w:tr>
      <w:tr w:rsidR="000E63A9" w:rsidRPr="008B6B47" w14:paraId="6A596B41"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2FE9EA0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112</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3BC3B22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R3-I1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D95A6E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5130E2F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Modernizirane/obnovljene dvije morske luke otvorene za javni promet</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5B8082B6"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6C235D8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23C8D77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6AFEEA2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50692ED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6E37885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6377147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Rezultat će biti dvije modernizirane/rekonstruirane morske luke otvorene za javni promet, što će povećati kvalitetu javnog pomorskog prijevoza, kapacitete za prihvat brodova u obalnom linijskom pomorskom prometu, poboljšati sigurnost putnika, povećati mobilnost, poboljšati opću kvalitetu života te osigurati održivu mobilnost.</w:t>
            </w:r>
            <w:r>
              <w:rPr>
                <w:rFonts w:ascii="Calibri" w:hAnsi="Calibri"/>
                <w:noProof/>
                <w:color w:val="000000"/>
                <w:sz w:val="20"/>
              </w:rPr>
              <w:br/>
              <w:t>Dostavit će se dokazi o usklađenosti s postupcima odobrenja na temelju procjene utjecaja na okoliš u skladu s Direktivom 2011/92/EU.</w:t>
            </w:r>
          </w:p>
        </w:tc>
      </w:tr>
      <w:tr w:rsidR="000E63A9" w:rsidRPr="008B6B47" w14:paraId="32CE9BA5"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03747BC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113</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6BD28A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R3-I2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1CC903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5FC46A43"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Brodovi na alternativni (električno-solarni) pogon </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0D2D6A9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225F5CC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3F76248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3264A67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5A52DF0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3842C11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73F5ABD9"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Ulaganjem će se modernizirati flota tako što će se u nju uvesti tri putnička broda i tri katamarana na električno-solarni pogon, čime će se poboljšati kvaliteta usluga javnog prijevoza putnika i povezanost otoka te iskoristiti plovila s nultom stopom emisija. Javna nabava temeljite će se na natječaju za nabavu / gradnju brodova koji će se provesti po načelu „design &amp; build”. </w:t>
            </w:r>
            <w:r>
              <w:rPr>
                <w:rFonts w:ascii="Calibri" w:hAnsi="Calibri"/>
                <w:noProof/>
                <w:color w:val="000000"/>
                <w:sz w:val="20"/>
              </w:rPr>
              <w:br/>
              <w:t xml:space="preserve">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(2021/C58/01). Konkretno, putnički brodovi i katamarani bit će na električno-solarni pogon. </w:t>
            </w:r>
          </w:p>
        </w:tc>
      </w:tr>
      <w:tr w:rsidR="000E63A9" w:rsidRPr="008B6B47" w14:paraId="7776260A"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3B35CD8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114</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1A19890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R3-I3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60ABCAF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3995EFE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Nova skela „Križnica” preko rijeke Drave u općini Pitomača u funkciji je</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4821FF2F"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5B478EB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xml:space="preserve">Broj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633B81E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7CF3A9A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2AC035A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2AD5F96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6DCD48FE"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okviru ulaganja izgradit će se električna skela na solarni pogon koja će povezivati kopno s Križnicom i biti u funkciji, uz odobrenje Hrvatskog registra brodova. </w:t>
            </w:r>
          </w:p>
        </w:tc>
      </w:tr>
      <w:tr w:rsidR="000E63A9" w:rsidRPr="008B6B47" w14:paraId="0401956C"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0A9E51E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115</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76B8158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R3-I4</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0F1DDDD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07D545A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Tri komunalna veza izgrađena za prihvat brodskog otpada</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1BDCB28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7CBA206F"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0B7B4D6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1454D3F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15546E0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630D6DA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1533EC6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Tri luke međunarodnog značaja bit će opremljene komunalnim pristaništima za preradu otpada prikupljenog na brodovima. Svaki plovni put imat će po jedno pristanište: Sava u luci Slavonski Brod, Drava u luci Osijek i Dunav u luci Vukovar.</w:t>
            </w:r>
            <w:r>
              <w:rPr>
                <w:rFonts w:ascii="Calibri" w:hAnsi="Calibri"/>
                <w:noProof/>
                <w:color w:val="000000"/>
                <w:sz w:val="20"/>
              </w:rPr>
              <w:br/>
              <w:t>Dostavit će se dokazi o usklađenosti s postupcima odobrenja na temelju procjene utjecaja na okoliš u skladu s Direktivom 2011/92/EU.</w:t>
            </w:r>
          </w:p>
        </w:tc>
      </w:tr>
      <w:tr w:rsidR="000E63A9" w:rsidRPr="008B6B47" w14:paraId="3ABFCD69"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4BCE0DD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116</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3AF53D5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R4-I1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6D3EAC0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1859C98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Nabavljeno i pušteno u uporabu 70 autobusa na alternativni pogon (električna energija i vodik) </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4795232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3F7334B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41BB03C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3E8C262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70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21A0AFF7" w14:textId="57E8A276"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2C8B4BA2" w14:textId="468A22D1"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76E14277" w14:textId="1C5AE56D"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Ulaganjem će se modernizirati vozni park autobusa kako bi se poboljšala kvaliteta pružanja usluga javnog prijevoza nabavom 70 novih vozila na alternativni pogon (električna energija ili vodik) radi promicanja korištenja vozila s nultom stopom emisija, čime će se smanjiti emisije CO</w:t>
            </w:r>
            <w:r>
              <w:rPr>
                <w:rFonts w:ascii="Calibri" w:hAnsi="Calibri"/>
                <w:noProof/>
                <w:color w:val="000000"/>
                <w:sz w:val="20"/>
                <w:vertAlign w:val="superscript"/>
              </w:rPr>
              <w:t>2</w:t>
            </w:r>
            <w:r>
              <w:rPr>
                <w:rFonts w:ascii="Calibri" w:hAnsi="Calibri"/>
                <w:noProof/>
                <w:color w:val="000000"/>
                <w:sz w:val="20"/>
              </w:rPr>
              <w:t xml:space="preserve"> iz postojećih voznih parkova. </w:t>
            </w:r>
          </w:p>
        </w:tc>
      </w:tr>
      <w:tr w:rsidR="000E63A9" w:rsidRPr="008B6B47" w14:paraId="045C1C2C"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6B380A7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117</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5FF732F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R4-I2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96B8B7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1DD15A1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Nabavljeno 30 tramvaja za javni prijevoz</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037A4814"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052BD65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7DC9E45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45492A8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22F0758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7DD872C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73B86734"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Ulaganjem će se modernizirati tramvajski vozni te time povećati kvaliteta usluga javnog prijevoza. </w:t>
            </w:r>
          </w:p>
        </w:tc>
      </w:tr>
      <w:tr w:rsidR="000E63A9" w:rsidRPr="008B6B47" w14:paraId="2B9C71E4"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5CB1753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118</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1EEA7F6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R5-I1</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5270DC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66495AD2"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Uvođenje potpuno elektrificiranog i ekološki prihvatljivog sustava za prihvat i otpremu zrakoplova u zračnoj luci Zadar</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272E12F7"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2D9A5E0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16170E2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0D86206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6D9587B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1C83C308" w14:textId="07F18E98"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05DDDE0E"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Uvođenje potpuno elektrificiranog i ekološki prihvatljivog sustava za prihvat i otpremu zrakoplova uključuje: i. uvođenje fiksnih priključaka za električno napajanje stacionarnih zrakoplova s potrebnim projektnim i sigurnosnim prilagodbama (bez povećanja kapaciteta stajanke); ii. zamjenu sve mobilne opreme koja koristi dizel gorivo jedinicama na električni pogon; iii. izgradnju fotonaponske elektrane snage 610 kW. </w:t>
            </w:r>
            <w:r>
              <w:rPr>
                <w:rFonts w:ascii="Calibri" w:hAnsi="Calibri"/>
                <w:noProof/>
                <w:color w:val="000000"/>
                <w:sz w:val="20"/>
              </w:rPr>
              <w:br/>
              <w:t>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(2021/C58/01). Posebno, projekt će se provesti bez povećanja kapaciteta stajanke, a sva pokretna zemaljska oprema na dizel gorivo zamijenit će se jedinicama na električni pogon. Dostavit će se dokazi da projekt nema bitan utjecaj na cjelovitost dotičnih područja mreže Natura 2000.</w:t>
            </w:r>
          </w:p>
        </w:tc>
      </w:tr>
      <w:tr w:rsidR="000E63A9" w:rsidRPr="008B6B47" w14:paraId="10969918"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2BC9F12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119</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7D3516E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R5-I2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78BD269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0B7E3405"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Verifikacijski prototipovi potpuno autonomnih i električnih vozila te odgovarajuće testiranje</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039E4A1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6A8DC0A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5B25A90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4ED1646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5204AEF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18B9D9E8" w14:textId="6B5CD6F4"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2CE96363"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Dovršena proizvodnja verifikacijskih prototipova, uključujući razvoj platforme za autonomna vozila i baterijskih sustava te testiranje prototipova i sustava za autonomnu vožnju</w:t>
            </w:r>
          </w:p>
        </w:tc>
      </w:tr>
      <w:tr w:rsidR="000E63A9" w:rsidRPr="008B6B47" w14:paraId="52711FC5"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7C7BF62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120</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3A9FE8A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R5-I2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3AC18A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1C3B2A1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propis o autonomnoj vožnji</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24CAA99F"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novog propisa o autonomnoj vožnji</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0DD9F68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7DD2801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0F89BCC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321C6CB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0783B8C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6355177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 propis o autonomnoj vožnji obuhvaćat će, među ostalim: </w:t>
            </w:r>
            <w:r>
              <w:rPr>
                <w:rFonts w:ascii="Calibri" w:hAnsi="Calibri"/>
                <w:noProof/>
                <w:color w:val="000000"/>
                <w:sz w:val="20"/>
              </w:rPr>
              <w:br/>
              <w:t>razvoj nacionalnog postupka testiranja za autonomnu vožnju,</w:t>
            </w:r>
            <w:r>
              <w:rPr>
                <w:rFonts w:ascii="Calibri" w:hAnsi="Calibri"/>
                <w:noProof/>
                <w:color w:val="000000"/>
                <w:sz w:val="20"/>
              </w:rPr>
              <w:br/>
              <w:t>prilagodbu nacionalnog zakonodavstva o sigurnosti na cestama kako bi se omogućilo uvođenje autonomnih vozila u prometu,</w:t>
            </w:r>
            <w:r>
              <w:rPr>
                <w:rFonts w:ascii="Calibri" w:hAnsi="Calibri"/>
                <w:noProof/>
                <w:color w:val="000000"/>
                <w:sz w:val="20"/>
              </w:rPr>
              <w:br/>
              <w:t>prilagodbu nacionalnih pravila o homologaciji vozila,</w:t>
            </w:r>
            <w:r>
              <w:rPr>
                <w:rFonts w:ascii="Calibri" w:hAnsi="Calibri"/>
                <w:noProof/>
                <w:color w:val="000000"/>
                <w:sz w:val="20"/>
              </w:rPr>
              <w:br/>
              <w:t>prilagodbu pravila o sigurnosti putnika u cestovnom prometu kako bi se omogućio prijevoz putnika autonomnim vozilima,</w:t>
            </w:r>
            <w:r>
              <w:rPr>
                <w:rFonts w:ascii="Calibri" w:hAnsi="Calibri"/>
                <w:noProof/>
                <w:color w:val="000000"/>
                <w:sz w:val="20"/>
              </w:rPr>
              <w:br/>
              <w:t>prilagodbu nacionalnog zakonodavstva o osiguranju kako bi se omogućilo osiguranje autonomnih vozila i usluga.</w:t>
            </w:r>
          </w:p>
        </w:tc>
      </w:tr>
      <w:tr w:rsidR="000E63A9" w:rsidRPr="008B6B47" w14:paraId="475D766D"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58DC9A9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121</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2244EE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R5-I2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65F3D3E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5615128B"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Dodjela potpore za istraživanje i razvoj projekta novog ekosustava urbane mobilnosti</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01753F3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0A07810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 (EUR)</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5CED545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17C96370" w14:textId="608457F2"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179 499 215</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23F888F8"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10AB5E4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194D5909"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Potpora će se dodijeliti isključivo za dio projekta koji se odnosi na istraživanje i razvoj, to jest faze obilježene dovršetkom početnog prototipa potpuno autonomnog električnog vozila i početkom rada na razvoju verifikacijskih prototipova, koji će imati sva obilježja finalnog vozila. Stoga se potpora odnosi na primijenjeno istraživanje, u prvom redu industrijsko istraživanje i eksperimentalni razvoj.</w:t>
            </w:r>
          </w:p>
        </w:tc>
      </w:tr>
      <w:tr w:rsidR="000E63A9" w:rsidRPr="008B6B47" w14:paraId="063E7B55"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67950A5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122</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5BBB78A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R5-I2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210D44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1AAD267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Potpuno autonomna električna vozila prilagođena potrebama putnika s invaliditetom i specijalizirana infrastruktura </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7FA9D901"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Proizvedena su potpuno autonomna električna vozila prilagođena potrebama putnika s invaliditetom; specijalizirana infrastruktura operativna je, sve su funkcije instalirane</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31F6EE8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692991E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7AD0059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1974540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1EC8F52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1E7193C4" w14:textId="77777777" w:rsidR="00733DCA" w:rsidRPr="008B6B47" w:rsidRDefault="00733DCA" w:rsidP="0001477B">
            <w:pPr>
              <w:spacing w:after="0" w:line="276" w:lineRule="auto"/>
              <w:rPr>
                <w:rFonts w:ascii="Times New Roman" w:eastAsia="Calibri" w:hAnsi="Times New Roman" w:cs="Times New Roman"/>
                <w:noProof/>
                <w:sz w:val="20"/>
                <w:szCs w:val="20"/>
              </w:rPr>
            </w:pPr>
            <w:r>
              <w:rPr>
                <w:rFonts w:ascii="Calibri" w:hAnsi="Calibri"/>
                <w:noProof/>
                <w:color w:val="000000"/>
                <w:sz w:val="20"/>
              </w:rPr>
              <w:t>Specijalizirana infrastruktura za potpuno autonomna električna vozila potpuno je operativna i sve su funkcije instalirane, što omogućava rad potpuno autonomnih novih električnih vozila što je moguće više prilagođenih potrebama putnika s invaliditetom (široka klizna vrata za lakši ulazak u vozilo; prtljažnik u koji se mogu spremiti invalidska kolica).</w:t>
            </w:r>
          </w:p>
        </w:tc>
      </w:tr>
      <w:tr w:rsidR="000E63A9" w:rsidRPr="008B6B47" w14:paraId="46C7EE94"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260E170A"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123</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0596A617"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R5-I2</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7F6E707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4ADD29DF"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Osobama s invaliditetom izdano 50 000 besplatnih vaučera za putovanja potpuno autonomnim vozilima koji će vrijediti najmanje pet godina nakon izdavanja </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219C231C"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7DFBAD8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3B3C20E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0CC62AB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50 000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29605856"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7029B022"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0A5700D7"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Nakon izgradnje potpuno novih autonomnih vozila osobama s invaliditetom i/ili osobama koje nailaze na poteškoće u korištenju drugih vrsta javnog prijevoza, u dogovoru s Gradom Zagrebom i operaterom javnog prijevoza, izdat će se 50 000 besplatnih vaučera za vožnju koji će vrijediti najmanje pet godina nakon izdavanja. </w:t>
            </w:r>
          </w:p>
        </w:tc>
      </w:tr>
      <w:tr w:rsidR="000E63A9" w:rsidRPr="008B6B47" w14:paraId="2E7E02CD" w14:textId="77777777" w:rsidTr="00274621">
        <w:trPr>
          <w:jc w:val="center"/>
        </w:trPr>
        <w:tc>
          <w:tcPr>
            <w:tcW w:w="764" w:type="dxa"/>
            <w:tcBorders>
              <w:top w:val="single" w:sz="4" w:space="0" w:color="auto"/>
              <w:left w:val="single" w:sz="4" w:space="0" w:color="auto"/>
              <w:bottom w:val="single" w:sz="4" w:space="0" w:color="auto"/>
              <w:right w:val="single" w:sz="4" w:space="0" w:color="auto"/>
            </w:tcBorders>
            <w:shd w:val="clear" w:color="auto" w:fill="C6EFCE"/>
            <w:noWrap/>
          </w:tcPr>
          <w:p w14:paraId="7F187FA0"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124</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69E5117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R5-I3</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13DCC5B3"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68" w:type="dxa"/>
            <w:tcBorders>
              <w:top w:val="single" w:sz="4" w:space="0" w:color="auto"/>
              <w:left w:val="single" w:sz="4" w:space="0" w:color="auto"/>
              <w:bottom w:val="single" w:sz="4" w:space="0" w:color="auto"/>
              <w:right w:val="single" w:sz="4" w:space="0" w:color="auto"/>
            </w:tcBorders>
            <w:shd w:val="clear" w:color="auto" w:fill="C6EFCE"/>
            <w:noWrap/>
          </w:tcPr>
          <w:p w14:paraId="17991CFA"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Sufinancirana nabava 2 000 cestovnih vozila na alternativni pogon (električna energija ili vodik)</w:t>
            </w:r>
          </w:p>
        </w:tc>
        <w:tc>
          <w:tcPr>
            <w:tcW w:w="1931" w:type="dxa"/>
            <w:tcBorders>
              <w:top w:val="single" w:sz="4" w:space="0" w:color="auto"/>
              <w:left w:val="single" w:sz="4" w:space="0" w:color="auto"/>
              <w:bottom w:val="single" w:sz="4" w:space="0" w:color="auto"/>
              <w:right w:val="single" w:sz="4" w:space="0" w:color="auto"/>
            </w:tcBorders>
            <w:shd w:val="clear" w:color="auto" w:fill="C6EFCE"/>
            <w:noWrap/>
          </w:tcPr>
          <w:p w14:paraId="67F95818"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single" w:sz="4" w:space="0" w:color="auto"/>
              <w:bottom w:val="single" w:sz="4" w:space="0" w:color="auto"/>
              <w:right w:val="single" w:sz="4" w:space="0" w:color="auto"/>
            </w:tcBorders>
            <w:shd w:val="clear" w:color="auto" w:fill="C6EFCE"/>
            <w:noWrap/>
          </w:tcPr>
          <w:p w14:paraId="63B5702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single" w:sz="4" w:space="0" w:color="auto"/>
              <w:bottom w:val="single" w:sz="4" w:space="0" w:color="auto"/>
              <w:right w:val="single" w:sz="4" w:space="0" w:color="auto"/>
            </w:tcBorders>
            <w:shd w:val="clear" w:color="auto" w:fill="C6EFCE"/>
            <w:noWrap/>
          </w:tcPr>
          <w:p w14:paraId="429D57E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178" w:type="dxa"/>
            <w:tcBorders>
              <w:top w:val="single" w:sz="4" w:space="0" w:color="auto"/>
              <w:left w:val="single" w:sz="4" w:space="0" w:color="auto"/>
              <w:bottom w:val="single" w:sz="4" w:space="0" w:color="auto"/>
              <w:right w:val="single" w:sz="4" w:space="0" w:color="auto"/>
            </w:tcBorders>
            <w:shd w:val="clear" w:color="auto" w:fill="C6EFCE"/>
            <w:noWrap/>
          </w:tcPr>
          <w:p w14:paraId="2942CFF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2 000</w:t>
            </w:r>
          </w:p>
        </w:tc>
        <w:tc>
          <w:tcPr>
            <w:tcW w:w="425" w:type="dxa"/>
            <w:tcBorders>
              <w:top w:val="single" w:sz="4" w:space="0" w:color="auto"/>
              <w:left w:val="single" w:sz="4" w:space="0" w:color="auto"/>
              <w:bottom w:val="single" w:sz="4" w:space="0" w:color="auto"/>
              <w:right w:val="single" w:sz="4" w:space="0" w:color="auto"/>
            </w:tcBorders>
            <w:shd w:val="clear" w:color="auto" w:fill="C6EFCE"/>
            <w:noWrap/>
          </w:tcPr>
          <w:p w14:paraId="0330879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77CEEF1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942" w:type="dxa"/>
            <w:tcBorders>
              <w:top w:val="single" w:sz="4" w:space="0" w:color="auto"/>
              <w:left w:val="single" w:sz="4" w:space="0" w:color="auto"/>
              <w:bottom w:val="single" w:sz="4" w:space="0" w:color="auto"/>
              <w:right w:val="single" w:sz="4" w:space="0" w:color="auto"/>
            </w:tcBorders>
            <w:shd w:val="clear" w:color="auto" w:fill="C6EFCE"/>
            <w:noWrap/>
          </w:tcPr>
          <w:p w14:paraId="58B83960"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Nakon objave i provedbe odluke o odabiru bit će sufinancirano 2 000 novih cestovnih vozila na alternativni pogon (električna energija ili vodik).</w:t>
            </w:r>
          </w:p>
        </w:tc>
      </w:tr>
    </w:tbl>
    <w:p w14:paraId="0A23BF0E" w14:textId="77777777" w:rsidR="00733DCA" w:rsidRPr="00BC0323" w:rsidRDefault="00733DCA" w:rsidP="0001477B">
      <w:pPr>
        <w:spacing w:before="120" w:after="120" w:line="240" w:lineRule="auto"/>
        <w:ind w:left="709"/>
        <w:jc w:val="both"/>
        <w:rPr>
          <w:rFonts w:ascii="Times New Roman" w:eastAsia="Calibri" w:hAnsi="Times New Roman" w:cs="Times New Roman"/>
          <w:noProof/>
          <w:sz w:val="24"/>
          <w:szCs w:val="24"/>
        </w:rPr>
      </w:pPr>
    </w:p>
    <w:p w14:paraId="1865291F" w14:textId="77777777" w:rsidR="00733DCA" w:rsidRPr="00BC0323" w:rsidRDefault="00733DCA">
      <w:pPr>
        <w:rPr>
          <w:noProof/>
        </w:rPr>
      </w:pPr>
    </w:p>
    <w:p w14:paraId="7BE7441A" w14:textId="77777777" w:rsidR="00733DCA" w:rsidRPr="00BC0323" w:rsidRDefault="00733DCA">
      <w:pPr>
        <w:rPr>
          <w:noProof/>
        </w:rPr>
        <w:sectPr w:rsidR="00733DCA" w:rsidRPr="00BC0323" w:rsidSect="0001477B">
          <w:headerReference w:type="even" r:id="rId84"/>
          <w:headerReference w:type="default" r:id="rId85"/>
          <w:footerReference w:type="even" r:id="rId86"/>
          <w:footerReference w:type="default" r:id="rId87"/>
          <w:headerReference w:type="first" r:id="rId88"/>
          <w:footerReference w:type="first" r:id="rId89"/>
          <w:pgSz w:w="15840" w:h="12240" w:orient="landscape"/>
          <w:pgMar w:top="1440" w:right="1440" w:bottom="1440" w:left="1440" w:header="708" w:footer="708" w:gutter="0"/>
          <w:cols w:space="708"/>
          <w:docGrid w:linePitch="360"/>
        </w:sectPr>
      </w:pPr>
    </w:p>
    <w:p w14:paraId="355CB80D"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D.3. </w:t>
      </w:r>
      <w:r>
        <w:rPr>
          <w:rStyle w:val="tabchar"/>
          <w:rFonts w:ascii="Calibri" w:hAnsi="Calibri"/>
          <w:noProof/>
        </w:rPr>
        <w:tab/>
      </w:r>
      <w:r>
        <w:rPr>
          <w:rStyle w:val="normaltextrun"/>
          <w:b/>
          <w:noProof/>
        </w:rPr>
        <w:t>Opis reformi i ulaganja za zajam </w:t>
      </w:r>
      <w:r>
        <w:rPr>
          <w:rStyle w:val="eop"/>
          <w:noProof/>
        </w:rPr>
        <w:t> </w:t>
      </w:r>
    </w:p>
    <w:p w14:paraId="41C58D20" w14:textId="77777777" w:rsidR="00733DCA" w:rsidRPr="00BC0323" w:rsidRDefault="00733DCA" w:rsidP="0001477B">
      <w:pPr>
        <w:pStyle w:val="paragraph"/>
        <w:spacing w:before="0" w:beforeAutospacing="0" w:after="0" w:afterAutospacing="0"/>
        <w:ind w:left="840"/>
        <w:jc w:val="both"/>
        <w:textAlignment w:val="baseline"/>
        <w:rPr>
          <w:rStyle w:val="normaltextrun"/>
          <w:noProof/>
        </w:rPr>
      </w:pPr>
    </w:p>
    <w:p w14:paraId="52C3DA1E"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R1-I1– Elektronički sustav naplate cestarine</w:t>
      </w:r>
    </w:p>
    <w:p w14:paraId="3E939467"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Cilj je ulaganja uvesti novi elektronički sustav naplate cestarine kako bi se unaprijedio sustav naplate cestare za autoceste kojima upravljaju Hrvatske autoceste d.o.o., Autocesta Zagreb–Macelj (AZM) i BINA Istra. Korisnici će moći putovati bez stajanja na naplatnim postajama, a očekuje se da će to pozitivno utjecati na zastoj u cestovnom prometu, zaštitu okoliša i sigurnost cestovnog prometa. Ulaganje obuhvaća mjere za rješavanje tehničkih problema koji proizlaze iz zastarjelosti trenutačnog sustava naplate cestarine i za osiguravanje interoperabilnosti novog sustava naplate s postojećim elektroničkim sustavima naplate u EU-u. </w:t>
      </w:r>
    </w:p>
    <w:p w14:paraId="3EB115A6"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30. lipnja 2026.</w:t>
      </w:r>
    </w:p>
    <w:p w14:paraId="2A98602A"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C1.4. R2-I1 – Rekonstrukcija postojećeg i izgradnja drugog kolosijeka željezničke pruge na dionici Dugo Selo-Novska, poddionica Kutina-Novska (faza D)</w:t>
      </w:r>
    </w:p>
    <w:p w14:paraId="32AE0373" w14:textId="77777777" w:rsidR="00733DCA" w:rsidRPr="008B6B4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Cilj je ulaganja nadograditi i obnoviti postojeći te izgraditi novi kolosijek, ukupne duljine 22 km, na dionicama željezničke pruge Dugo Selo-Novska, poddionica Kutina-Novska s ciljem izgradnje dvokolosiječne elektrificirane pruge duž cijelog bivšeg Paneuropskog koridora X (RH1), koji se ujedno nalazi na Osnovnoj mreži transeuropske prometne mreže (TEN-T) i na željezničko-teretnom koridoru Alpe-Zapadni Balkan. Provedba ulaganja doprinijet će tome da cijela dionica koridora RH1 koja prolazi kroz Hrvatsku bude dvokolosiječna, elektrificirana, u skladu s tehničkim standardima za interoperabilnost željezničkog sustava TEN-T. </w:t>
      </w:r>
    </w:p>
    <w:p w14:paraId="58C72499" w14:textId="77777777" w:rsidR="00733DCA" w:rsidRPr="008B6B47" w:rsidRDefault="00733DCA" w:rsidP="0001477B">
      <w:pPr>
        <w:spacing w:after="200" w:line="240" w:lineRule="auto"/>
        <w:jc w:val="both"/>
        <w:rPr>
          <w:rFonts w:ascii="Calibri" w:eastAsia="Calibri" w:hAnsi="Calibri" w:cs="Arial"/>
          <w:noProof/>
        </w:rPr>
      </w:pPr>
      <w:r>
        <w:rPr>
          <w:rFonts w:ascii="Times New Roman" w:hAnsi="Times New Roman"/>
          <w:noProof/>
          <w:sz w:val="24"/>
        </w:rPr>
        <w:t>Ulaganje će biti dovršeno do 30. lipnja 2026.</w:t>
      </w:r>
    </w:p>
    <w:p w14:paraId="6AD3E8E8" w14:textId="77777777" w:rsidR="00733DCA" w:rsidRDefault="00733DCA" w:rsidP="0001477B">
      <w:pPr>
        <w:pStyle w:val="paragraph"/>
        <w:spacing w:before="0" w:beforeAutospacing="0" w:after="0" w:afterAutospacing="0"/>
        <w:jc w:val="both"/>
        <w:textAlignment w:val="baseline"/>
        <w:rPr>
          <w:rStyle w:val="eop"/>
          <w:noProof/>
        </w:rPr>
      </w:pPr>
    </w:p>
    <w:p w14:paraId="5E9AF8A0"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7A410523" w14:textId="77777777" w:rsidR="00733DCA" w:rsidRDefault="00733DCA" w:rsidP="0001477B">
      <w:pPr>
        <w:pStyle w:val="paragraph"/>
        <w:spacing w:before="0" w:beforeAutospacing="0" w:after="0" w:afterAutospacing="0"/>
        <w:ind w:left="840"/>
        <w:jc w:val="both"/>
        <w:textAlignment w:val="baseline"/>
        <w:rPr>
          <w:rStyle w:val="normaltextrun"/>
          <w:b/>
          <w:bCs/>
          <w:noProof/>
          <w:lang w:val="en-GB"/>
        </w:rPr>
        <w:sectPr w:rsidR="00733DCA" w:rsidSect="0001477B">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08" w:footer="708" w:gutter="0"/>
          <w:cols w:space="708"/>
          <w:docGrid w:linePitch="360"/>
        </w:sectPr>
      </w:pPr>
    </w:p>
    <w:p w14:paraId="2B6F08F3"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D.4.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p w14:paraId="5DB72838" w14:textId="068BD311" w:rsidR="00733DCA" w:rsidRDefault="00733DCA" w:rsidP="0001477B">
      <w:pPr>
        <w:pStyle w:val="paragraph"/>
        <w:spacing w:before="0" w:beforeAutospacing="0" w:after="0" w:afterAutospacing="0"/>
        <w:ind w:left="840"/>
        <w:jc w:val="both"/>
        <w:textAlignment w:val="baseline"/>
        <w:rPr>
          <w:rStyle w:val="normaltextrun"/>
          <w:i/>
          <w:iCs/>
          <w:noProof/>
          <w:color w:val="4F81BD"/>
          <w:lang w:val="en-GB"/>
        </w:rPr>
      </w:pPr>
    </w:p>
    <w:tbl>
      <w:tblPr>
        <w:tblW w:w="15485" w:type="dxa"/>
        <w:jc w:val="center"/>
        <w:tblCellMar>
          <w:top w:w="28" w:type="dxa"/>
          <w:left w:w="28" w:type="dxa"/>
          <w:bottom w:w="28" w:type="dxa"/>
          <w:right w:w="28" w:type="dxa"/>
        </w:tblCellMar>
        <w:tblLook w:val="04A0" w:firstRow="1" w:lastRow="0" w:firstColumn="1" w:lastColumn="0" w:noHBand="0" w:noVBand="1"/>
      </w:tblPr>
      <w:tblGrid>
        <w:gridCol w:w="1241"/>
        <w:gridCol w:w="850"/>
        <w:gridCol w:w="871"/>
        <w:gridCol w:w="2259"/>
        <w:gridCol w:w="1717"/>
        <w:gridCol w:w="1168"/>
        <w:gridCol w:w="836"/>
        <w:gridCol w:w="1059"/>
        <w:gridCol w:w="425"/>
        <w:gridCol w:w="709"/>
        <w:gridCol w:w="4381"/>
      </w:tblGrid>
      <w:tr w:rsidR="00733DCA" w:rsidRPr="008B6B47" w14:paraId="13E5269B" w14:textId="77777777" w:rsidTr="003752C8">
        <w:trPr>
          <w:tblHeader/>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68ED34B"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04CD41D"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E723DA4"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FB3A600"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9F43DA6"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Calibri" w:hAnsi="Calibri"/>
                <w:noProof/>
              </w:rPr>
              <w:br/>
            </w:r>
            <w:r>
              <w:rPr>
                <w:rFonts w:ascii="Times New Roman" w:hAnsi="Times New Roman"/>
                <w:b/>
                <w:noProof/>
                <w:sz w:val="18"/>
              </w:rPr>
              <w:t>(za ključne etape)</w:t>
            </w:r>
          </w:p>
        </w:tc>
        <w:tc>
          <w:tcPr>
            <w:tcW w:w="3053"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79EDAF24"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Calibri" w:hAnsi="Calibri"/>
                <w:noProof/>
              </w:rPr>
              <w:br/>
            </w:r>
            <w:r>
              <w:rPr>
                <w:rFonts w:ascii="Times New Roman" w:hAnsi="Times New Roman"/>
                <w:b/>
                <w:noProof/>
                <w:sz w:val="18"/>
              </w:rPr>
              <w:t>(za ciljne vrijednosti)</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2E64EDDE"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381"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710625CD"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733DCA" w:rsidRPr="008B6B47" w14:paraId="0A1A2031" w14:textId="77777777" w:rsidTr="003752C8">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14:paraId="5906C8F8"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7458C8ED"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0D212F73"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4D26124A"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48986D9C"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hideMark/>
          </w:tcPr>
          <w:p w14:paraId="1AB1D383"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hideMark/>
          </w:tcPr>
          <w:p w14:paraId="330C1A43"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1059" w:type="dxa"/>
            <w:tcBorders>
              <w:top w:val="nil"/>
              <w:left w:val="nil"/>
              <w:bottom w:val="single" w:sz="4" w:space="0" w:color="auto"/>
              <w:right w:val="single" w:sz="4" w:space="0" w:color="auto"/>
            </w:tcBorders>
            <w:shd w:val="clear" w:color="auto" w:fill="BDD7EE"/>
            <w:hideMark/>
          </w:tcPr>
          <w:p w14:paraId="725855BA"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hideMark/>
          </w:tcPr>
          <w:p w14:paraId="41DDB529"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nil"/>
              <w:left w:val="nil"/>
              <w:bottom w:val="single" w:sz="4" w:space="0" w:color="auto"/>
              <w:right w:val="single" w:sz="4" w:space="0" w:color="auto"/>
            </w:tcBorders>
            <w:shd w:val="clear" w:color="auto" w:fill="BDD7EE"/>
            <w:hideMark/>
          </w:tcPr>
          <w:p w14:paraId="717BB1A5" w14:textId="77777777" w:rsidR="00733DCA" w:rsidRPr="008B6B4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381" w:type="dxa"/>
            <w:vMerge/>
            <w:tcBorders>
              <w:top w:val="single" w:sz="4" w:space="0" w:color="auto"/>
              <w:bottom w:val="single" w:sz="4" w:space="0" w:color="auto"/>
              <w:right w:val="single" w:sz="4" w:space="0" w:color="auto"/>
            </w:tcBorders>
            <w:hideMark/>
          </w:tcPr>
          <w:p w14:paraId="315AF949" w14:textId="77777777" w:rsidR="00733DCA" w:rsidRPr="008B6B47" w:rsidRDefault="00733DCA" w:rsidP="0001477B">
            <w:pPr>
              <w:spacing w:after="0" w:line="276" w:lineRule="auto"/>
              <w:rPr>
                <w:rFonts w:ascii="Times New Roman" w:eastAsia="Times New Roman" w:hAnsi="Times New Roman" w:cs="Times New Roman"/>
                <w:b/>
                <w:noProof/>
                <w:lang w:val="en-IE" w:eastAsia="en-GB"/>
              </w:rPr>
            </w:pPr>
          </w:p>
        </w:tc>
      </w:tr>
      <w:tr w:rsidR="00733DCA" w:rsidRPr="008B6B47" w14:paraId="3FA32965" w14:textId="77777777" w:rsidTr="003752C8">
        <w:trPr>
          <w:jc w:val="center"/>
        </w:trPr>
        <w:tc>
          <w:tcPr>
            <w:tcW w:w="1241" w:type="dxa"/>
            <w:tcBorders>
              <w:top w:val="single" w:sz="4" w:space="0" w:color="auto"/>
              <w:left w:val="single" w:sz="4" w:space="0" w:color="auto"/>
              <w:bottom w:val="single" w:sz="4" w:space="0" w:color="auto"/>
              <w:right w:val="single" w:sz="4" w:space="0" w:color="auto"/>
            </w:tcBorders>
            <w:shd w:val="clear" w:color="auto" w:fill="C6EFCE"/>
            <w:noWrap/>
          </w:tcPr>
          <w:p w14:paraId="2751B3E5" w14:textId="1A1C4B9C" w:rsidR="00733DCA" w:rsidRPr="00D4138A" w:rsidRDefault="00733DCA" w:rsidP="00D4138A">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93</w:t>
            </w:r>
          </w:p>
        </w:tc>
        <w:tc>
          <w:tcPr>
            <w:tcW w:w="850" w:type="dxa"/>
            <w:tcBorders>
              <w:top w:val="single" w:sz="4" w:space="0" w:color="auto"/>
              <w:left w:val="nil"/>
              <w:bottom w:val="single" w:sz="4" w:space="0" w:color="auto"/>
              <w:right w:val="single" w:sz="4" w:space="0" w:color="auto"/>
            </w:tcBorders>
            <w:shd w:val="clear" w:color="auto" w:fill="C6EFCE"/>
            <w:noWrap/>
          </w:tcPr>
          <w:p w14:paraId="046F259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R1-I1</w:t>
            </w:r>
          </w:p>
        </w:tc>
        <w:tc>
          <w:tcPr>
            <w:tcW w:w="850" w:type="dxa"/>
            <w:tcBorders>
              <w:top w:val="single" w:sz="4" w:space="0" w:color="auto"/>
              <w:left w:val="nil"/>
              <w:bottom w:val="single" w:sz="4" w:space="0" w:color="auto"/>
              <w:right w:val="single" w:sz="4" w:space="0" w:color="auto"/>
            </w:tcBorders>
            <w:shd w:val="clear" w:color="auto" w:fill="C6EFCE"/>
            <w:noWrap/>
          </w:tcPr>
          <w:p w14:paraId="3702040C"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59" w:type="dxa"/>
            <w:tcBorders>
              <w:top w:val="single" w:sz="4" w:space="0" w:color="auto"/>
              <w:left w:val="nil"/>
              <w:bottom w:val="single" w:sz="4" w:space="0" w:color="auto"/>
              <w:right w:val="single" w:sz="4" w:space="0" w:color="auto"/>
            </w:tcBorders>
            <w:shd w:val="clear" w:color="auto" w:fill="C6EFCE"/>
            <w:noWrap/>
          </w:tcPr>
          <w:p w14:paraId="6362134E"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elektronički sustav naplate cestarine</w:t>
            </w:r>
          </w:p>
        </w:tc>
        <w:tc>
          <w:tcPr>
            <w:tcW w:w="1717" w:type="dxa"/>
            <w:tcBorders>
              <w:top w:val="single" w:sz="4" w:space="0" w:color="auto"/>
              <w:left w:val="nil"/>
              <w:bottom w:val="single" w:sz="4" w:space="0" w:color="auto"/>
              <w:right w:val="single" w:sz="4" w:space="0" w:color="auto"/>
            </w:tcBorders>
            <w:shd w:val="clear" w:color="auto" w:fill="C6EFCE"/>
            <w:noWrap/>
          </w:tcPr>
          <w:p w14:paraId="448B7419" w14:textId="77777777" w:rsidR="00733DCA" w:rsidRPr="007A6A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Uspostavljen i operativan novi sustav elektroničke naplate cestarine na cjelokupnoj mreži autocesta u Hrvatskoj</w:t>
            </w:r>
          </w:p>
        </w:tc>
        <w:tc>
          <w:tcPr>
            <w:tcW w:w="1168" w:type="dxa"/>
            <w:tcBorders>
              <w:top w:val="single" w:sz="4" w:space="0" w:color="auto"/>
              <w:left w:val="nil"/>
              <w:bottom w:val="single" w:sz="4" w:space="0" w:color="auto"/>
              <w:right w:val="single" w:sz="4" w:space="0" w:color="auto"/>
            </w:tcBorders>
            <w:shd w:val="clear" w:color="auto" w:fill="C6EFCE"/>
            <w:noWrap/>
          </w:tcPr>
          <w:p w14:paraId="34F1B7FA" w14:textId="77777777" w:rsidR="00733DCA" w:rsidRPr="00BC0323" w:rsidRDefault="00733DCA" w:rsidP="0001477B">
            <w:pPr>
              <w:spacing w:after="200" w:line="276" w:lineRule="auto"/>
              <w:jc w:val="center"/>
              <w:rPr>
                <w:rFonts w:ascii="Times New Roman" w:eastAsia="Calibri" w:hAnsi="Times New Roman" w:cs="Times New Roman"/>
                <w:noProof/>
                <w:sz w:val="20"/>
                <w:szCs w:val="20"/>
              </w:rPr>
            </w:pPr>
          </w:p>
        </w:tc>
        <w:tc>
          <w:tcPr>
            <w:tcW w:w="826" w:type="dxa"/>
            <w:tcBorders>
              <w:top w:val="single" w:sz="4" w:space="0" w:color="auto"/>
              <w:left w:val="nil"/>
              <w:bottom w:val="single" w:sz="4" w:space="0" w:color="auto"/>
              <w:right w:val="single" w:sz="4" w:space="0" w:color="auto"/>
            </w:tcBorders>
            <w:shd w:val="clear" w:color="auto" w:fill="C6EFCE"/>
            <w:noWrap/>
          </w:tcPr>
          <w:p w14:paraId="382BC3F1" w14:textId="77777777" w:rsidR="00733DCA" w:rsidRPr="00BC0323" w:rsidRDefault="00733DCA" w:rsidP="0001477B">
            <w:pPr>
              <w:spacing w:after="200" w:line="276" w:lineRule="auto"/>
              <w:jc w:val="center"/>
              <w:rPr>
                <w:rFonts w:ascii="Times New Roman" w:eastAsia="Calibri" w:hAnsi="Times New Roman" w:cs="Times New Roman"/>
                <w:noProof/>
                <w:sz w:val="20"/>
                <w:szCs w:val="20"/>
              </w:rPr>
            </w:pPr>
          </w:p>
        </w:tc>
        <w:tc>
          <w:tcPr>
            <w:tcW w:w="1059" w:type="dxa"/>
            <w:tcBorders>
              <w:top w:val="single" w:sz="4" w:space="0" w:color="auto"/>
              <w:left w:val="nil"/>
              <w:bottom w:val="single" w:sz="4" w:space="0" w:color="auto"/>
              <w:right w:val="single" w:sz="4" w:space="0" w:color="auto"/>
            </w:tcBorders>
            <w:shd w:val="clear" w:color="auto" w:fill="C6EFCE"/>
            <w:noWrap/>
          </w:tcPr>
          <w:p w14:paraId="0208D164" w14:textId="77777777" w:rsidR="00733DCA" w:rsidRPr="00BC0323" w:rsidRDefault="00733DCA" w:rsidP="0001477B">
            <w:pPr>
              <w:spacing w:after="200" w:line="276" w:lineRule="auto"/>
              <w:jc w:val="center"/>
              <w:rPr>
                <w:rFonts w:ascii="Times New Roman" w:eastAsia="Calibri" w:hAnsi="Times New Roman" w:cs="Times New Roman"/>
                <w:noProof/>
                <w:sz w:val="20"/>
                <w:szCs w:val="20"/>
              </w:rPr>
            </w:pPr>
          </w:p>
        </w:tc>
        <w:tc>
          <w:tcPr>
            <w:tcW w:w="425" w:type="dxa"/>
            <w:tcBorders>
              <w:top w:val="single" w:sz="4" w:space="0" w:color="auto"/>
              <w:left w:val="nil"/>
              <w:bottom w:val="single" w:sz="4" w:space="0" w:color="auto"/>
              <w:right w:val="single" w:sz="4" w:space="0" w:color="auto"/>
            </w:tcBorders>
            <w:shd w:val="clear" w:color="auto" w:fill="C6EFCE"/>
            <w:noWrap/>
          </w:tcPr>
          <w:p w14:paraId="27559ED4"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1ABAF90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381" w:type="dxa"/>
            <w:tcBorders>
              <w:top w:val="single" w:sz="4" w:space="0" w:color="auto"/>
              <w:left w:val="nil"/>
              <w:bottom w:val="single" w:sz="4" w:space="0" w:color="auto"/>
              <w:right w:val="single" w:sz="4" w:space="0" w:color="auto"/>
            </w:tcBorders>
            <w:shd w:val="clear" w:color="auto" w:fill="C6EFCE"/>
            <w:noWrap/>
          </w:tcPr>
          <w:p w14:paraId="11F002AC" w14:textId="77777777" w:rsidR="00733DCA" w:rsidRPr="007A6A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Ulaganjem se na autocestama kojima upravljaju Hrvatske autoceste d.o.o., Autocesta Zagreb–Macelj (AZM) i BINA Istra uvodi novi sustav elektroničke naplate cestarine na temelju rješenja slobodnog protoka s više voznih trakova (MLFF) bez zaustavljanja vozila s beskontaktnim načinima plaćanja, čime će se ukloniti postojeće naplatne postaje, riješiti velika zagušenost na naplatnim postajama u ljetnom razdoblju, omogućiti veća djelotvornost sustava zahvaljujući primjeni elektroničkih (beskontaktnih) načina plaćanja i smanjiti prekomjerni promet na alternativnim lokalnim cestama.</w:t>
            </w:r>
          </w:p>
        </w:tc>
      </w:tr>
      <w:tr w:rsidR="00733DCA" w:rsidRPr="008B6B47" w14:paraId="7A80BB0A" w14:textId="77777777" w:rsidTr="0001477B">
        <w:trPr>
          <w:jc w:val="center"/>
        </w:trPr>
        <w:tc>
          <w:tcPr>
            <w:tcW w:w="1241" w:type="dxa"/>
            <w:tcBorders>
              <w:top w:val="single" w:sz="4" w:space="0" w:color="auto"/>
              <w:left w:val="single" w:sz="4" w:space="0" w:color="auto"/>
              <w:bottom w:val="single" w:sz="4" w:space="0" w:color="auto"/>
              <w:right w:val="single" w:sz="4" w:space="0" w:color="auto"/>
            </w:tcBorders>
            <w:shd w:val="clear" w:color="auto" w:fill="C6EFCE"/>
            <w:noWrap/>
          </w:tcPr>
          <w:p w14:paraId="7177E845" w14:textId="762017D7" w:rsidR="00733DCA" w:rsidRPr="00D4138A" w:rsidRDefault="00733DCA" w:rsidP="00D4138A">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101</w:t>
            </w:r>
          </w:p>
        </w:tc>
        <w:tc>
          <w:tcPr>
            <w:tcW w:w="850" w:type="dxa"/>
            <w:tcBorders>
              <w:top w:val="single" w:sz="4" w:space="0" w:color="auto"/>
              <w:left w:val="nil"/>
              <w:bottom w:val="single" w:sz="4" w:space="0" w:color="auto"/>
              <w:right w:val="single" w:sz="4" w:space="0" w:color="auto"/>
            </w:tcBorders>
            <w:shd w:val="clear" w:color="auto" w:fill="C6EFCE"/>
            <w:noWrap/>
          </w:tcPr>
          <w:p w14:paraId="2016A47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C1.4. R2-I1</w:t>
            </w:r>
          </w:p>
        </w:tc>
        <w:tc>
          <w:tcPr>
            <w:tcW w:w="850" w:type="dxa"/>
            <w:tcBorders>
              <w:top w:val="single" w:sz="4" w:space="0" w:color="auto"/>
              <w:left w:val="nil"/>
              <w:bottom w:val="single" w:sz="4" w:space="0" w:color="auto"/>
              <w:right w:val="single" w:sz="4" w:space="0" w:color="auto"/>
            </w:tcBorders>
            <w:shd w:val="clear" w:color="auto" w:fill="C6EFCE"/>
            <w:noWrap/>
          </w:tcPr>
          <w:p w14:paraId="1FAF42D1"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59" w:type="dxa"/>
            <w:tcBorders>
              <w:top w:val="single" w:sz="4" w:space="0" w:color="auto"/>
              <w:left w:val="nil"/>
              <w:bottom w:val="single" w:sz="4" w:space="0" w:color="auto"/>
              <w:right w:val="single" w:sz="4" w:space="0" w:color="auto"/>
            </w:tcBorders>
            <w:shd w:val="clear" w:color="auto" w:fill="C6EFCE"/>
            <w:noWrap/>
          </w:tcPr>
          <w:p w14:paraId="21A31582"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Izgrađena i obnovljena dvokolosiječna elektrificirana pruga na dionici Dugo Selo-Novska, poddionica Kutina-Novska</w:t>
            </w:r>
          </w:p>
        </w:tc>
        <w:tc>
          <w:tcPr>
            <w:tcW w:w="1717" w:type="dxa"/>
            <w:tcBorders>
              <w:top w:val="single" w:sz="4" w:space="0" w:color="auto"/>
              <w:left w:val="nil"/>
              <w:bottom w:val="single" w:sz="4" w:space="0" w:color="auto"/>
              <w:right w:val="single" w:sz="4" w:space="0" w:color="auto"/>
            </w:tcBorders>
            <w:shd w:val="clear" w:color="auto" w:fill="C6EFCE"/>
            <w:noWrap/>
          </w:tcPr>
          <w:p w14:paraId="087CDDF1"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395B257E"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 (km)</w:t>
            </w:r>
          </w:p>
        </w:tc>
        <w:tc>
          <w:tcPr>
            <w:tcW w:w="826" w:type="dxa"/>
            <w:tcBorders>
              <w:top w:val="single" w:sz="4" w:space="0" w:color="auto"/>
              <w:left w:val="nil"/>
              <w:bottom w:val="single" w:sz="4" w:space="0" w:color="auto"/>
              <w:right w:val="single" w:sz="4" w:space="0" w:color="auto"/>
            </w:tcBorders>
            <w:shd w:val="clear" w:color="auto" w:fill="C6EFCE"/>
            <w:noWrap/>
          </w:tcPr>
          <w:p w14:paraId="78BA1C6D"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059" w:type="dxa"/>
            <w:tcBorders>
              <w:top w:val="single" w:sz="4" w:space="0" w:color="auto"/>
              <w:left w:val="nil"/>
              <w:bottom w:val="single" w:sz="4" w:space="0" w:color="auto"/>
              <w:right w:val="single" w:sz="4" w:space="0" w:color="auto"/>
            </w:tcBorders>
            <w:shd w:val="clear" w:color="auto" w:fill="C6EFCE"/>
            <w:noWrap/>
          </w:tcPr>
          <w:p w14:paraId="16E170A5"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w:t>
            </w:r>
          </w:p>
        </w:tc>
        <w:tc>
          <w:tcPr>
            <w:tcW w:w="425" w:type="dxa"/>
            <w:tcBorders>
              <w:top w:val="single" w:sz="4" w:space="0" w:color="auto"/>
              <w:left w:val="nil"/>
              <w:bottom w:val="single" w:sz="4" w:space="0" w:color="auto"/>
              <w:right w:val="single" w:sz="4" w:space="0" w:color="auto"/>
            </w:tcBorders>
            <w:shd w:val="clear" w:color="auto" w:fill="C6EFCE"/>
            <w:noWrap/>
          </w:tcPr>
          <w:p w14:paraId="61AB24E9"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7DB3D69B" w14:textId="77777777" w:rsidR="00733DCA" w:rsidRPr="008B6B4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381" w:type="dxa"/>
            <w:tcBorders>
              <w:top w:val="single" w:sz="4" w:space="0" w:color="auto"/>
              <w:left w:val="nil"/>
              <w:bottom w:val="single" w:sz="4" w:space="0" w:color="auto"/>
              <w:right w:val="single" w:sz="4" w:space="0" w:color="auto"/>
            </w:tcBorders>
            <w:shd w:val="clear" w:color="auto" w:fill="C6EFCE"/>
            <w:noWrap/>
          </w:tcPr>
          <w:p w14:paraId="773D01F3" w14:textId="77777777" w:rsidR="00733DCA" w:rsidRPr="008B6B4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Ulaganjem će se nadograditi i obnoviti postojeći i izgraditi novi kolosijek, ukupne duljine 22 km, na dionicama željezničke pruge Dugo Selo-Novska, poddionica Kutina-Novska s ciljem izgradnje dvokolosiječne elektrificirane pruge duž cijelog bivšeg Paneuropskog koridora X (RH1), koji se ujedno nalazi na Osnovnoj mreži TEN-T i na željezničko-teretnom koridoru Alpe-Zapadni Balkan.</w:t>
            </w:r>
            <w:r>
              <w:rPr>
                <w:rFonts w:ascii="Calibri" w:hAnsi="Calibri"/>
                <w:noProof/>
                <w:color w:val="000000"/>
                <w:sz w:val="20"/>
              </w:rPr>
              <w:br/>
              <w:t>Dostavit će se dokazi o usklađenosti s postupcima odobrenja na temelju procjene utjecaja na okoliš u skladu s Direktivom 2011/92/EU.</w:t>
            </w:r>
          </w:p>
        </w:tc>
      </w:tr>
    </w:tbl>
    <w:p w14:paraId="379460E6" w14:textId="77777777" w:rsidR="00733DCA" w:rsidRPr="007A6A07" w:rsidRDefault="00733DCA" w:rsidP="0001477B">
      <w:pPr>
        <w:pStyle w:val="paragraph"/>
        <w:spacing w:before="0" w:beforeAutospacing="0" w:after="0" w:afterAutospacing="0"/>
        <w:ind w:left="840"/>
        <w:jc w:val="both"/>
        <w:textAlignment w:val="baseline"/>
        <w:rPr>
          <w:rStyle w:val="normaltextrun"/>
          <w:i/>
          <w:iCs/>
          <w:noProof/>
          <w:color w:val="4F81BD"/>
        </w:rPr>
      </w:pPr>
    </w:p>
    <w:p w14:paraId="5256318B"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798BE985" w14:textId="77777777" w:rsidR="00E53234" w:rsidRPr="00BC0323" w:rsidRDefault="00E53234" w:rsidP="0001477B">
      <w:pPr>
        <w:spacing w:before="120" w:after="120" w:line="240" w:lineRule="auto"/>
        <w:ind w:left="709"/>
        <w:jc w:val="both"/>
        <w:rPr>
          <w:rFonts w:ascii="Times New Roman" w:eastAsia="Calibri" w:hAnsi="Times New Roman" w:cs="Times New Roman"/>
          <w:b/>
          <w:bCs/>
          <w:smallCaps/>
          <w:noProof/>
          <w:sz w:val="24"/>
          <w:szCs w:val="24"/>
        </w:rPr>
        <w:sectPr w:rsidR="00E53234" w:rsidRPr="00BC0323" w:rsidSect="0001477B">
          <w:headerReference w:type="even" r:id="rId96"/>
          <w:headerReference w:type="default" r:id="rId97"/>
          <w:footerReference w:type="even" r:id="rId98"/>
          <w:footerReference w:type="default" r:id="rId99"/>
          <w:headerReference w:type="first" r:id="rId100"/>
          <w:footerReference w:type="first" r:id="rId101"/>
          <w:pgSz w:w="15840" w:h="12240" w:orient="landscape"/>
          <w:pgMar w:top="1440" w:right="1440" w:bottom="1440" w:left="1440" w:header="708" w:footer="708" w:gutter="0"/>
          <w:cols w:space="708"/>
          <w:docGrid w:linePitch="360"/>
        </w:sectPr>
      </w:pPr>
    </w:p>
    <w:p w14:paraId="63100DEF" w14:textId="77777777" w:rsidR="00733DCA" w:rsidRPr="001032B7" w:rsidRDefault="00733DCA" w:rsidP="0001477B">
      <w:pPr>
        <w:spacing w:before="120" w:after="120" w:line="240" w:lineRule="auto"/>
        <w:ind w:left="709"/>
        <w:jc w:val="both"/>
        <w:rPr>
          <w:rFonts w:ascii="Times New Roman" w:eastAsia="Calibri" w:hAnsi="Times New Roman" w:cs="Times New Roman"/>
          <w:b/>
          <w:bCs/>
          <w:smallCaps/>
          <w:noProof/>
          <w:sz w:val="24"/>
          <w:szCs w:val="24"/>
        </w:rPr>
      </w:pPr>
      <w:r>
        <w:rPr>
          <w:rFonts w:ascii="Times New Roman" w:hAnsi="Times New Roman"/>
          <w:b/>
          <w:smallCaps/>
          <w:noProof/>
          <w:sz w:val="24"/>
        </w:rPr>
        <w:t>E. KOMPONENTA 1.5.: UNAPREĐENJE KORIŠTENJA PRIRODNIH RESURSA I JAČANJE LANCA OPSKRBE HRANOM</w:t>
      </w:r>
    </w:p>
    <w:p w14:paraId="79F3781E" w14:textId="77777777" w:rsidR="00733DCA" w:rsidRPr="001032B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ove komponente NPOO-a povećati prehrambenu sigurnost i konkurentnost hrvatskog poljoprivredno-prehrambenog sektora.</w:t>
      </w:r>
    </w:p>
    <w:p w14:paraId="0C53FF21" w14:textId="77777777" w:rsidR="00733DCA" w:rsidRPr="001032B7" w:rsidRDefault="00733DCA"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Komponenta se sastoji od: i. uspostava mreže logističke infrastrukture za jačanje proizvodno tržišnog lanca u sektoru voća i povrća; ii. sustava za restrukturiranje poljoprivrednog zemljišta i komasaciju; iii. razvijanje digitalnih rješenja u poljoprivrednom sektoru; i iv. unapređenje sustava doniranja hrane. </w:t>
      </w:r>
    </w:p>
    <w:p w14:paraId="0D6F3B94"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Komponentom se doprinosi ispunjenju preporuke za Hrvatsku o potrebi za poduzimanjem svih potrebnih mjera i učinkovitim odgovorom na pandemiju, održavanjem gospodarstva i pružanjem potpore oporavku (1. preporuka za Hrvatsku iz 2020.); o potrebi za povećanjem pristupa digitalnim uslugama (2. preporuka za Hrvatsku iz 2020.) i o davanju prednosti provedbi i financiranju javnih i potencijalnih javno-privatnih projekata ulaganja za potporu oporavku gospodarstva (3. preporuka za Hrvatsku iz 2020.).</w:t>
      </w:r>
    </w:p>
    <w:p w14:paraId="7F4D6525" w14:textId="77777777" w:rsidR="00733DCA" w:rsidRPr="001032B7"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E.1. </w:t>
      </w:r>
      <w:r>
        <w:rPr>
          <w:rFonts w:ascii="Times New Roman" w:hAnsi="Times New Roman"/>
          <w:b/>
          <w:noProof/>
          <w:sz w:val="24"/>
          <w:u w:val="single"/>
        </w:rPr>
        <w:tab/>
        <w:t>Opis reformi i ulaganja za programe bespovratne financijske potpore</w:t>
      </w:r>
    </w:p>
    <w:p w14:paraId="572E281D"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Reforma C1.5. R1 – Uspostava mreže logističke infrastrukture za jačanje proizvodno tržišnog lanca u sektoru voća i povrća</w:t>
      </w:r>
    </w:p>
    <w:p w14:paraId="20C5BB20"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organizirati i povezati ponudu malih poljoprivrednih gospodarstava kroz organizacije proizvođača radi poticanja udruživanja, suradnje te razmjene iskustava i znanja. Očekuje se da će se reformom poboljšati položaj poljoprivrednika u opskrbnim lancima, posebno u sektoru voća i povrća, te doprinijeti razvoju proizvoda s većom dodanom vrijednošću. Reforma uključuje Vladino donošenje Operativnog programa jačanja tržišnog kapaciteta sektora voća i povrća za razdoblje 2021.–2026.</w:t>
      </w:r>
    </w:p>
    <w:p w14:paraId="5CA88541"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30. lipnja 2026.</w:t>
      </w:r>
    </w:p>
    <w:p w14:paraId="480CE528"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C1.5. R1-I1 – Izgradnja i opremanje logističko-distributivnih centara za voće i povrće</w:t>
      </w:r>
    </w:p>
    <w:p w14:paraId="31C00181"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poboljšati konkurentnost sektora izgradnjom i opremanjem logističko-distributivne infrastrukture za voće i povrće. Distribucijski centar imat kapacitet od minimalno 3 000 tona skladišnog prostora i tome prilagođenog logističkog prostora do maksimalno 12 000 tona skladišnog prostora i tome prilagođenog logističkog prostora. Izgrađeni logističko-distribucijski centri koristit će obnovljive izvore energije i doprinijeti smanjenju otpada i rasipanja hrane.</w:t>
      </w:r>
    </w:p>
    <w:p w14:paraId="2E0680C4"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4A869CF2" w14:textId="77777777" w:rsidR="00733DCA" w:rsidRPr="001032B7" w:rsidRDefault="00733DCA" w:rsidP="0001477B">
      <w:pPr>
        <w:keepNext/>
        <w:numPr>
          <w:ilvl w:val="2"/>
          <w:numId w:val="0"/>
        </w:numPr>
        <w:spacing w:before="120" w:after="120" w:line="240" w:lineRule="auto"/>
        <w:ind w:left="850"/>
        <w:jc w:val="both"/>
        <w:outlineLvl w:val="2"/>
        <w:rPr>
          <w:rFonts w:ascii="Times New Roman" w:eastAsia="SimSun" w:hAnsi="Times New Roman" w:cs="Times New Roman"/>
          <w:bCs/>
          <w:i/>
          <w:noProof/>
          <w:sz w:val="24"/>
        </w:rPr>
      </w:pPr>
      <w:r>
        <w:rPr>
          <w:rFonts w:ascii="Times New Roman" w:hAnsi="Times New Roman"/>
          <w:noProof/>
          <w:sz w:val="24"/>
          <w:u w:val="single"/>
        </w:rPr>
        <w:t>Ulaganje: C1.5. R1-I2 – Jačanje položaja i prepoznatljivosti proizvođača u lancu opskrbe hranom</w:t>
      </w:r>
    </w:p>
    <w:p w14:paraId="293FBD2B"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poboljšati upravljanje i financijsku održivost organizacija proizvođača, a proizvođačima omogućiti preuzimanje važnije uloge u upravljačko-vlasničkoj strukturi logističko-distribucijskih centara. Ulaganje uključuje obrazovanje i osposobljavanje organizacija proizvođača u području upravljanja i financija. Ulaganje uključuje i sustav označivanja voća i povrća radi povećanja prepoznatljivosti lokalnih i regionalnih proizvođača i poboljšanja osiguranja kvalitete poljoprivredno-prehrambenih proizvoda.</w:t>
      </w:r>
    </w:p>
    <w:p w14:paraId="0D48D884"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3EA6F4C7"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Reforma C1.5. R2 – Unapređenje sustava restrukturiranja i komasacije poljoprivrednog zemljišta</w:t>
      </w:r>
    </w:p>
    <w:p w14:paraId="2609524F"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olakšati postupke komasacije i trajno praćenje stanja poljoprivrednog zemljišta, čime se stvaraju preduvjeti za primjenu suvremenih metoda obrade poljoprivrednog zemljišta, izgradnju infrastrukture (kao što je mreža poljskih putova i kanala za melioraciju) i rješavanje imovinskopravnih odnosa na poljoprivrednom zemljištu. Reforma će doprinijeti učinkovitijem korištenju poljoprivrednog zemljišta u poljoprivredi, povećanju produktivnosti i održivosti poljoprivredne proizvodnje s naglaskom na očuvanje okoliša i poboljšanje života u ruralnim područjima. Kao dio reforme stupit će na snagu novi Zakon o komasaciji poljoprivrednog zemljišta. </w:t>
      </w:r>
    </w:p>
    <w:p w14:paraId="4EA75646"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ožujka 2026.</w:t>
      </w:r>
    </w:p>
    <w:p w14:paraId="04A59067"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 xml:space="preserve">Ulaganje C1.5. R2-I1 – Komasacija poljoprivrednog zemljišta </w:t>
      </w:r>
    </w:p>
    <w:p w14:paraId="5EA17225"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stvoriti preduvjete za primjenu suvremenih metoda obrade poljoprivrednog zemljišta komasacijom poljoprivrednog zemljišta, što će omogućiti lakši i učinkovitiji pristup zemljištu i izgradnju infrastrukture (kao što je mreža poljskih putova i kanala za melioraciju). </w:t>
      </w:r>
    </w:p>
    <w:p w14:paraId="72A4CE27"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doprinijeti boljem upravljanju vodama i očuvanju voda, sprečavanju erozije i zakiseljavanja tla, očuvanju zraka, uređenju i zaštiti krajolika te povećanju zapošljavanja, što će posredno i neposredno utjecati na obnovu ruralnog prostora.</w:t>
      </w:r>
    </w:p>
    <w:p w14:paraId="3785B0C5"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ožujka 2026.</w:t>
      </w:r>
    </w:p>
    <w:p w14:paraId="1EDB401F"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C1.5. R2-I2 – Program trajnog praćenja stanja poljoprivrednog zemljišta</w:t>
      </w:r>
    </w:p>
    <w:p w14:paraId="5C37B4D6"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osigurati uvjete za učinkovitu zaštitu poljoprivrednog zemljišta, kontinuiranu dostupnost podataka potrebnih za procjenu stanja tla i provedbu politike održivog upravljanja, provedbom terenskog istraživanja i primjenom geografskog informacijskog sustava (GIS). Ulaganje uključuje uspostavu i provedbu Programa trajnog praćenja stanja poljoprivrednog zemljišta radi pružanja potpore sustavnom i planiranom upravljanju tim resursom. Rezultati programa omogućit će i identifikaciju kriznih područja na kojima su tla izložena prijetnjama kako su definirana u dokumentu Europske komisije „Tematska strategija za zaštitu tla” te će pružiti podlogu za djelotvorniju politiku zaštite tla, kao i politiku održive poljoprivrede i ruralnog razvoja.</w:t>
      </w:r>
    </w:p>
    <w:p w14:paraId="60214BD5"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2025.</w:t>
      </w:r>
    </w:p>
    <w:p w14:paraId="78671F44"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Reforma C1.5. R3 – Digitalna transformacija poljoprivrede</w:t>
      </w:r>
    </w:p>
    <w:p w14:paraId="27275B55"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digitalizacijom javnih usluga u poljoprivrednom sektoru te usluge učiniti dostupnijima poljoprivrednicima, a istovremeno smanjiti i administrativno opterećenje. Reforma uključuje osnivanje koordinacijske jedinice za planiranje i praćenje provedbe svih ulaganja i osiguravanje postizanja utvrđenih ciljeva: digitalizirane javne usluge, operativna platforma za pametnu poljoprivredu i javno dostupan informacijski sustav za sljedivost.</w:t>
      </w:r>
    </w:p>
    <w:p w14:paraId="2BE78773"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Očekuje se da će reforma doprinijeti povećanju poljoprivredne proizvodnje, osiguranju kvalitete i sljedivosti poljoprivrednih proizvoda te osiguranju primjene agronomskih praksi koje su dugoročno održive za klimu i okoliš.</w:t>
      </w:r>
    </w:p>
    <w:p w14:paraId="6C4409C3"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2025.</w:t>
      </w:r>
    </w:p>
    <w:p w14:paraId="09376685" w14:textId="77777777" w:rsidR="00733DCA" w:rsidRPr="001032B7" w:rsidRDefault="00733DCA" w:rsidP="0001477B">
      <w:pPr>
        <w:spacing w:after="200" w:line="276" w:lineRule="auto"/>
        <w:jc w:val="center"/>
        <w:rPr>
          <w:rFonts w:ascii="Calibri" w:eastAsia="Calibri" w:hAnsi="Calibri" w:cs="Arial"/>
          <w:noProof/>
          <w:lang w:val="en-IE"/>
        </w:rPr>
      </w:pPr>
    </w:p>
    <w:p w14:paraId="2D64A65A"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C1.5. R3-I1 – Uspostava digitalnih javnih usluga</w:t>
      </w:r>
    </w:p>
    <w:p w14:paraId="094EA0B7"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digitalna transformacija najmanje 30 javnih usluga u poljoprivredi. Ulaganje među ostalim uključuje izradu Akcijskog plana za digitalnu transformaciju, koji će biti osnova za bilježenje svih poljoprivrednih usluga koje će se digitalizirati. Najmanje 30 javnih usluga iz Akcijskog plana bit će digitalizirano i dostupno korisnicima. Ulaganjem će se smanjiti potreba za uslugama koje zahtijevaju fizičku prisutnost i doprinijeti stvaranju digitalnih javnih usluga za poljoprivrednike.</w:t>
      </w:r>
    </w:p>
    <w:p w14:paraId="2878540A"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rujna 2025.</w:t>
      </w:r>
    </w:p>
    <w:p w14:paraId="2B3CC905"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C1.5. R3-I2 – Pametna poljoprivreda</w:t>
      </w:r>
    </w:p>
    <w:p w14:paraId="55F87FEF"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podržati digitalnu transformaciju poljoprivrednog sektora Hrvatske uspostavom sustava za upravljanje poljoprivrednom proizvodnjom. Pružanjem ažuriranih, strukturiranih i pravodobnih informacija izravno s polja i poljoprivrednih gospodarstava te uz odgovarajuću stručnu potporu i primjenu načela održive proizvodnje, platforma za pametnu poljoprivredu postići će ciljeve utvrđene u budućoj zajedničkoj poljoprivrednoj politici. Unaprijedit će se održivost platforme, a korisnicima olakšati njezino korištenje te povećati dostupnost, vidljivost i transparentnost programa i projekata koje provodi Ministarstvo poljoprivrede te kvaliteta javnih usluga i stručne potpore koju pruža Ministarstvo poljoprivrede.</w:t>
      </w:r>
    </w:p>
    <w:p w14:paraId="3950D9BA"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2025.</w:t>
      </w:r>
    </w:p>
    <w:p w14:paraId="6DBD8F9B"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C1.5. R3-I3 – Sustav sljedivosti</w:t>
      </w:r>
    </w:p>
    <w:p w14:paraId="1C3B21C0"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nastaviti promicati održivu poljoprivredu, posebno male lokalne proizvođače, te nastaviti informirati potrošače o važnosti i dostupnosti proizvoda dobivenih na održiv način na lokalnoj razini u cijeloj Hrvatskoj. Očekuje se da će ulaganje imati pozitivan učinak na ruralni razvoj u više lokalnih zajednice te doprinijeti povećanju povjerenja potrošača u proizvode lokalnih proizvođača i održive prehrambene proizvode. Ulaganje uključuje uspostavu nacionalnog informacijskog sustava za sljedivost koji će biti dostupan javnosti. </w:t>
      </w:r>
    </w:p>
    <w:p w14:paraId="238A80B8" w14:textId="176E9E11" w:rsidR="00733DCA" w:rsidRPr="001032B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31. prosinca 2024.</w:t>
      </w:r>
    </w:p>
    <w:p w14:paraId="1378CEA4"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Reforma C1.5. R4 – Unapređenje sustava doniranja hrane</w:t>
      </w:r>
    </w:p>
    <w:p w14:paraId="1C9C1B1C"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promicati kružno gospodarstvo u poljoprivredno-prehrambenom sektoru, smanjiti otpad od hrane i povećati sigurnost opskrbe hranom siromašnijih skupina stanovništva unapređenjem sustava doniranja hrane. Reforma uključuje osnivanje banke hrane, jačanje infrastrukturnih kapaciteta posrednika u lancu doniranja hrane, pokretanje internetske platforme za sprečavanje nastajanja otpada od hrane, nadogradnju IT sustava za doniranje hrane, sklapanje dobrovoljnih sporazuma za sprečavanje otpada od hrane između nadležnih tijela i dionika u lancu opskrbe hranom, akademsko-istraživačke zajednice i organizacija civilnog društva te provedbu informativno-edukativne kampanje na temu sprečavanja otpada od hrane i doniranja hrane.</w:t>
      </w:r>
    </w:p>
    <w:p w14:paraId="2BC8B71F"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2023.</w:t>
      </w:r>
    </w:p>
    <w:p w14:paraId="4E25F1B5" w14:textId="77777777" w:rsidR="00733DCA" w:rsidRPr="001032B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C1.5. R4-I1 – Infrastrukturno opremanje banke hrane i posrednika u lancu doniranja hrane</w:t>
      </w:r>
    </w:p>
    <w:p w14:paraId="20B6979B"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jačanje infrastrukturnih kapaciteta posrednika u lancu doniranja hrane i banke hrane u svrhu stvaranja osnovnih preduvjeta za povećanje količina donirane hrane, čime se doprinosi smanjenju otpada od hrane i povećanju prehrambene sigurnosti siromašnijih skupina stanovništva. Ulaganje uključuje provedbu programa potpore za infrastrukturno opremanje banke hrane i posrednika u lancu doniranja hrane, koje izrađuje Ministarstvo poljoprivrede i donosi Vlada Republike Hrvatske.</w:t>
      </w:r>
    </w:p>
    <w:p w14:paraId="17E2C989" w14:textId="77777777" w:rsidR="00733DCA" w:rsidRPr="001032B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2023.</w:t>
      </w:r>
    </w:p>
    <w:p w14:paraId="725A5765" w14:textId="77777777" w:rsidR="00733DCA" w:rsidRDefault="00733DCA">
      <w:pPr>
        <w:rPr>
          <w:noProof/>
          <w:lang w:val="en-IE"/>
        </w:rPr>
        <w:sectPr w:rsidR="00733DCA" w:rsidSect="008F440B">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08" w:footer="708" w:gutter="0"/>
          <w:cols w:space="708"/>
          <w:docGrid w:linePitch="360"/>
        </w:sectPr>
      </w:pPr>
    </w:p>
    <w:p w14:paraId="0ED7BA9A" w14:textId="77777777" w:rsidR="00733DCA" w:rsidRPr="001032B7"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E.2. </w:t>
      </w:r>
      <w:r>
        <w:rPr>
          <w:rFonts w:ascii="Times New Roman" w:hAnsi="Times New Roman"/>
          <w:b/>
          <w:noProof/>
          <w:sz w:val="24"/>
          <w:u w:val="single"/>
        </w:rPr>
        <w:tab/>
        <w:t>Ključne etape, ciljne vrijednosti, pokazatelji i vremenski raspored za praćenje i provedbu programa bespovratne financijske potpore</w:t>
      </w:r>
    </w:p>
    <w:tbl>
      <w:tblPr>
        <w:tblW w:w="14743" w:type="dxa"/>
        <w:tblInd w:w="-823" w:type="dxa"/>
        <w:tblCellMar>
          <w:top w:w="28" w:type="dxa"/>
          <w:left w:w="28" w:type="dxa"/>
          <w:bottom w:w="28" w:type="dxa"/>
          <w:right w:w="28" w:type="dxa"/>
        </w:tblCellMar>
        <w:tblLook w:val="04A0" w:firstRow="1" w:lastRow="0" w:firstColumn="1" w:lastColumn="0" w:noHBand="0" w:noVBand="1"/>
      </w:tblPr>
      <w:tblGrid>
        <w:gridCol w:w="851"/>
        <w:gridCol w:w="993"/>
        <w:gridCol w:w="992"/>
        <w:gridCol w:w="2410"/>
        <w:gridCol w:w="1942"/>
        <w:gridCol w:w="1168"/>
        <w:gridCol w:w="836"/>
        <w:gridCol w:w="850"/>
        <w:gridCol w:w="425"/>
        <w:gridCol w:w="709"/>
        <w:gridCol w:w="3577"/>
      </w:tblGrid>
      <w:tr w:rsidR="00BA66AF" w:rsidRPr="001032B7" w14:paraId="4EC90947" w14:textId="77777777" w:rsidTr="00442CFC">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1E51A2" w14:textId="101EF504"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2E635A"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A67A0B"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A4C5B3"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41255D"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1C43499D"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5C6BC3EE"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2D486EA2"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BA66AF" w:rsidRPr="001032B7" w14:paraId="12C2BBA7" w14:textId="77777777" w:rsidTr="003752C8">
        <w:trPr>
          <w:tblHeader/>
        </w:trPr>
        <w:tc>
          <w:tcPr>
            <w:tcW w:w="851" w:type="dxa"/>
            <w:vMerge/>
            <w:tcBorders>
              <w:top w:val="single" w:sz="4" w:space="0" w:color="auto"/>
              <w:left w:val="single" w:sz="4" w:space="0" w:color="auto"/>
              <w:bottom w:val="single" w:sz="4" w:space="0" w:color="auto"/>
              <w:right w:val="single" w:sz="4" w:space="0" w:color="auto"/>
            </w:tcBorders>
            <w:hideMark/>
          </w:tcPr>
          <w:p w14:paraId="1175CD20"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6F4B006A"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2B5BE0C3"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410" w:type="dxa"/>
            <w:vMerge/>
            <w:tcBorders>
              <w:top w:val="single" w:sz="4" w:space="0" w:color="auto"/>
              <w:left w:val="single" w:sz="4" w:space="0" w:color="auto"/>
              <w:bottom w:val="single" w:sz="4" w:space="0" w:color="auto"/>
              <w:right w:val="single" w:sz="4" w:space="0" w:color="auto"/>
            </w:tcBorders>
            <w:hideMark/>
          </w:tcPr>
          <w:p w14:paraId="7ECA7539"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942" w:type="dxa"/>
            <w:vMerge/>
            <w:tcBorders>
              <w:top w:val="single" w:sz="4" w:space="0" w:color="auto"/>
              <w:left w:val="single" w:sz="4" w:space="0" w:color="auto"/>
              <w:bottom w:val="single" w:sz="4" w:space="0" w:color="auto"/>
              <w:right w:val="single" w:sz="4" w:space="0" w:color="auto"/>
            </w:tcBorders>
            <w:hideMark/>
          </w:tcPr>
          <w:p w14:paraId="38000A7D"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hideMark/>
          </w:tcPr>
          <w:p w14:paraId="749F1DC5"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hideMark/>
          </w:tcPr>
          <w:p w14:paraId="17460FE5"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hideMark/>
          </w:tcPr>
          <w:p w14:paraId="75DC8B72"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hideMark/>
          </w:tcPr>
          <w:p w14:paraId="28DE8AA7"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nil"/>
              <w:left w:val="nil"/>
              <w:bottom w:val="single" w:sz="4" w:space="0" w:color="auto"/>
              <w:right w:val="single" w:sz="4" w:space="0" w:color="auto"/>
            </w:tcBorders>
            <w:shd w:val="clear" w:color="auto" w:fill="BDD7EE"/>
            <w:hideMark/>
          </w:tcPr>
          <w:p w14:paraId="7C79F46B" w14:textId="77777777" w:rsidR="00733DCA" w:rsidRPr="001032B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577" w:type="dxa"/>
            <w:vMerge/>
            <w:tcBorders>
              <w:top w:val="single" w:sz="4" w:space="0" w:color="auto"/>
              <w:bottom w:val="single" w:sz="4" w:space="0" w:color="auto"/>
              <w:right w:val="single" w:sz="4" w:space="0" w:color="auto"/>
            </w:tcBorders>
            <w:hideMark/>
          </w:tcPr>
          <w:p w14:paraId="6DA29F36" w14:textId="77777777" w:rsidR="00733DCA" w:rsidRPr="001032B7" w:rsidRDefault="00733DCA" w:rsidP="0001477B">
            <w:pPr>
              <w:spacing w:after="0" w:line="276" w:lineRule="auto"/>
              <w:rPr>
                <w:rFonts w:ascii="Times New Roman" w:eastAsia="Times New Roman" w:hAnsi="Times New Roman" w:cs="Times New Roman"/>
                <w:b/>
                <w:noProof/>
                <w:lang w:val="en-IE" w:eastAsia="en-GB"/>
              </w:rPr>
            </w:pPr>
          </w:p>
        </w:tc>
      </w:tr>
      <w:tr w:rsidR="00215DFD" w:rsidRPr="001032B7" w14:paraId="75878D93" w14:textId="77777777" w:rsidTr="003752C8">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3A5B1D6" w14:textId="77777777" w:rsidR="00733DCA" w:rsidRPr="001032B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126</w:t>
            </w:r>
          </w:p>
        </w:tc>
        <w:tc>
          <w:tcPr>
            <w:tcW w:w="993" w:type="dxa"/>
            <w:tcBorders>
              <w:top w:val="single" w:sz="4" w:space="0" w:color="auto"/>
              <w:left w:val="nil"/>
              <w:bottom w:val="single" w:sz="4" w:space="0" w:color="auto"/>
              <w:right w:val="single" w:sz="4" w:space="0" w:color="auto"/>
            </w:tcBorders>
            <w:shd w:val="clear" w:color="auto" w:fill="C6EFCE"/>
            <w:noWrap/>
          </w:tcPr>
          <w:p w14:paraId="16A4331D"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R1</w:t>
            </w:r>
          </w:p>
        </w:tc>
        <w:tc>
          <w:tcPr>
            <w:tcW w:w="992" w:type="dxa"/>
            <w:tcBorders>
              <w:top w:val="single" w:sz="4" w:space="0" w:color="auto"/>
              <w:left w:val="nil"/>
              <w:bottom w:val="single" w:sz="4" w:space="0" w:color="auto"/>
              <w:right w:val="single" w:sz="4" w:space="0" w:color="auto"/>
            </w:tcBorders>
            <w:shd w:val="clear" w:color="auto" w:fill="C6EFCE"/>
            <w:noWrap/>
          </w:tcPr>
          <w:p w14:paraId="3449A73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08A1C8D9"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Operativni program jačanja tržišnog kapaciteta sektora voća i povrća za razdoblje 2021.–2026.</w:t>
            </w:r>
          </w:p>
        </w:tc>
        <w:tc>
          <w:tcPr>
            <w:tcW w:w="1942" w:type="dxa"/>
            <w:tcBorders>
              <w:top w:val="single" w:sz="4" w:space="0" w:color="auto"/>
              <w:left w:val="nil"/>
              <w:bottom w:val="single" w:sz="4" w:space="0" w:color="auto"/>
              <w:right w:val="single" w:sz="4" w:space="0" w:color="auto"/>
            </w:tcBorders>
            <w:shd w:val="clear" w:color="auto" w:fill="C6EFCE"/>
            <w:noWrap/>
          </w:tcPr>
          <w:p w14:paraId="41A2DFB5"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odluke Vlade o donošenju Operativnog programa jačanja tržišnog kapaciteta sektora voća i povrća za razdoblje 2021.–2026.</w:t>
            </w:r>
          </w:p>
        </w:tc>
        <w:tc>
          <w:tcPr>
            <w:tcW w:w="1168" w:type="dxa"/>
            <w:tcBorders>
              <w:top w:val="nil"/>
              <w:left w:val="nil"/>
              <w:bottom w:val="single" w:sz="4" w:space="0" w:color="auto"/>
              <w:right w:val="single" w:sz="4" w:space="0" w:color="auto"/>
            </w:tcBorders>
            <w:shd w:val="clear" w:color="auto" w:fill="C6EFCE"/>
            <w:noWrap/>
          </w:tcPr>
          <w:p w14:paraId="206D096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120EAEC7"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5853D385"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22E67D3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7F5F8AE3"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577" w:type="dxa"/>
            <w:tcBorders>
              <w:top w:val="single" w:sz="4" w:space="0" w:color="auto"/>
              <w:left w:val="nil"/>
              <w:bottom w:val="single" w:sz="4" w:space="0" w:color="auto"/>
              <w:right w:val="single" w:sz="4" w:space="0" w:color="auto"/>
            </w:tcBorders>
            <w:shd w:val="clear" w:color="auto" w:fill="C6EFCE"/>
            <w:noWrap/>
          </w:tcPr>
          <w:p w14:paraId="0F601EBA"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Radi provedbe mjere koja je prvenstveno usmjerena na jačanje uloge i upravljačkih kapaciteta organizacija proizvođača u proizvodno-tržišnom lancu voća i povrća Vlada Republike Hrvatske donijet će Operativni program jačanja tržišnog kapaciteta sektora voća i povrća za razdoblje 2021.–2026. Uključuje provedbu sljedećih mjera: i. izgradnja i opremanje logističko-distributivnih centara za voće i povrće te ii. jačanje položaja i prepoznatljivosti proizvođača u lancu opskrbe voćem i povrćem.</w:t>
            </w:r>
          </w:p>
        </w:tc>
      </w:tr>
      <w:tr w:rsidR="00BA66AF" w:rsidRPr="001032B7" w14:paraId="657C8024"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6C4F2F9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127</w:t>
            </w:r>
          </w:p>
        </w:tc>
        <w:tc>
          <w:tcPr>
            <w:tcW w:w="993" w:type="dxa"/>
            <w:tcBorders>
              <w:top w:val="nil"/>
              <w:left w:val="nil"/>
              <w:bottom w:val="single" w:sz="4" w:space="0" w:color="auto"/>
              <w:right w:val="single" w:sz="4" w:space="0" w:color="auto"/>
            </w:tcBorders>
            <w:shd w:val="clear" w:color="auto" w:fill="C6EFCE"/>
            <w:noWrap/>
          </w:tcPr>
          <w:p w14:paraId="34E1C957"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R1-I1</w:t>
            </w:r>
          </w:p>
        </w:tc>
        <w:tc>
          <w:tcPr>
            <w:tcW w:w="992" w:type="dxa"/>
            <w:tcBorders>
              <w:top w:val="nil"/>
              <w:left w:val="nil"/>
              <w:bottom w:val="single" w:sz="4" w:space="0" w:color="auto"/>
              <w:right w:val="single" w:sz="4" w:space="0" w:color="auto"/>
            </w:tcBorders>
            <w:shd w:val="clear" w:color="auto" w:fill="C6EFCE"/>
            <w:noWrap/>
          </w:tcPr>
          <w:p w14:paraId="54F5D077"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nil"/>
              <w:left w:val="nil"/>
              <w:bottom w:val="single" w:sz="4" w:space="0" w:color="auto"/>
              <w:right w:val="single" w:sz="4" w:space="0" w:color="auto"/>
            </w:tcBorders>
            <w:shd w:val="clear" w:color="auto" w:fill="C6EFCE"/>
            <w:noWrap/>
          </w:tcPr>
          <w:p w14:paraId="754B5878"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Logističko-distributivni centar izgrađen je i u funkciji  </w:t>
            </w:r>
          </w:p>
        </w:tc>
        <w:tc>
          <w:tcPr>
            <w:tcW w:w="1942" w:type="dxa"/>
            <w:tcBorders>
              <w:top w:val="nil"/>
              <w:left w:val="nil"/>
              <w:bottom w:val="single" w:sz="4" w:space="0" w:color="auto"/>
              <w:right w:val="single" w:sz="4" w:space="0" w:color="auto"/>
            </w:tcBorders>
            <w:shd w:val="clear" w:color="auto" w:fill="C6EFCE"/>
            <w:noWrap/>
          </w:tcPr>
          <w:p w14:paraId="668DDB5E"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nil"/>
              <w:left w:val="nil"/>
              <w:bottom w:val="single" w:sz="4" w:space="0" w:color="auto"/>
              <w:right w:val="single" w:sz="4" w:space="0" w:color="auto"/>
            </w:tcBorders>
            <w:shd w:val="clear" w:color="auto" w:fill="C6EFCE"/>
            <w:noWrap/>
          </w:tcPr>
          <w:p w14:paraId="6B25950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1BD29B9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79A6A65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425" w:type="dxa"/>
            <w:tcBorders>
              <w:top w:val="nil"/>
              <w:left w:val="nil"/>
              <w:bottom w:val="single" w:sz="4" w:space="0" w:color="auto"/>
              <w:right w:val="single" w:sz="4" w:space="0" w:color="auto"/>
            </w:tcBorders>
            <w:shd w:val="clear" w:color="auto" w:fill="C6EFCE"/>
            <w:noWrap/>
          </w:tcPr>
          <w:p w14:paraId="09497A2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62E01CE2"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577" w:type="dxa"/>
            <w:tcBorders>
              <w:top w:val="nil"/>
              <w:left w:val="nil"/>
              <w:bottom w:val="single" w:sz="4" w:space="0" w:color="auto"/>
              <w:right w:val="single" w:sz="4" w:space="0" w:color="auto"/>
            </w:tcBorders>
            <w:shd w:val="clear" w:color="auto" w:fill="C6EFCE"/>
            <w:noWrap/>
          </w:tcPr>
          <w:p w14:paraId="4AC0E776"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Izgrađeni logističko-distributivni centar (LDC) uključivat će doradbeni dio namijenjen prijemu proizvoda, čišćenju, pranju, sortiranju i pakiranju te skladišni dio primjerenog kapaciteta za prijem i skladištenje u režimu hlađenja te u režimu dugotrajnog čuvanja i određenu razinu prerade proizvoda. Planirana je primarna prerada voća i povrća kako bi se iskoristili proizvodi nestandardizirane kvalitete te tako izbjeglo rasipanje hrane (otpad od hrane). Kapaciteti skladišta LDC-a bit će najmanje 3 000, a najviše 12 000 tona. Mjera se odnosi na izgradnju nove zgrade čija je potražnja za primarnom energijom barem 20 % niža od zgrade gotovo nulte energije.</w:t>
            </w:r>
          </w:p>
        </w:tc>
      </w:tr>
      <w:tr w:rsidR="00BA66AF" w:rsidRPr="001032B7" w14:paraId="24A56C4A"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744CE2F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128</w:t>
            </w:r>
          </w:p>
        </w:tc>
        <w:tc>
          <w:tcPr>
            <w:tcW w:w="993" w:type="dxa"/>
            <w:tcBorders>
              <w:top w:val="nil"/>
              <w:left w:val="nil"/>
              <w:bottom w:val="single" w:sz="4" w:space="0" w:color="auto"/>
              <w:right w:val="single" w:sz="4" w:space="0" w:color="auto"/>
            </w:tcBorders>
            <w:shd w:val="clear" w:color="auto" w:fill="C6EFCE"/>
            <w:noWrap/>
          </w:tcPr>
          <w:p w14:paraId="44ABB0D6"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R1-I1</w:t>
            </w:r>
          </w:p>
        </w:tc>
        <w:tc>
          <w:tcPr>
            <w:tcW w:w="992" w:type="dxa"/>
            <w:tcBorders>
              <w:top w:val="nil"/>
              <w:left w:val="nil"/>
              <w:bottom w:val="single" w:sz="4" w:space="0" w:color="auto"/>
              <w:right w:val="single" w:sz="4" w:space="0" w:color="auto"/>
            </w:tcBorders>
            <w:shd w:val="clear" w:color="auto" w:fill="C6EFCE"/>
            <w:noWrap/>
          </w:tcPr>
          <w:p w14:paraId="09ABE7E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nil"/>
              <w:left w:val="nil"/>
              <w:bottom w:val="single" w:sz="4" w:space="0" w:color="auto"/>
              <w:right w:val="single" w:sz="4" w:space="0" w:color="auto"/>
            </w:tcBorders>
            <w:shd w:val="clear" w:color="auto" w:fill="C6EFCE"/>
            <w:noWrap/>
          </w:tcPr>
          <w:p w14:paraId="22EB1F98"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Najmanje tri logističko-distributivna centra (LDC) izgrađena su i u funkciji  </w:t>
            </w:r>
          </w:p>
        </w:tc>
        <w:tc>
          <w:tcPr>
            <w:tcW w:w="1942" w:type="dxa"/>
            <w:tcBorders>
              <w:top w:val="nil"/>
              <w:left w:val="nil"/>
              <w:bottom w:val="single" w:sz="4" w:space="0" w:color="auto"/>
              <w:right w:val="single" w:sz="4" w:space="0" w:color="auto"/>
            </w:tcBorders>
            <w:shd w:val="clear" w:color="auto" w:fill="C6EFCE"/>
            <w:noWrap/>
          </w:tcPr>
          <w:p w14:paraId="3127CBEF"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nil"/>
              <w:left w:val="nil"/>
              <w:bottom w:val="single" w:sz="4" w:space="0" w:color="auto"/>
              <w:right w:val="single" w:sz="4" w:space="0" w:color="auto"/>
            </w:tcBorders>
            <w:shd w:val="clear" w:color="auto" w:fill="C6EFCE"/>
            <w:noWrap/>
          </w:tcPr>
          <w:p w14:paraId="5EC74EC3"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1F257EDC"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7C80869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425" w:type="dxa"/>
            <w:tcBorders>
              <w:top w:val="nil"/>
              <w:left w:val="nil"/>
              <w:bottom w:val="single" w:sz="4" w:space="0" w:color="auto"/>
              <w:right w:val="single" w:sz="4" w:space="0" w:color="auto"/>
            </w:tcBorders>
            <w:shd w:val="clear" w:color="auto" w:fill="C6EFCE"/>
            <w:noWrap/>
          </w:tcPr>
          <w:p w14:paraId="69B8A32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nil"/>
              <w:left w:val="nil"/>
              <w:bottom w:val="single" w:sz="4" w:space="0" w:color="auto"/>
              <w:right w:val="single" w:sz="4" w:space="0" w:color="auto"/>
            </w:tcBorders>
            <w:shd w:val="clear" w:color="auto" w:fill="C6EFCE"/>
            <w:noWrap/>
          </w:tcPr>
          <w:p w14:paraId="6B56F317"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77" w:type="dxa"/>
            <w:tcBorders>
              <w:top w:val="nil"/>
              <w:left w:val="nil"/>
              <w:bottom w:val="single" w:sz="4" w:space="0" w:color="auto"/>
              <w:right w:val="single" w:sz="4" w:space="0" w:color="auto"/>
            </w:tcBorders>
            <w:shd w:val="clear" w:color="auto" w:fill="C6EFCE"/>
            <w:noWrap/>
          </w:tcPr>
          <w:p w14:paraId="01B8ABDA"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Tri izgrađena logističko-distributivna centra (LDC) uključivat će doradbeni dio namijenjen prijemu proizvoda, čišćenju, pranju, sortiranju i pakiranju te skladišni dio primjerenog kapaciteta za prijem i skladištenje u režimu hlađenja te u režimu dugotrajnog čuvanja i određenu razinu prerade proizvoda. Planirana je primarna prerada voća i povrća kako bi se iskoristili proizvodi nestandardizirane kvalitete te tako izbjeglo rasipanje hrane (otpad od hrane). Kapaciteti skladišta LDC-a bit će najmanje 3 000, a najviše 12 000 tona. Mjera se odnosi na izgradnju nove zgrade čija je potražnja za primarnom energijom barem 20 % niža od zgrade gotovo nulte energije.</w:t>
            </w:r>
          </w:p>
        </w:tc>
      </w:tr>
      <w:tr w:rsidR="00BA66AF" w:rsidRPr="001032B7" w14:paraId="3D63D7A8"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79381F2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129</w:t>
            </w:r>
          </w:p>
        </w:tc>
        <w:tc>
          <w:tcPr>
            <w:tcW w:w="993" w:type="dxa"/>
            <w:tcBorders>
              <w:top w:val="nil"/>
              <w:left w:val="nil"/>
              <w:bottom w:val="single" w:sz="4" w:space="0" w:color="auto"/>
              <w:right w:val="single" w:sz="4" w:space="0" w:color="auto"/>
            </w:tcBorders>
            <w:shd w:val="clear" w:color="auto" w:fill="C6EFCE"/>
            <w:noWrap/>
          </w:tcPr>
          <w:p w14:paraId="7910554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R1-I2</w:t>
            </w:r>
          </w:p>
        </w:tc>
        <w:tc>
          <w:tcPr>
            <w:tcW w:w="992" w:type="dxa"/>
            <w:tcBorders>
              <w:top w:val="nil"/>
              <w:left w:val="nil"/>
              <w:bottom w:val="single" w:sz="4" w:space="0" w:color="auto"/>
              <w:right w:val="single" w:sz="4" w:space="0" w:color="auto"/>
            </w:tcBorders>
            <w:shd w:val="clear" w:color="auto" w:fill="C6EFCE"/>
            <w:noWrap/>
          </w:tcPr>
          <w:p w14:paraId="02A4D93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nil"/>
              <w:left w:val="nil"/>
              <w:bottom w:val="single" w:sz="4" w:space="0" w:color="auto"/>
              <w:right w:val="single" w:sz="4" w:space="0" w:color="auto"/>
            </w:tcBorders>
            <w:shd w:val="clear" w:color="auto" w:fill="C6EFCE"/>
            <w:noWrap/>
          </w:tcPr>
          <w:p w14:paraId="092DEB06"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Osposobljavanje za organizacije proizvođača     </w:t>
            </w:r>
          </w:p>
        </w:tc>
        <w:tc>
          <w:tcPr>
            <w:tcW w:w="1942" w:type="dxa"/>
            <w:tcBorders>
              <w:top w:val="nil"/>
              <w:left w:val="nil"/>
              <w:bottom w:val="single" w:sz="4" w:space="0" w:color="auto"/>
              <w:right w:val="single" w:sz="4" w:space="0" w:color="auto"/>
            </w:tcBorders>
            <w:shd w:val="clear" w:color="auto" w:fill="C6EFCE"/>
            <w:noWrap/>
          </w:tcPr>
          <w:p w14:paraId="419E0911"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nil"/>
              <w:left w:val="nil"/>
              <w:bottom w:val="single" w:sz="4" w:space="0" w:color="auto"/>
              <w:right w:val="single" w:sz="4" w:space="0" w:color="auto"/>
            </w:tcBorders>
            <w:shd w:val="clear" w:color="auto" w:fill="C6EFCE"/>
            <w:noWrap/>
          </w:tcPr>
          <w:p w14:paraId="66CEB15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2277831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5DEE0E8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425" w:type="dxa"/>
            <w:tcBorders>
              <w:top w:val="nil"/>
              <w:left w:val="nil"/>
              <w:bottom w:val="single" w:sz="4" w:space="0" w:color="auto"/>
              <w:right w:val="single" w:sz="4" w:space="0" w:color="auto"/>
            </w:tcBorders>
            <w:shd w:val="clear" w:color="auto" w:fill="C6EFCE"/>
            <w:noWrap/>
          </w:tcPr>
          <w:p w14:paraId="10B0622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nil"/>
              <w:left w:val="nil"/>
              <w:bottom w:val="single" w:sz="4" w:space="0" w:color="auto"/>
              <w:right w:val="single" w:sz="4" w:space="0" w:color="auto"/>
            </w:tcBorders>
            <w:shd w:val="clear" w:color="auto" w:fill="C6EFCE"/>
            <w:noWrap/>
          </w:tcPr>
          <w:p w14:paraId="59B3525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77" w:type="dxa"/>
            <w:tcBorders>
              <w:top w:val="nil"/>
              <w:left w:val="nil"/>
              <w:bottom w:val="single" w:sz="4" w:space="0" w:color="auto"/>
              <w:right w:val="single" w:sz="4" w:space="0" w:color="auto"/>
            </w:tcBorders>
            <w:shd w:val="clear" w:color="auto" w:fill="C6EFCE"/>
            <w:noWrap/>
          </w:tcPr>
          <w:p w14:paraId="4F6A55A1"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Završeno je osposobljavnje u području upravljanja i financija za minimalno tri organizacije proizvođača, što obuhvaća najmanje 15 ljudi. Provest će se osposobljavanje u području upravljanja i financija kako bi se organizacijama proizvođača omogućilo da preuzmu ključnu ulogu u organiziranju proizvođača te poboljšaju svoj položaj u zajedničkom prodoru na tržište i u upravljačko-vlasničkoj strukturi logističko-distribucijskih centara.</w:t>
            </w:r>
          </w:p>
        </w:tc>
      </w:tr>
      <w:tr w:rsidR="00BA66AF" w:rsidRPr="001032B7" w14:paraId="65B85EEB"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3A551D86"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130</w:t>
            </w:r>
          </w:p>
        </w:tc>
        <w:tc>
          <w:tcPr>
            <w:tcW w:w="993" w:type="dxa"/>
            <w:tcBorders>
              <w:top w:val="nil"/>
              <w:left w:val="nil"/>
              <w:bottom w:val="single" w:sz="4" w:space="0" w:color="auto"/>
              <w:right w:val="single" w:sz="4" w:space="0" w:color="auto"/>
            </w:tcBorders>
            <w:shd w:val="clear" w:color="auto" w:fill="C6EFCE"/>
            <w:noWrap/>
          </w:tcPr>
          <w:p w14:paraId="6E5A812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R1-I2</w:t>
            </w:r>
          </w:p>
        </w:tc>
        <w:tc>
          <w:tcPr>
            <w:tcW w:w="992" w:type="dxa"/>
            <w:tcBorders>
              <w:top w:val="nil"/>
              <w:left w:val="nil"/>
              <w:bottom w:val="single" w:sz="4" w:space="0" w:color="auto"/>
              <w:right w:val="single" w:sz="4" w:space="0" w:color="auto"/>
            </w:tcBorders>
            <w:shd w:val="clear" w:color="auto" w:fill="C6EFCE"/>
            <w:noWrap/>
          </w:tcPr>
          <w:p w14:paraId="211ACA4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nil"/>
              <w:left w:val="nil"/>
              <w:bottom w:val="single" w:sz="4" w:space="0" w:color="auto"/>
              <w:right w:val="single" w:sz="4" w:space="0" w:color="auto"/>
            </w:tcBorders>
            <w:shd w:val="clear" w:color="auto" w:fill="C6EFCE"/>
            <w:noWrap/>
          </w:tcPr>
          <w:p w14:paraId="1BCFF146"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 označivanja voća i povrća</w:t>
            </w:r>
          </w:p>
        </w:tc>
        <w:tc>
          <w:tcPr>
            <w:tcW w:w="1942" w:type="dxa"/>
            <w:tcBorders>
              <w:top w:val="nil"/>
              <w:left w:val="nil"/>
              <w:bottom w:val="single" w:sz="4" w:space="0" w:color="auto"/>
              <w:right w:val="single" w:sz="4" w:space="0" w:color="auto"/>
            </w:tcBorders>
            <w:shd w:val="clear" w:color="auto" w:fill="C6EFCE"/>
            <w:noWrap/>
          </w:tcPr>
          <w:p w14:paraId="1367C33A"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168" w:type="dxa"/>
            <w:tcBorders>
              <w:top w:val="nil"/>
              <w:left w:val="nil"/>
              <w:bottom w:val="single" w:sz="4" w:space="0" w:color="auto"/>
              <w:right w:val="single" w:sz="4" w:space="0" w:color="auto"/>
            </w:tcBorders>
            <w:shd w:val="clear" w:color="auto" w:fill="C6EFCE"/>
            <w:noWrap/>
          </w:tcPr>
          <w:p w14:paraId="0EB955C6"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771C4E4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13F36F8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425" w:type="dxa"/>
            <w:tcBorders>
              <w:top w:val="nil"/>
              <w:left w:val="nil"/>
              <w:bottom w:val="single" w:sz="4" w:space="0" w:color="auto"/>
              <w:right w:val="single" w:sz="4" w:space="0" w:color="auto"/>
            </w:tcBorders>
            <w:shd w:val="clear" w:color="auto" w:fill="C6EFCE"/>
            <w:noWrap/>
          </w:tcPr>
          <w:p w14:paraId="7D0A6C6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nil"/>
              <w:left w:val="nil"/>
              <w:bottom w:val="single" w:sz="4" w:space="0" w:color="auto"/>
              <w:right w:val="single" w:sz="4" w:space="0" w:color="auto"/>
            </w:tcBorders>
            <w:shd w:val="clear" w:color="auto" w:fill="C6EFCE"/>
            <w:noWrap/>
          </w:tcPr>
          <w:p w14:paraId="13EC930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77" w:type="dxa"/>
            <w:tcBorders>
              <w:top w:val="nil"/>
              <w:left w:val="nil"/>
              <w:bottom w:val="single" w:sz="4" w:space="0" w:color="auto"/>
              <w:right w:val="single" w:sz="4" w:space="0" w:color="auto"/>
            </w:tcBorders>
            <w:shd w:val="clear" w:color="auto" w:fill="C6EFCE"/>
            <w:noWrap/>
          </w:tcPr>
          <w:p w14:paraId="75D0C8E8"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 suradnji s Ministarstvom poljoprivrede i Hrvatskom agencijom za poljoprivredu i hranu razvit će se sustav prepoznatljivih oznaka na tržištu voća i povrća. Sustav će biti dobrovoljan i komplementaran s već postojećim sustavom kvalitete koji je izradilo Ministarstvo poljoprivrede. Očekuje se da će se nakon razvoja sustava povećati prepoznatljivost lokalnih i regionalnih proizvođača i poboljšati osiguranje kvalitete poljoprivredno-prehrambenih proizvoda.</w:t>
            </w:r>
          </w:p>
        </w:tc>
      </w:tr>
      <w:tr w:rsidR="00BA66AF" w:rsidRPr="001032B7" w14:paraId="13CFB197"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6D1E5A46"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131</w:t>
            </w:r>
          </w:p>
        </w:tc>
        <w:tc>
          <w:tcPr>
            <w:tcW w:w="993" w:type="dxa"/>
            <w:tcBorders>
              <w:top w:val="single" w:sz="4" w:space="0" w:color="auto"/>
              <w:left w:val="nil"/>
              <w:bottom w:val="single" w:sz="4" w:space="0" w:color="auto"/>
              <w:right w:val="single" w:sz="4" w:space="0" w:color="auto"/>
            </w:tcBorders>
            <w:shd w:val="clear" w:color="auto" w:fill="C6EFCE"/>
            <w:noWrap/>
          </w:tcPr>
          <w:p w14:paraId="407A27C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R2</w:t>
            </w:r>
          </w:p>
        </w:tc>
        <w:tc>
          <w:tcPr>
            <w:tcW w:w="992" w:type="dxa"/>
            <w:tcBorders>
              <w:top w:val="single" w:sz="4" w:space="0" w:color="auto"/>
              <w:left w:val="nil"/>
              <w:bottom w:val="single" w:sz="4" w:space="0" w:color="auto"/>
              <w:right w:val="single" w:sz="4" w:space="0" w:color="auto"/>
            </w:tcBorders>
            <w:shd w:val="clear" w:color="auto" w:fill="C6EFCE"/>
            <w:noWrap/>
          </w:tcPr>
          <w:p w14:paraId="29545941"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23F0DE4B"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Zakon o komasaciji poljoprivrednog zemljišta</w:t>
            </w:r>
          </w:p>
        </w:tc>
        <w:tc>
          <w:tcPr>
            <w:tcW w:w="1942" w:type="dxa"/>
            <w:tcBorders>
              <w:top w:val="single" w:sz="4" w:space="0" w:color="auto"/>
              <w:left w:val="nil"/>
              <w:bottom w:val="single" w:sz="4" w:space="0" w:color="auto"/>
              <w:right w:val="single" w:sz="4" w:space="0" w:color="auto"/>
            </w:tcBorders>
            <w:shd w:val="clear" w:color="auto" w:fill="C6EFCE"/>
            <w:noWrap/>
          </w:tcPr>
          <w:p w14:paraId="6A8CA841"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novog Zakona o komasaciji poljoprivrednog zemljišta </w:t>
            </w:r>
          </w:p>
        </w:tc>
        <w:tc>
          <w:tcPr>
            <w:tcW w:w="1168" w:type="dxa"/>
            <w:tcBorders>
              <w:top w:val="single" w:sz="4" w:space="0" w:color="auto"/>
              <w:left w:val="nil"/>
              <w:bottom w:val="single" w:sz="4" w:space="0" w:color="auto"/>
              <w:right w:val="single" w:sz="4" w:space="0" w:color="auto"/>
            </w:tcBorders>
            <w:shd w:val="clear" w:color="auto" w:fill="C6EFCE"/>
            <w:noWrap/>
          </w:tcPr>
          <w:p w14:paraId="311FAA9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26E1438B"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2AE904AA"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4864A71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single" w:sz="4" w:space="0" w:color="auto"/>
              <w:left w:val="nil"/>
              <w:bottom w:val="single" w:sz="4" w:space="0" w:color="auto"/>
              <w:right w:val="single" w:sz="4" w:space="0" w:color="auto"/>
            </w:tcBorders>
            <w:shd w:val="clear" w:color="auto" w:fill="C6EFCE"/>
            <w:noWrap/>
          </w:tcPr>
          <w:p w14:paraId="586A8261"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577" w:type="dxa"/>
            <w:tcBorders>
              <w:top w:val="single" w:sz="4" w:space="0" w:color="auto"/>
              <w:left w:val="nil"/>
              <w:bottom w:val="single" w:sz="4" w:space="0" w:color="auto"/>
              <w:right w:val="single" w:sz="4" w:space="0" w:color="auto"/>
            </w:tcBorders>
            <w:shd w:val="clear" w:color="auto" w:fill="C6EFCE"/>
            <w:noWrap/>
          </w:tcPr>
          <w:p w14:paraId="0918B475"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Predviđenim novim Zakonom o komasaciji poljoprivrednog zemljišta će se među ostalim:</w:t>
            </w:r>
            <w:r>
              <w:rPr>
                <w:rFonts w:ascii="Calibri" w:hAnsi="Calibri"/>
                <w:noProof/>
                <w:color w:val="000000"/>
                <w:sz w:val="20"/>
              </w:rPr>
              <w:br/>
              <w:t xml:space="preserve">• uvesti uvjete za pojednostavnjenje postupka komasacije, </w:t>
            </w:r>
            <w:r>
              <w:rPr>
                <w:rFonts w:ascii="Calibri" w:hAnsi="Calibri"/>
                <w:noProof/>
                <w:color w:val="000000"/>
                <w:sz w:val="20"/>
              </w:rPr>
              <w:br/>
              <w:t xml:space="preserve">• smanjiti broj tijela koji u njemu sudjeluju, </w:t>
            </w:r>
            <w:r>
              <w:rPr>
                <w:rFonts w:ascii="Calibri" w:hAnsi="Calibri"/>
                <w:noProof/>
                <w:color w:val="000000"/>
                <w:sz w:val="20"/>
              </w:rPr>
              <w:br/>
              <w:t xml:space="preserve">• skratiti vrijeme potrebno za provedbu aktivnosti u okviru komasacije, </w:t>
            </w:r>
            <w:r>
              <w:rPr>
                <w:rFonts w:ascii="Calibri" w:hAnsi="Calibri"/>
                <w:noProof/>
                <w:color w:val="000000"/>
                <w:sz w:val="20"/>
              </w:rPr>
              <w:br/>
              <w:t>• primijeniti informacijske tehnologije i povezati se s postojećim i novim bazama podataka raznih dionika te stvoriti bazu podataka o kvaliteti tla.</w:t>
            </w:r>
          </w:p>
        </w:tc>
      </w:tr>
      <w:tr w:rsidR="00BA66AF" w:rsidRPr="001032B7" w14:paraId="49E44292"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1DCB377"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132</w:t>
            </w:r>
          </w:p>
        </w:tc>
        <w:tc>
          <w:tcPr>
            <w:tcW w:w="993" w:type="dxa"/>
            <w:tcBorders>
              <w:top w:val="single" w:sz="4" w:space="0" w:color="auto"/>
              <w:left w:val="nil"/>
              <w:bottom w:val="single" w:sz="4" w:space="0" w:color="auto"/>
              <w:right w:val="single" w:sz="4" w:space="0" w:color="auto"/>
            </w:tcBorders>
            <w:shd w:val="clear" w:color="auto" w:fill="C6EFCE"/>
            <w:noWrap/>
          </w:tcPr>
          <w:p w14:paraId="2ADDAC41"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R2-I1</w:t>
            </w:r>
          </w:p>
        </w:tc>
        <w:tc>
          <w:tcPr>
            <w:tcW w:w="992" w:type="dxa"/>
            <w:tcBorders>
              <w:top w:val="single" w:sz="4" w:space="0" w:color="auto"/>
              <w:left w:val="nil"/>
              <w:bottom w:val="single" w:sz="4" w:space="0" w:color="auto"/>
              <w:right w:val="single" w:sz="4" w:space="0" w:color="auto"/>
            </w:tcBorders>
            <w:shd w:val="clear" w:color="auto" w:fill="C6EFCE"/>
            <w:noWrap/>
          </w:tcPr>
          <w:p w14:paraId="1526132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70B99B54"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Konsolidirano 18 000 ha poljoprivrednog zemljišta</w:t>
            </w:r>
          </w:p>
        </w:tc>
        <w:tc>
          <w:tcPr>
            <w:tcW w:w="1942" w:type="dxa"/>
            <w:tcBorders>
              <w:top w:val="single" w:sz="4" w:space="0" w:color="auto"/>
              <w:left w:val="nil"/>
              <w:bottom w:val="single" w:sz="4" w:space="0" w:color="auto"/>
              <w:right w:val="single" w:sz="4" w:space="0" w:color="auto"/>
            </w:tcBorders>
            <w:shd w:val="clear" w:color="auto" w:fill="C6EFCE"/>
            <w:noWrap/>
          </w:tcPr>
          <w:p w14:paraId="1B88CF64"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6A88FC21"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243D5ECC"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616A85A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18 000</w:t>
            </w:r>
          </w:p>
        </w:tc>
        <w:tc>
          <w:tcPr>
            <w:tcW w:w="425" w:type="dxa"/>
            <w:tcBorders>
              <w:top w:val="single" w:sz="4" w:space="0" w:color="auto"/>
              <w:left w:val="nil"/>
              <w:bottom w:val="single" w:sz="4" w:space="0" w:color="auto"/>
              <w:right w:val="single" w:sz="4" w:space="0" w:color="auto"/>
            </w:tcBorders>
            <w:shd w:val="clear" w:color="auto" w:fill="C6EFCE"/>
            <w:noWrap/>
          </w:tcPr>
          <w:p w14:paraId="4E967E2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single" w:sz="4" w:space="0" w:color="auto"/>
              <w:left w:val="nil"/>
              <w:bottom w:val="single" w:sz="4" w:space="0" w:color="auto"/>
              <w:right w:val="single" w:sz="4" w:space="0" w:color="auto"/>
            </w:tcBorders>
            <w:shd w:val="clear" w:color="auto" w:fill="C6EFCE"/>
            <w:noWrap/>
          </w:tcPr>
          <w:p w14:paraId="7E72B59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77" w:type="dxa"/>
            <w:tcBorders>
              <w:top w:val="single" w:sz="4" w:space="0" w:color="auto"/>
              <w:left w:val="nil"/>
              <w:bottom w:val="single" w:sz="4" w:space="0" w:color="auto"/>
              <w:right w:val="single" w:sz="4" w:space="0" w:color="auto"/>
            </w:tcBorders>
            <w:shd w:val="clear" w:color="auto" w:fill="C6EFCE"/>
            <w:noWrap/>
          </w:tcPr>
          <w:p w14:paraId="11AD8C18" w14:textId="77777777" w:rsidR="00733DCA" w:rsidRPr="001032B7" w:rsidRDefault="00733DCA" w:rsidP="0001477B">
            <w:pPr>
              <w:spacing w:after="0" w:line="276" w:lineRule="auto"/>
              <w:rPr>
                <w:rFonts w:ascii="Times New Roman" w:eastAsia="Calibri" w:hAnsi="Times New Roman" w:cs="Times New Roman"/>
                <w:noProof/>
                <w:sz w:val="20"/>
                <w:szCs w:val="20"/>
              </w:rPr>
            </w:pPr>
            <w:r>
              <w:rPr>
                <w:rFonts w:ascii="Calibri" w:hAnsi="Calibri"/>
                <w:noProof/>
                <w:color w:val="000000"/>
                <w:sz w:val="20"/>
              </w:rPr>
              <w:t>Komasacijom 18 000 ha poljoprivrednog zemljišta omogućit će se lakši i učinkovitiji pristup zemljištu; izgradit će se infrastruktura (kao što je mreža poljskih putova i kanala za melioraciju), uz poštovanje odredaba članka 6. stavka 3. Direktive o staništima 92/43/EEZ i postupaka odobrenja u okviru procjene utjecaja na okoliš u skladu s Direktivom 2011/92/EU. Doprinijet će i boljem upravljanju vodama i očuvanju voda, sprečavanju erozije i zakiseljavanja tla, očuvanju zraka, uređenju i zaštiti krajolika te povećanju zapošljavanja, što će posredno i neposredno utjecati na obnovu ruralnog prostora.</w:t>
            </w:r>
          </w:p>
        </w:tc>
      </w:tr>
      <w:tr w:rsidR="00BA66AF" w:rsidRPr="001032B7" w14:paraId="742B64EA"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4DAAA5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133</w:t>
            </w:r>
          </w:p>
        </w:tc>
        <w:tc>
          <w:tcPr>
            <w:tcW w:w="993" w:type="dxa"/>
            <w:tcBorders>
              <w:top w:val="single" w:sz="4" w:space="0" w:color="auto"/>
              <w:left w:val="nil"/>
              <w:bottom w:val="single" w:sz="4" w:space="0" w:color="auto"/>
              <w:right w:val="single" w:sz="4" w:space="0" w:color="auto"/>
            </w:tcBorders>
            <w:shd w:val="clear" w:color="auto" w:fill="C6EFCE"/>
            <w:noWrap/>
          </w:tcPr>
          <w:p w14:paraId="63C49FA5"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R2-I2</w:t>
            </w:r>
          </w:p>
        </w:tc>
        <w:tc>
          <w:tcPr>
            <w:tcW w:w="992" w:type="dxa"/>
            <w:tcBorders>
              <w:top w:val="single" w:sz="4" w:space="0" w:color="auto"/>
              <w:left w:val="nil"/>
              <w:bottom w:val="single" w:sz="4" w:space="0" w:color="auto"/>
              <w:right w:val="single" w:sz="4" w:space="0" w:color="auto"/>
            </w:tcBorders>
            <w:shd w:val="clear" w:color="auto" w:fill="C6EFCE"/>
            <w:noWrap/>
          </w:tcPr>
          <w:p w14:paraId="092D5BF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2C2D5F68"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Nadogradnja operativnog informacijskog sustava za praćenje poljoprivrednog zemljišta i uspostava 90 stalnih postaja za praćenje stanja poljoprivrednog zemljišta</w:t>
            </w:r>
          </w:p>
        </w:tc>
        <w:tc>
          <w:tcPr>
            <w:tcW w:w="1942" w:type="dxa"/>
            <w:tcBorders>
              <w:top w:val="single" w:sz="4" w:space="0" w:color="auto"/>
              <w:left w:val="nil"/>
              <w:bottom w:val="single" w:sz="4" w:space="0" w:color="auto"/>
              <w:right w:val="single" w:sz="4" w:space="0" w:color="auto"/>
            </w:tcBorders>
            <w:shd w:val="clear" w:color="auto" w:fill="C6EFCE"/>
            <w:noWrap/>
          </w:tcPr>
          <w:p w14:paraId="63B1E25C"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3A45CB7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229CAC71"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6F9034B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90</w:t>
            </w:r>
          </w:p>
        </w:tc>
        <w:tc>
          <w:tcPr>
            <w:tcW w:w="425" w:type="dxa"/>
            <w:tcBorders>
              <w:top w:val="single" w:sz="4" w:space="0" w:color="auto"/>
              <w:left w:val="nil"/>
              <w:bottom w:val="single" w:sz="4" w:space="0" w:color="auto"/>
              <w:right w:val="single" w:sz="4" w:space="0" w:color="auto"/>
            </w:tcBorders>
            <w:shd w:val="clear" w:color="auto" w:fill="C6EFCE"/>
            <w:noWrap/>
          </w:tcPr>
          <w:p w14:paraId="0A42CC7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3FA99FA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577" w:type="dxa"/>
            <w:tcBorders>
              <w:top w:val="single" w:sz="4" w:space="0" w:color="auto"/>
              <w:left w:val="nil"/>
              <w:bottom w:val="single" w:sz="4" w:space="0" w:color="auto"/>
              <w:right w:val="single" w:sz="4" w:space="0" w:color="auto"/>
            </w:tcBorders>
            <w:shd w:val="clear" w:color="auto" w:fill="C6EFCE"/>
            <w:noWrap/>
          </w:tcPr>
          <w:p w14:paraId="695EC7FF"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Nadogradnjom informacijskog sustava za praćenje poljoprivrednog zemljišta omogućit će se dobivanje realističnih i usporedivih parametara koji služe kao temelj za sustavno i planirano upravljanje poljoprivrednim zemljištem.</w:t>
            </w:r>
            <w:r>
              <w:rPr>
                <w:rFonts w:ascii="Calibri" w:hAnsi="Calibri"/>
                <w:noProof/>
                <w:color w:val="000000"/>
                <w:sz w:val="20"/>
              </w:rPr>
              <w:br/>
              <w:t>U okviru poboljšanog sustava za praćenje stanja poljoprivrednog zemljišta uspostavit će se najmanje 90 postaja na cijelom državnom području Hrvatske kako bi se obuhvatile sve podregije i što vjernije točnije njihovi poljoprivredno-ekološki uvjeti.</w:t>
            </w:r>
          </w:p>
        </w:tc>
      </w:tr>
      <w:tr w:rsidR="00BA66AF" w:rsidRPr="001032B7" w14:paraId="583D1246"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3FCB58B3"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134</w:t>
            </w:r>
          </w:p>
        </w:tc>
        <w:tc>
          <w:tcPr>
            <w:tcW w:w="993" w:type="dxa"/>
            <w:tcBorders>
              <w:top w:val="single" w:sz="4" w:space="0" w:color="auto"/>
              <w:left w:val="nil"/>
              <w:bottom w:val="single" w:sz="4" w:space="0" w:color="auto"/>
              <w:right w:val="single" w:sz="4" w:space="0" w:color="auto"/>
            </w:tcBorders>
            <w:shd w:val="clear" w:color="auto" w:fill="C6EFCE"/>
            <w:noWrap/>
          </w:tcPr>
          <w:p w14:paraId="77168FE2"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R3</w:t>
            </w:r>
          </w:p>
        </w:tc>
        <w:tc>
          <w:tcPr>
            <w:tcW w:w="992" w:type="dxa"/>
            <w:tcBorders>
              <w:top w:val="single" w:sz="4" w:space="0" w:color="auto"/>
              <w:left w:val="nil"/>
              <w:bottom w:val="single" w:sz="4" w:space="0" w:color="auto"/>
              <w:right w:val="single" w:sz="4" w:space="0" w:color="auto"/>
            </w:tcBorders>
            <w:shd w:val="clear" w:color="auto" w:fill="C6EFCE"/>
            <w:noWrap/>
          </w:tcPr>
          <w:p w14:paraId="379ACE8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48F213F1"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Uspostavljena jedinica za provedbu i upravljanje projektima digitalne transformacije u Ministarstvu poljoprivrede </w:t>
            </w:r>
          </w:p>
        </w:tc>
        <w:tc>
          <w:tcPr>
            <w:tcW w:w="1942" w:type="dxa"/>
            <w:tcBorders>
              <w:top w:val="single" w:sz="4" w:space="0" w:color="auto"/>
              <w:left w:val="nil"/>
              <w:bottom w:val="single" w:sz="4" w:space="0" w:color="auto"/>
              <w:right w:val="single" w:sz="4" w:space="0" w:color="auto"/>
            </w:tcBorders>
            <w:shd w:val="clear" w:color="auto" w:fill="C6EFCE"/>
            <w:noWrap/>
          </w:tcPr>
          <w:p w14:paraId="09F3EAE8"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Odluka Ministarstva poljoprivrede o uspostavi jedinice za provedbu i upravljanje projektima digitalne transformacije u Ministarstvu poljoprivrede</w:t>
            </w:r>
          </w:p>
        </w:tc>
        <w:tc>
          <w:tcPr>
            <w:tcW w:w="1168" w:type="dxa"/>
            <w:tcBorders>
              <w:top w:val="single" w:sz="4" w:space="0" w:color="auto"/>
              <w:left w:val="nil"/>
              <w:bottom w:val="single" w:sz="4" w:space="0" w:color="auto"/>
              <w:right w:val="single" w:sz="4" w:space="0" w:color="auto"/>
            </w:tcBorders>
            <w:shd w:val="clear" w:color="auto" w:fill="C6EFCE"/>
            <w:noWrap/>
          </w:tcPr>
          <w:p w14:paraId="6D877E66"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02091122"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30E3056B"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105398F7"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722003F5"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577" w:type="dxa"/>
            <w:tcBorders>
              <w:top w:val="single" w:sz="4" w:space="0" w:color="auto"/>
              <w:left w:val="nil"/>
              <w:bottom w:val="single" w:sz="4" w:space="0" w:color="auto"/>
              <w:right w:val="single" w:sz="4" w:space="0" w:color="auto"/>
            </w:tcBorders>
            <w:shd w:val="clear" w:color="auto" w:fill="C6EFCE"/>
            <w:noWrap/>
          </w:tcPr>
          <w:p w14:paraId="5144D21A"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Osnovani odjel, u suradnji s nadležnim tijelima (Agencija za plaćanja, Hrvatska agencija za poljoprivredu i hranu i Središnji državni ured za razvoj digitalnog društva), planira i prati provedbu svih ulaganja kako bi se osiguralo ostvarivanje sljedećih ciljeva: najmanje 30 digitalnih javnih usluga, funkcionalna platforma Pametna poljoprivreda i javno dostupan informacijski sustav sljedivosti.</w:t>
            </w:r>
          </w:p>
        </w:tc>
      </w:tr>
      <w:tr w:rsidR="00BA66AF" w:rsidRPr="001032B7" w14:paraId="4871BBB3"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39F2F7AC"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135</w:t>
            </w:r>
          </w:p>
        </w:tc>
        <w:tc>
          <w:tcPr>
            <w:tcW w:w="993" w:type="dxa"/>
            <w:tcBorders>
              <w:top w:val="single" w:sz="4" w:space="0" w:color="auto"/>
              <w:left w:val="nil"/>
              <w:bottom w:val="single" w:sz="4" w:space="0" w:color="auto"/>
              <w:right w:val="single" w:sz="4" w:space="0" w:color="auto"/>
            </w:tcBorders>
            <w:shd w:val="clear" w:color="auto" w:fill="C6EFCE"/>
            <w:noWrap/>
          </w:tcPr>
          <w:p w14:paraId="39145F12"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R3-I1</w:t>
            </w:r>
          </w:p>
        </w:tc>
        <w:tc>
          <w:tcPr>
            <w:tcW w:w="992" w:type="dxa"/>
            <w:tcBorders>
              <w:top w:val="single" w:sz="4" w:space="0" w:color="auto"/>
              <w:left w:val="nil"/>
              <w:bottom w:val="single" w:sz="4" w:space="0" w:color="auto"/>
              <w:right w:val="single" w:sz="4" w:space="0" w:color="auto"/>
            </w:tcBorders>
            <w:shd w:val="clear" w:color="auto" w:fill="C6EFCE"/>
            <w:noWrap/>
          </w:tcPr>
          <w:p w14:paraId="5D900A5B"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79EA3692"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Digitalizacija najmanje 30 javnih usluga u poljoprivredi navedenih u Akcijskom planu za digitalnu transformaciju poljoprivrednih javnih usluga </w:t>
            </w:r>
          </w:p>
        </w:tc>
        <w:tc>
          <w:tcPr>
            <w:tcW w:w="1942" w:type="dxa"/>
            <w:tcBorders>
              <w:top w:val="single" w:sz="4" w:space="0" w:color="auto"/>
              <w:left w:val="nil"/>
              <w:bottom w:val="single" w:sz="4" w:space="0" w:color="auto"/>
              <w:right w:val="single" w:sz="4" w:space="0" w:color="auto"/>
            </w:tcBorders>
            <w:shd w:val="clear" w:color="auto" w:fill="C6EFCE"/>
            <w:noWrap/>
          </w:tcPr>
          <w:p w14:paraId="293C865C"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11FB531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71AE45E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45BCBEDB"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w:t>
            </w:r>
          </w:p>
        </w:tc>
        <w:tc>
          <w:tcPr>
            <w:tcW w:w="425" w:type="dxa"/>
            <w:tcBorders>
              <w:top w:val="single" w:sz="4" w:space="0" w:color="auto"/>
              <w:left w:val="nil"/>
              <w:bottom w:val="single" w:sz="4" w:space="0" w:color="auto"/>
              <w:right w:val="single" w:sz="4" w:space="0" w:color="auto"/>
            </w:tcBorders>
            <w:shd w:val="clear" w:color="auto" w:fill="C6EFCE"/>
            <w:noWrap/>
          </w:tcPr>
          <w:p w14:paraId="74F2AED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9" w:type="dxa"/>
            <w:tcBorders>
              <w:top w:val="single" w:sz="4" w:space="0" w:color="auto"/>
              <w:left w:val="nil"/>
              <w:bottom w:val="single" w:sz="4" w:space="0" w:color="auto"/>
              <w:right w:val="single" w:sz="4" w:space="0" w:color="auto"/>
            </w:tcBorders>
            <w:shd w:val="clear" w:color="auto" w:fill="C6EFCE"/>
            <w:noWrap/>
          </w:tcPr>
          <w:p w14:paraId="1D2AAC2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577" w:type="dxa"/>
            <w:tcBorders>
              <w:top w:val="single" w:sz="4" w:space="0" w:color="auto"/>
              <w:left w:val="nil"/>
              <w:bottom w:val="single" w:sz="4" w:space="0" w:color="auto"/>
              <w:right w:val="single" w:sz="4" w:space="0" w:color="auto"/>
            </w:tcBorders>
            <w:shd w:val="clear" w:color="auto" w:fill="C6EFCE"/>
            <w:noWrap/>
          </w:tcPr>
          <w:p w14:paraId="091A13AE"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Akcijski plan za digitalnu transformaciju osnova je za bilježenje svih poljoprivrednih usluga koje će se digitalizirati. Akcijski plan uključuje model i proces transformacije svake evidentirane javne usluge. Najmanje 30 javnih usluga koje će biti uvrštene u Akcijski plan i primati potporu u okviru NPOO-a bit će digitalizirano i dostupno korisnicima. Akcijskim planom definiraju se pojedinačne javne usluge koje će se digitalizirati tijekom provedbe projekta. Najmanje 30 usluga digitalizirano je i dostupno korisnicima.</w:t>
            </w:r>
          </w:p>
        </w:tc>
      </w:tr>
      <w:tr w:rsidR="00BA66AF" w:rsidRPr="001032B7" w14:paraId="15B15D7D"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E3A926D"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136</w:t>
            </w:r>
          </w:p>
        </w:tc>
        <w:tc>
          <w:tcPr>
            <w:tcW w:w="993" w:type="dxa"/>
            <w:tcBorders>
              <w:top w:val="single" w:sz="4" w:space="0" w:color="auto"/>
              <w:left w:val="nil"/>
              <w:bottom w:val="single" w:sz="4" w:space="0" w:color="auto"/>
              <w:right w:val="single" w:sz="4" w:space="0" w:color="auto"/>
            </w:tcBorders>
            <w:shd w:val="clear" w:color="auto" w:fill="C6EFCE"/>
            <w:noWrap/>
          </w:tcPr>
          <w:p w14:paraId="3810359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R3-I2</w:t>
            </w:r>
          </w:p>
        </w:tc>
        <w:tc>
          <w:tcPr>
            <w:tcW w:w="992" w:type="dxa"/>
            <w:tcBorders>
              <w:top w:val="single" w:sz="4" w:space="0" w:color="auto"/>
              <w:left w:val="nil"/>
              <w:bottom w:val="single" w:sz="4" w:space="0" w:color="auto"/>
              <w:right w:val="single" w:sz="4" w:space="0" w:color="auto"/>
            </w:tcBorders>
            <w:shd w:val="clear" w:color="auto" w:fill="C6EFCE"/>
            <w:noWrap/>
          </w:tcPr>
          <w:p w14:paraId="60E5B5F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67823D63"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platforme za pametnu poljoprivredu</w:t>
            </w:r>
          </w:p>
        </w:tc>
        <w:tc>
          <w:tcPr>
            <w:tcW w:w="1942" w:type="dxa"/>
            <w:tcBorders>
              <w:top w:val="single" w:sz="4" w:space="0" w:color="auto"/>
              <w:left w:val="nil"/>
              <w:bottom w:val="single" w:sz="4" w:space="0" w:color="auto"/>
              <w:right w:val="single" w:sz="4" w:space="0" w:color="auto"/>
            </w:tcBorders>
            <w:shd w:val="clear" w:color="auto" w:fill="C6EFCE"/>
            <w:noWrap/>
          </w:tcPr>
          <w:p w14:paraId="0A79E073"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Platforma za pametnu poljoprivredu u potpunosti je operativna, uključujući infrastrukturnu centralizaciju, dostupnost svih podataka vezanih za poljoprivrednu proizvodnju te pristup platformi </w:t>
            </w:r>
          </w:p>
        </w:tc>
        <w:tc>
          <w:tcPr>
            <w:tcW w:w="1168" w:type="dxa"/>
            <w:tcBorders>
              <w:top w:val="single" w:sz="4" w:space="0" w:color="auto"/>
              <w:left w:val="nil"/>
              <w:bottom w:val="single" w:sz="4" w:space="0" w:color="auto"/>
              <w:right w:val="single" w:sz="4" w:space="0" w:color="auto"/>
            </w:tcBorders>
            <w:shd w:val="clear" w:color="auto" w:fill="C6EFCE"/>
            <w:noWrap/>
          </w:tcPr>
          <w:p w14:paraId="00A45B52"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3C500D77"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66215C4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28DF0BFB"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0FDB686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577" w:type="dxa"/>
            <w:tcBorders>
              <w:top w:val="single" w:sz="4" w:space="0" w:color="auto"/>
              <w:left w:val="nil"/>
              <w:bottom w:val="single" w:sz="4" w:space="0" w:color="auto"/>
              <w:right w:val="single" w:sz="4" w:space="0" w:color="auto"/>
            </w:tcBorders>
            <w:shd w:val="clear" w:color="auto" w:fill="C6EFCE"/>
            <w:noWrap/>
          </w:tcPr>
          <w:p w14:paraId="6F406D63" w14:textId="77777777" w:rsidR="00733DCA" w:rsidRPr="001032B7" w:rsidRDefault="00733DCA" w:rsidP="0001477B">
            <w:pPr>
              <w:spacing w:after="200" w:line="276" w:lineRule="auto"/>
              <w:rPr>
                <w:rFonts w:ascii="Calibri" w:eastAsia="Calibri" w:hAnsi="Calibri" w:cs="Arial"/>
                <w:noProof/>
              </w:rPr>
            </w:pPr>
            <w:r>
              <w:rPr>
                <w:rFonts w:ascii="Calibri" w:hAnsi="Calibri"/>
                <w:noProof/>
                <w:color w:val="000000"/>
                <w:sz w:val="20"/>
              </w:rPr>
              <w:t>Platforma za pametnu poljoprivredu u potpunosti je operativna i dostupna korisnicima. Zahvaljujući ažuriranim, strukturiranim i pravodobnim informacijama izravno s polja i poljoprivrednih gospodarstava te odgovarajućoj stručnoj potpori i primjeni načela održivosti, platforma za pametnu poljoprivredu pružit će osnovu za učinkovit, profitabilan i održiv hrvatski poljoprivredni sektor. Platforma će imati potencijal za smanjenje ekološkog otiska poljoprivrede (npr. najmanja moguća primjena proizvoda kao što su gnojiva i pesticidi ili njihova primjena na određenom ograničenom području, u sustavima precizne poljoprivrede ublažit će istjecanje i potencijalne probleme onečišćenja vode i umanjiti emisije stakleničkih plinova).</w:t>
            </w:r>
          </w:p>
        </w:tc>
      </w:tr>
      <w:tr w:rsidR="00BA66AF" w:rsidRPr="001032B7" w14:paraId="76337170"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05C34E3"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137</w:t>
            </w:r>
          </w:p>
        </w:tc>
        <w:tc>
          <w:tcPr>
            <w:tcW w:w="993" w:type="dxa"/>
            <w:tcBorders>
              <w:top w:val="single" w:sz="4" w:space="0" w:color="auto"/>
              <w:left w:val="nil"/>
              <w:bottom w:val="single" w:sz="4" w:space="0" w:color="auto"/>
              <w:right w:val="single" w:sz="4" w:space="0" w:color="auto"/>
            </w:tcBorders>
            <w:shd w:val="clear" w:color="auto" w:fill="C6EFCE"/>
            <w:noWrap/>
          </w:tcPr>
          <w:p w14:paraId="7C65D64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R3-I3</w:t>
            </w:r>
          </w:p>
        </w:tc>
        <w:tc>
          <w:tcPr>
            <w:tcW w:w="992" w:type="dxa"/>
            <w:tcBorders>
              <w:top w:val="single" w:sz="4" w:space="0" w:color="auto"/>
              <w:left w:val="nil"/>
              <w:bottom w:val="single" w:sz="4" w:space="0" w:color="auto"/>
              <w:right w:val="single" w:sz="4" w:space="0" w:color="auto"/>
            </w:tcBorders>
            <w:shd w:val="clear" w:color="auto" w:fill="C6EFCE"/>
            <w:noWrap/>
          </w:tcPr>
          <w:p w14:paraId="69DB797A"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23D02300"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Uspostava informacijskog sustava za sljedivost </w:t>
            </w:r>
          </w:p>
        </w:tc>
        <w:tc>
          <w:tcPr>
            <w:tcW w:w="1942" w:type="dxa"/>
            <w:tcBorders>
              <w:top w:val="single" w:sz="4" w:space="0" w:color="auto"/>
              <w:left w:val="nil"/>
              <w:bottom w:val="single" w:sz="4" w:space="0" w:color="auto"/>
              <w:right w:val="single" w:sz="4" w:space="0" w:color="auto"/>
            </w:tcBorders>
            <w:shd w:val="clear" w:color="auto" w:fill="C6EFCE"/>
            <w:noWrap/>
          </w:tcPr>
          <w:p w14:paraId="02DB7D23"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Informacijski sustav za sljedivost operativan je dostupan javnosti</w:t>
            </w:r>
          </w:p>
        </w:tc>
        <w:tc>
          <w:tcPr>
            <w:tcW w:w="1168" w:type="dxa"/>
            <w:tcBorders>
              <w:top w:val="single" w:sz="4" w:space="0" w:color="auto"/>
              <w:left w:val="nil"/>
              <w:bottom w:val="single" w:sz="4" w:space="0" w:color="auto"/>
              <w:right w:val="single" w:sz="4" w:space="0" w:color="auto"/>
            </w:tcBorders>
            <w:shd w:val="clear" w:color="auto" w:fill="C6EFCE"/>
            <w:noWrap/>
          </w:tcPr>
          <w:p w14:paraId="395C5BCA"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273A3771"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7F6DB97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2F71457A" w14:textId="2D94D65A"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 xml:space="preserve">4. </w:t>
            </w:r>
          </w:p>
        </w:tc>
        <w:tc>
          <w:tcPr>
            <w:tcW w:w="709" w:type="dxa"/>
            <w:tcBorders>
              <w:top w:val="single" w:sz="4" w:space="0" w:color="auto"/>
              <w:left w:val="nil"/>
              <w:bottom w:val="single" w:sz="4" w:space="0" w:color="auto"/>
              <w:right w:val="single" w:sz="4" w:space="0" w:color="auto"/>
            </w:tcBorders>
            <w:shd w:val="clear" w:color="auto" w:fill="C6EFCE"/>
            <w:noWrap/>
          </w:tcPr>
          <w:p w14:paraId="2783302A" w14:textId="58383E6C"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3577" w:type="dxa"/>
            <w:tcBorders>
              <w:top w:val="single" w:sz="4" w:space="0" w:color="auto"/>
              <w:left w:val="nil"/>
              <w:bottom w:val="single" w:sz="4" w:space="0" w:color="auto"/>
              <w:right w:val="single" w:sz="4" w:space="0" w:color="auto"/>
            </w:tcBorders>
            <w:shd w:val="clear" w:color="auto" w:fill="C6EFCE"/>
            <w:noWrap/>
          </w:tcPr>
          <w:p w14:paraId="6EDB82BD" w14:textId="77777777" w:rsidR="00733DCA" w:rsidRPr="001032B7" w:rsidRDefault="00733DCA" w:rsidP="0001477B">
            <w:pPr>
              <w:spacing w:after="200" w:line="276" w:lineRule="auto"/>
              <w:rPr>
                <w:rFonts w:ascii="Calibri" w:eastAsia="Calibri" w:hAnsi="Calibri" w:cs="Arial"/>
                <w:noProof/>
              </w:rPr>
            </w:pPr>
            <w:r>
              <w:rPr>
                <w:rFonts w:ascii="Calibri" w:hAnsi="Calibri"/>
                <w:noProof/>
                <w:color w:val="000000"/>
                <w:sz w:val="20"/>
              </w:rPr>
              <w:t>Planirani informacijski sustav za sljedivost omogućit će bolju informiranost potrošača putem praćenja sljedivosti poljoprivrednih i prehrambenih proizvoda. Sustav će biti dobrovoljan i upotrebljavat će se za ujednačavanje i olakšavanje praćenja informacija, olakšavanje poslovanja i pružanje informacija potrošačima putem koda QR. Sustav će biti izrađen tako da omogućava povezivanje s ostalim e-sustavima te kontinuirano ažuriranje informacija o sljedivosti. Sustav će moći bilježiti i informacije o trgovcima i posrednicima, koji možda ni ne dolaze u fizički kontakt s proizvodom.</w:t>
            </w:r>
          </w:p>
        </w:tc>
      </w:tr>
      <w:tr w:rsidR="00BA66AF" w:rsidRPr="001032B7" w14:paraId="203FA3C8"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E93BB5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138</w:t>
            </w:r>
          </w:p>
        </w:tc>
        <w:tc>
          <w:tcPr>
            <w:tcW w:w="993" w:type="dxa"/>
            <w:tcBorders>
              <w:top w:val="single" w:sz="4" w:space="0" w:color="auto"/>
              <w:left w:val="nil"/>
              <w:bottom w:val="single" w:sz="4" w:space="0" w:color="auto"/>
              <w:right w:val="single" w:sz="4" w:space="0" w:color="auto"/>
            </w:tcBorders>
            <w:shd w:val="clear" w:color="auto" w:fill="C6EFCE"/>
            <w:noWrap/>
          </w:tcPr>
          <w:p w14:paraId="7487CB5A"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R4</w:t>
            </w:r>
          </w:p>
        </w:tc>
        <w:tc>
          <w:tcPr>
            <w:tcW w:w="992" w:type="dxa"/>
            <w:tcBorders>
              <w:top w:val="single" w:sz="4" w:space="0" w:color="auto"/>
              <w:left w:val="nil"/>
              <w:bottom w:val="single" w:sz="4" w:space="0" w:color="auto"/>
              <w:right w:val="single" w:sz="4" w:space="0" w:color="auto"/>
            </w:tcBorders>
            <w:shd w:val="clear" w:color="auto" w:fill="C6EFCE"/>
            <w:noWrap/>
          </w:tcPr>
          <w:p w14:paraId="1891437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17D60B2B"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Internetska platforma za sprečavanje otpada od hrane i poboljšani IT sustav za doniranje hrane </w:t>
            </w:r>
          </w:p>
        </w:tc>
        <w:tc>
          <w:tcPr>
            <w:tcW w:w="1942" w:type="dxa"/>
            <w:tcBorders>
              <w:top w:val="single" w:sz="4" w:space="0" w:color="auto"/>
              <w:left w:val="nil"/>
              <w:bottom w:val="single" w:sz="4" w:space="0" w:color="auto"/>
              <w:right w:val="single" w:sz="4" w:space="0" w:color="auto"/>
            </w:tcBorders>
            <w:shd w:val="clear" w:color="auto" w:fill="C6EFCE"/>
            <w:noWrap/>
          </w:tcPr>
          <w:p w14:paraId="0977296C"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Internetska platforma za sprečavanje otpada od hrane i nadogradnja tehničkog rješenja za IT sustav za doniranje hrane operativni su i dostupni javnosti</w:t>
            </w:r>
          </w:p>
        </w:tc>
        <w:tc>
          <w:tcPr>
            <w:tcW w:w="1168" w:type="dxa"/>
            <w:tcBorders>
              <w:top w:val="single" w:sz="4" w:space="0" w:color="auto"/>
              <w:left w:val="nil"/>
              <w:bottom w:val="single" w:sz="4" w:space="0" w:color="auto"/>
              <w:right w:val="single" w:sz="4" w:space="0" w:color="auto"/>
            </w:tcBorders>
            <w:shd w:val="clear" w:color="auto" w:fill="C6EFCE"/>
            <w:noWrap/>
          </w:tcPr>
          <w:p w14:paraId="3B7CBB93"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3B34B7BE"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7079B67B"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085A914F"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15854AA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577" w:type="dxa"/>
            <w:tcBorders>
              <w:top w:val="single" w:sz="4" w:space="0" w:color="auto"/>
              <w:left w:val="nil"/>
              <w:bottom w:val="single" w:sz="4" w:space="0" w:color="auto"/>
              <w:right w:val="single" w:sz="4" w:space="0" w:color="auto"/>
            </w:tcBorders>
            <w:shd w:val="clear" w:color="auto" w:fill="C6EFCE"/>
            <w:noWrap/>
          </w:tcPr>
          <w:p w14:paraId="358DE965"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Pokrenut će se internetska platforma za sprečavanje i smanjenje otpada od hrane u svrhu širenja primjera dobre prakse, informiranja i educiranja o problematici otpada od hrane i doniranju hrane. Informatički sustav za doniranje hrane, koji je već u upotrebi, nadogradit će se novim funkcijama, među ostalim mogućnošću regionalnog upravljanja sustavom i statističkog prikaza podataka. </w:t>
            </w:r>
          </w:p>
        </w:tc>
      </w:tr>
      <w:tr w:rsidR="00BA66AF" w:rsidRPr="001032B7" w14:paraId="37910CDC"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47AEC33"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139</w:t>
            </w:r>
          </w:p>
        </w:tc>
        <w:tc>
          <w:tcPr>
            <w:tcW w:w="993" w:type="dxa"/>
            <w:tcBorders>
              <w:top w:val="single" w:sz="4" w:space="0" w:color="auto"/>
              <w:left w:val="nil"/>
              <w:bottom w:val="single" w:sz="4" w:space="0" w:color="auto"/>
              <w:right w:val="single" w:sz="4" w:space="0" w:color="auto"/>
            </w:tcBorders>
            <w:shd w:val="clear" w:color="auto" w:fill="C6EFCE"/>
            <w:noWrap/>
          </w:tcPr>
          <w:p w14:paraId="3AC43160"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C1.5. R4-I1</w:t>
            </w:r>
          </w:p>
        </w:tc>
        <w:tc>
          <w:tcPr>
            <w:tcW w:w="992" w:type="dxa"/>
            <w:tcBorders>
              <w:top w:val="single" w:sz="4" w:space="0" w:color="auto"/>
              <w:left w:val="nil"/>
              <w:bottom w:val="single" w:sz="4" w:space="0" w:color="auto"/>
              <w:right w:val="single" w:sz="4" w:space="0" w:color="auto"/>
            </w:tcBorders>
            <w:shd w:val="clear" w:color="auto" w:fill="C6EFCE"/>
            <w:noWrap/>
          </w:tcPr>
          <w:p w14:paraId="13A70958"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0A1E23CD"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Program potpore za infrastrukturno opremanje banke hrane i posrednika u lancu doniranja hrane </w:t>
            </w:r>
          </w:p>
        </w:tc>
        <w:tc>
          <w:tcPr>
            <w:tcW w:w="1942" w:type="dxa"/>
            <w:tcBorders>
              <w:top w:val="single" w:sz="4" w:space="0" w:color="auto"/>
              <w:left w:val="nil"/>
              <w:bottom w:val="single" w:sz="4" w:space="0" w:color="auto"/>
              <w:right w:val="single" w:sz="4" w:space="0" w:color="auto"/>
            </w:tcBorders>
            <w:shd w:val="clear" w:color="auto" w:fill="C6EFCE"/>
            <w:noWrap/>
          </w:tcPr>
          <w:p w14:paraId="4150371B"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Program potpore za infrastrukturno opremanje banke hrane i posrednika u lancu doniranja hrane proveden je, a sredstva su isplaćena</w:t>
            </w:r>
          </w:p>
        </w:tc>
        <w:tc>
          <w:tcPr>
            <w:tcW w:w="1168" w:type="dxa"/>
            <w:tcBorders>
              <w:top w:val="single" w:sz="4" w:space="0" w:color="auto"/>
              <w:left w:val="nil"/>
              <w:bottom w:val="single" w:sz="4" w:space="0" w:color="auto"/>
              <w:right w:val="single" w:sz="4" w:space="0" w:color="auto"/>
            </w:tcBorders>
            <w:shd w:val="clear" w:color="auto" w:fill="C6EFCE"/>
            <w:noWrap/>
          </w:tcPr>
          <w:p w14:paraId="3D5ED329"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79D7A941"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618508E4"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47B2EA6B"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35D7F1AC" w14:textId="77777777" w:rsidR="00733DCA" w:rsidRPr="001032B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577" w:type="dxa"/>
            <w:tcBorders>
              <w:top w:val="single" w:sz="4" w:space="0" w:color="auto"/>
              <w:left w:val="nil"/>
              <w:bottom w:val="single" w:sz="4" w:space="0" w:color="auto"/>
              <w:right w:val="single" w:sz="4" w:space="0" w:color="auto"/>
            </w:tcBorders>
            <w:shd w:val="clear" w:color="auto" w:fill="C6EFCE"/>
            <w:noWrap/>
          </w:tcPr>
          <w:p w14:paraId="385F356B" w14:textId="77777777" w:rsidR="00733DCA" w:rsidRPr="001032B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Program potpore pokreće se na temelju javnog poziva i sklopljenih ugovora, isplatom sredstava koja će se koristiti za izgradnju i obnovu skladišnih objekata, opreme za skladištenje i namještaja, opreme za hlađenje i čuvanje hrane, viličara, rashladnih i drugih vozila i informatičke opreme.</w:t>
            </w:r>
          </w:p>
        </w:tc>
      </w:tr>
    </w:tbl>
    <w:p w14:paraId="52A7163C" w14:textId="77777777" w:rsidR="00733DCA" w:rsidRPr="00BC0323" w:rsidRDefault="00733DCA">
      <w:pPr>
        <w:rPr>
          <w:noProof/>
        </w:rPr>
      </w:pPr>
    </w:p>
    <w:p w14:paraId="0931002A" w14:textId="77777777" w:rsidR="00C75D46" w:rsidRDefault="00733DCA" w:rsidP="0001477B">
      <w:pPr>
        <w:keepNext/>
        <w:tabs>
          <w:tab w:val="left" w:pos="850"/>
        </w:tabs>
        <w:spacing w:after="200" w:line="276" w:lineRule="auto"/>
        <w:ind w:left="850" w:hanging="850"/>
        <w:jc w:val="both"/>
        <w:outlineLvl w:val="0"/>
        <w:rPr>
          <w:rFonts w:ascii="Times New Roman" w:eastAsia="Calibri" w:hAnsi="Times New Roman" w:cs="Times New Roman"/>
          <w:noProof/>
          <w:color w:val="000000" w:themeColor="text1"/>
          <w:sz w:val="24"/>
          <w:szCs w:val="24"/>
        </w:rPr>
        <w:sectPr w:rsidR="00C75D46" w:rsidSect="00E53234">
          <w:headerReference w:type="even" r:id="rId108"/>
          <w:headerReference w:type="default" r:id="rId109"/>
          <w:footerReference w:type="even" r:id="rId110"/>
          <w:footerReference w:type="default" r:id="rId111"/>
          <w:headerReference w:type="first" r:id="rId112"/>
          <w:footerReference w:type="first" r:id="rId113"/>
          <w:pgSz w:w="15840" w:h="12240" w:orient="landscape"/>
          <w:pgMar w:top="1440" w:right="1440" w:bottom="1440" w:left="1440" w:header="708" w:footer="708" w:gutter="0"/>
          <w:cols w:space="708"/>
          <w:docGrid w:linePitch="360"/>
        </w:sectPr>
      </w:pPr>
      <w:r>
        <w:rPr>
          <w:rFonts w:ascii="Times New Roman" w:hAnsi="Times New Roman"/>
          <w:noProof/>
          <w:color w:val="000000" w:themeColor="text1"/>
          <w:sz w:val="24"/>
        </w:rPr>
        <w:tab/>
      </w:r>
    </w:p>
    <w:p w14:paraId="2D0C775E" w14:textId="2484095B" w:rsidR="00733DCA" w:rsidRPr="00A458F3" w:rsidRDefault="00733DCA" w:rsidP="0001477B">
      <w:pPr>
        <w:keepNext/>
        <w:tabs>
          <w:tab w:val="left" w:pos="850"/>
        </w:tabs>
        <w:spacing w:after="200" w:line="276" w:lineRule="auto"/>
        <w:ind w:left="850" w:hanging="850"/>
        <w:jc w:val="both"/>
        <w:outlineLvl w:val="0"/>
        <w:rPr>
          <w:rFonts w:ascii="Calibri" w:eastAsia="Calibri" w:hAnsi="Calibri" w:cs="Arial"/>
          <w:noProof/>
          <w:color w:val="000000" w:themeColor="text1"/>
        </w:rPr>
      </w:pPr>
      <w:r>
        <w:rPr>
          <w:rFonts w:ascii="Times New Roman" w:hAnsi="Times New Roman"/>
          <w:b/>
          <w:smallCaps/>
          <w:noProof/>
          <w:color w:val="000000" w:themeColor="text1"/>
          <w:sz w:val="24"/>
        </w:rPr>
        <w:t>F. KOMPONENTA 1.6.: RAZVOJ ODRŽIVOG, INOVATIVNOG I OTPORNOG TURIZMA</w:t>
      </w:r>
    </w:p>
    <w:p w14:paraId="524C20A6" w14:textId="77777777" w:rsidR="00733DCA" w:rsidRPr="00A458F3" w:rsidRDefault="00733DCA" w:rsidP="0001477B">
      <w:pPr>
        <w:spacing w:after="200" w:line="276" w:lineRule="auto"/>
        <w:jc w:val="both"/>
        <w:rPr>
          <w:rFonts w:ascii="Calibri" w:eastAsia="Calibri" w:hAnsi="Calibri" w:cs="Arial"/>
          <w:noProof/>
          <w:color w:val="000000" w:themeColor="text1"/>
        </w:rPr>
      </w:pPr>
      <w:r>
        <w:rPr>
          <w:rFonts w:ascii="Times New Roman" w:hAnsi="Times New Roman"/>
          <w:noProof/>
          <w:color w:val="000000" w:themeColor="text1"/>
          <w:sz w:val="24"/>
        </w:rPr>
        <w:t>Pandemija bolesti COVID-19 vrlo je negativno utjecala na turistički sektor, u svijetu i u Hrvatskoj. Kao strateška djelatnost u Hrvatskoj, turizam čini 11,4 % izravnog udjela u BDP-u, a broj noćenja se 2020. smanjio za 55 % u odnosu na prethodnu godinu. S obzirom na posljedice krize i promjene očekivanja potražnje, cilj je ove komponente NPOO-a transformirati i modernizirati sektor turizma te povećati njegovu konkurentnost, održivost i otpornost ostvarenjem sljedećih sveobuhvatnih ciljeva:</w:t>
      </w:r>
    </w:p>
    <w:p w14:paraId="4D8D4F6E" w14:textId="77777777" w:rsidR="00733DCA" w:rsidRPr="00A458F3" w:rsidRDefault="00733DCA" w:rsidP="00733DCA">
      <w:pPr>
        <w:numPr>
          <w:ilvl w:val="0"/>
          <w:numId w:val="14"/>
        </w:numPr>
        <w:spacing w:before="120"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povećati otpornost i održivost turističkog sektora podržavanjem zelene i digitalne tranzicije,</w:t>
      </w:r>
    </w:p>
    <w:p w14:paraId="412D019B" w14:textId="77777777" w:rsidR="00733DCA" w:rsidRPr="00A458F3" w:rsidRDefault="00733DCA" w:rsidP="00733DCA">
      <w:pPr>
        <w:numPr>
          <w:ilvl w:val="0"/>
          <w:numId w:val="14"/>
        </w:numPr>
        <w:spacing w:before="120"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doprinijeti oporavku turističkog sektora od krize uzrokovane pandemjiom bolesti COVID-19 poboljšanjem smještajnih kapaciteta te socijalne i teritorijalne kohezije,</w:t>
      </w:r>
    </w:p>
    <w:p w14:paraId="76A37E8F" w14:textId="77777777" w:rsidR="00733DCA" w:rsidRPr="00A458F3" w:rsidRDefault="00733DCA" w:rsidP="00733DCA">
      <w:pPr>
        <w:numPr>
          <w:ilvl w:val="0"/>
          <w:numId w:val="14"/>
        </w:numPr>
        <w:spacing w:before="120"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povećati kružno gospodarstvo u turizmu i poticati odgovornu potrošnju te povećati neizravne učinke turizma na povezane aktivnosti.</w:t>
      </w:r>
    </w:p>
    <w:p w14:paraId="793B1953" w14:textId="77777777" w:rsidR="00733DCA" w:rsidRPr="00A458F3" w:rsidRDefault="00733DCA" w:rsidP="0001477B">
      <w:pPr>
        <w:spacing w:after="200" w:line="276" w:lineRule="auto"/>
        <w:jc w:val="both"/>
        <w:rPr>
          <w:rFonts w:ascii="Calibri" w:eastAsia="Calibri" w:hAnsi="Calibri" w:cs="Arial"/>
          <w:noProof/>
          <w:color w:val="000000" w:themeColor="text1"/>
        </w:rPr>
      </w:pPr>
      <w:r>
        <w:rPr>
          <w:rFonts w:ascii="Times New Roman" w:hAnsi="Times New Roman"/>
          <w:noProof/>
          <w:color w:val="000000" w:themeColor="text1"/>
          <w:sz w:val="24"/>
        </w:rPr>
        <w:t xml:space="preserve">Komponentom se podržava ispunjenje </w:t>
      </w:r>
      <w:r>
        <w:rPr>
          <w:noProof/>
        </w:rPr>
        <w:tab/>
      </w:r>
      <w:r>
        <w:rPr>
          <w:rFonts w:ascii="Times New Roman" w:hAnsi="Times New Roman"/>
          <w:noProof/>
          <w:color w:val="000000" w:themeColor="text1"/>
          <w:sz w:val="24"/>
        </w:rPr>
        <w:t>preporuka za Hrvatsku o smanjenju najvećih parafiskalnih nameta (4. preporuka za Hrvatsku iz 2019.), poduzimanju svih potrebnih mjera za učinkovit odgovor na pandemiju (1. preporuka za Hrvatsku iz 2020.) i pojačanom financiranju već razrađenih projekata javnih ulaganja te promicanju privatnih ulaganja za potporu oporavku gospodarstva (3. preporuka za Hrvatsku iz 2020.).</w:t>
      </w:r>
    </w:p>
    <w:p w14:paraId="6B477C36" w14:textId="77777777" w:rsidR="00733DCA" w:rsidRPr="00A458F3" w:rsidRDefault="00733DCA" w:rsidP="0001477B">
      <w:pPr>
        <w:spacing w:after="200" w:line="276" w:lineRule="auto"/>
        <w:jc w:val="both"/>
        <w:rPr>
          <w:rFonts w:ascii="Calibri" w:eastAsia="Calibri" w:hAnsi="Calibri" w:cs="Arial"/>
          <w:noProof/>
          <w:color w:val="000000" w:themeColor="text1"/>
        </w:rPr>
      </w:pPr>
      <w:r>
        <w:rPr>
          <w:rFonts w:ascii="Times New Roman" w:hAnsi="Times New Roman"/>
          <w:noProof/>
          <w:color w:val="000000" w:themeColor="text1"/>
          <w:sz w:val="24"/>
        </w:rPr>
        <w:t>Komponentom se doprinosi i ciljevima utvrđenima u drugim potkomponentama ovog plana, posebno u potkomponenti C 1.5. Unapređenje korištenja prirodnih resursa i jačanje lanca opskrbe hranom i C2.3.Digitalna transformacija društva i javne uprave.</w:t>
      </w:r>
    </w:p>
    <w:p w14:paraId="30751596" w14:textId="77777777" w:rsidR="00733DCA" w:rsidRPr="00EA1F3A" w:rsidRDefault="00733DCA" w:rsidP="0001477B">
      <w:pPr>
        <w:keepNext/>
        <w:tabs>
          <w:tab w:val="num" w:pos="850"/>
        </w:tabs>
        <w:spacing w:after="200" w:line="276" w:lineRule="auto"/>
        <w:ind w:left="851"/>
        <w:jc w:val="both"/>
        <w:outlineLvl w:val="1"/>
        <w:rPr>
          <w:rFonts w:ascii="Calibri" w:eastAsia="Calibri" w:hAnsi="Calibri" w:cs="Arial"/>
          <w:noProof/>
          <w:color w:val="000000" w:themeColor="text1"/>
        </w:rPr>
      </w:pPr>
      <w:r>
        <w:rPr>
          <w:rFonts w:ascii="Times New Roman" w:hAnsi="Times New Roman"/>
          <w:b/>
          <w:noProof/>
          <w:color w:val="000000" w:themeColor="text1"/>
          <w:sz w:val="24"/>
          <w:u w:val="single"/>
        </w:rPr>
        <w:t xml:space="preserve">F.1. </w:t>
      </w:r>
      <w:r>
        <w:rPr>
          <w:noProof/>
        </w:rPr>
        <w:tab/>
      </w:r>
      <w:r>
        <w:rPr>
          <w:rFonts w:ascii="Times New Roman" w:hAnsi="Times New Roman"/>
          <w:b/>
          <w:noProof/>
          <w:color w:val="000000" w:themeColor="text1"/>
          <w:sz w:val="24"/>
          <w:u w:val="single"/>
        </w:rPr>
        <w:t>Opis reformi i ulaganja za programe bespovratne financijske potpore</w:t>
      </w:r>
    </w:p>
    <w:p w14:paraId="16C9D99C" w14:textId="77777777" w:rsidR="00733DCA" w:rsidRPr="00EA1F3A" w:rsidRDefault="00733DCA" w:rsidP="0001477B">
      <w:pPr>
        <w:keepNext/>
        <w:spacing w:after="200" w:line="276" w:lineRule="auto"/>
        <w:ind w:left="850"/>
        <w:jc w:val="both"/>
        <w:rPr>
          <w:rFonts w:ascii="Calibri" w:eastAsia="Calibri" w:hAnsi="Calibri" w:cs="Arial"/>
          <w:noProof/>
          <w:color w:val="000000" w:themeColor="text1"/>
        </w:rPr>
      </w:pPr>
      <w:r>
        <w:rPr>
          <w:rFonts w:ascii="Times New Roman" w:hAnsi="Times New Roman"/>
          <w:noProof/>
          <w:color w:val="000000" w:themeColor="text1"/>
          <w:sz w:val="24"/>
          <w:u w:val="single"/>
        </w:rPr>
        <w:t>C1.6. R1 – Povećanje otpornosti i održivosti turističkog sektora</w:t>
      </w:r>
    </w:p>
    <w:p w14:paraId="58ADFF66" w14:textId="77777777" w:rsidR="00733DCA" w:rsidRPr="00EA1F3A" w:rsidRDefault="00733DCA" w:rsidP="0001477B">
      <w:pPr>
        <w:spacing w:after="12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Reformom se nastoji uspostaviti učinkovit organizacijski i pravni okvir za upravljanje razvojem održivog turizma izradom Zakona o turizmu, Strategije održivog razvoja turizma do 2030., Nacionalnog plana održivog razvoja turizma do 2027. i strateške procjene utjecaja na okoliš.</w:t>
      </w:r>
    </w:p>
    <w:p w14:paraId="262BE212" w14:textId="77777777" w:rsidR="00733DCA" w:rsidRPr="00EA1F3A" w:rsidRDefault="00733DCA" w:rsidP="0001477B">
      <w:pPr>
        <w:spacing w:after="12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Reforma uključuje:</w:t>
      </w:r>
    </w:p>
    <w:p w14:paraId="7C8C833C" w14:textId="77777777" w:rsidR="00733DCA" w:rsidRPr="00EA1F3A" w:rsidRDefault="00733DCA" w:rsidP="00733DCA">
      <w:pPr>
        <w:numPr>
          <w:ilvl w:val="0"/>
          <w:numId w:val="14"/>
        </w:numPr>
        <w:spacing w:after="12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daljnje administrativno i parafiskalno rasterećenje turističkog sektora,</w:t>
      </w:r>
    </w:p>
    <w:p w14:paraId="35938591" w14:textId="77777777" w:rsidR="00733DCA" w:rsidRPr="00EA1F3A" w:rsidRDefault="00733DCA" w:rsidP="00733DCA">
      <w:pPr>
        <w:numPr>
          <w:ilvl w:val="0"/>
          <w:numId w:val="14"/>
        </w:numPr>
        <w:spacing w:after="12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daljnju promjenu zakonodavnog okvira radi boljeg upravljanja razvojem turizma i poticanja ulaganja poduzeća u inovacije,</w:t>
      </w:r>
    </w:p>
    <w:p w14:paraId="7777CD63" w14:textId="77777777" w:rsidR="00733DCA" w:rsidRPr="008D1A5A" w:rsidRDefault="00733DCA" w:rsidP="00733DCA">
      <w:pPr>
        <w:numPr>
          <w:ilvl w:val="0"/>
          <w:numId w:val="14"/>
        </w:num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izradu novog modela turizma koji nudi raznovrsnije turističke proizvode, doprinosi zelenoj i digitalnoj tranziciji poduzeća u turizmu i omogućava pridržavanje načela kružnoga gospodarstva,</w:t>
      </w:r>
    </w:p>
    <w:p w14:paraId="4A0F3445" w14:textId="77777777" w:rsidR="00733DCA" w:rsidRPr="008D1A5A" w:rsidRDefault="00733DCA" w:rsidP="00733DCA">
      <w:pPr>
        <w:numPr>
          <w:ilvl w:val="0"/>
          <w:numId w:val="14"/>
        </w:num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smanjenje operativnih procedura što će doprinijeti lakšem, bržem i jeftinijem pokretanju turističkog poslovanja.</w:t>
      </w:r>
    </w:p>
    <w:p w14:paraId="445504B9" w14:textId="77777777" w:rsidR="00733DCA" w:rsidRPr="008D1A5A" w:rsidRDefault="00733DCA" w:rsidP="0001477B">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Operacionalizacija reforme sustava upravljanja turizmom predviđena je i u okviru ulaganja C2.3. R3 I15 – Uspostava aplikativnih rješenja u turizmu s ciljem administrativnog rasterećenja poduzeća te transformacije modela turizma ka održivosti. Reforma će se provesti u skladu s načelom provedbe javnih rasprava, uključivanjem širokog kruga dionika u cjelokupnom turističkom ekosustavu, uključujući poduzeća, sektorske udruge i predstavnike akademske zajednice.</w:t>
      </w:r>
    </w:p>
    <w:p w14:paraId="0CA2F5E4" w14:textId="77777777"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Reforma će biti dovršena do 31. prosinca 2023.</w:t>
      </w:r>
    </w:p>
    <w:p w14:paraId="62BFE6A5" w14:textId="77777777" w:rsidR="00733DCA" w:rsidRPr="008D1A5A" w:rsidRDefault="00733DCA" w:rsidP="0001477B">
      <w:pPr>
        <w:keepNext/>
        <w:spacing w:after="200" w:line="276" w:lineRule="auto"/>
        <w:ind w:left="850"/>
        <w:jc w:val="both"/>
        <w:rPr>
          <w:rFonts w:ascii="Times New Roman" w:eastAsia="Calibri" w:hAnsi="Times New Roman" w:cs="Times New Roman"/>
          <w:noProof/>
          <w:color w:val="000000" w:themeColor="text1"/>
          <w:sz w:val="24"/>
          <w:szCs w:val="24"/>
          <w:u w:val="single"/>
        </w:rPr>
      </w:pPr>
      <w:r>
        <w:rPr>
          <w:rFonts w:ascii="Times New Roman" w:hAnsi="Times New Roman"/>
          <w:noProof/>
          <w:color w:val="000000" w:themeColor="text1"/>
          <w:sz w:val="24"/>
          <w:u w:val="single"/>
        </w:rPr>
        <w:t>C1.6. R1-I1 – Regionalna diversifikacija i specijalizacija hrvatskog turizma kroz ulaganja u razvoj turističkih proizvoda visoke dodane vrijednosti</w:t>
      </w:r>
    </w:p>
    <w:p w14:paraId="77003855" w14:textId="77777777"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To ulaganje uključuje financijsku potporu u obliku bespovratnih sredstava za izradu, prilagodbu i unapređenje javne turističke infrastrukture u cijeloj Hrvatskoj radi povećanja energetske učinkovitosti i udjela energije iz obnovljivih izvora i pružanja potpore zelenoj i digitalnoj tranziciji, uz promicanje turističkih proizvoda koji mogu ostvariti višu dodanu vrijednost u skladu s načelima kružnoga gospodarstva.</w:t>
      </w:r>
    </w:p>
    <w:p w14:paraId="5E7E0066" w14:textId="77777777"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Dodatni je cilj ulaganja smanjiti prekomjerni turizam u najrazvijenijim turističkim područjima povećanjem privlačnosti manje razvijenih turističkih odredišta, povećanjem njihove kvalitete i produljenjem sezone, poticanjem održivih oblika turizma i razvojem turističke infrastrukture.</w:t>
      </w:r>
    </w:p>
    <w:p w14:paraId="22E23C12" w14:textId="40FF863F"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Ulaganje će biti dovršeno do 30. lipnja 2026.</w:t>
      </w:r>
    </w:p>
    <w:p w14:paraId="5C275169" w14:textId="77777777" w:rsidR="00733DCA" w:rsidRPr="008D1A5A" w:rsidRDefault="00733DCA" w:rsidP="0001477B">
      <w:pPr>
        <w:keepNext/>
        <w:spacing w:after="200" w:line="276" w:lineRule="auto"/>
        <w:ind w:left="850"/>
        <w:jc w:val="both"/>
        <w:rPr>
          <w:rFonts w:ascii="Times New Roman" w:eastAsia="Calibri" w:hAnsi="Times New Roman" w:cs="Times New Roman"/>
          <w:noProof/>
          <w:color w:val="000000" w:themeColor="text1"/>
          <w:sz w:val="24"/>
          <w:szCs w:val="24"/>
          <w:u w:val="single"/>
        </w:rPr>
      </w:pPr>
      <w:r>
        <w:rPr>
          <w:rFonts w:ascii="Times New Roman" w:hAnsi="Times New Roman"/>
          <w:noProof/>
          <w:color w:val="000000" w:themeColor="text1"/>
          <w:sz w:val="24"/>
          <w:u w:val="single"/>
        </w:rPr>
        <w:t>C1.6. R1-I2 – Jačanje konkurentnosti poduzeća i poticanje zelene i digitalne tranzicije sektora turizma</w:t>
      </w:r>
    </w:p>
    <w:p w14:paraId="6B6AFEEF" w14:textId="77777777"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Cilj je ulaganja doprinijeti razvoju održivog turizma s pomoću zelene i digitalne tranzicije odnosno provedbom zelenih projekata, kao što su projekti kojima se povećava energetska učinkovitost, korištenje obnovljivih izvora energije i kružno gospodarstvo, uvođenje inovacija i digitalnih tehnologija, razvoj turističkih proizvoda prihvatljivih za okoliš te jačanje učinkovitosti resursa. </w:t>
      </w:r>
    </w:p>
    <w:p w14:paraId="02C31635" w14:textId="77777777"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Sredstva će se dodjeljivati na temelju indeksa turističke razvijenosti Hrvatske te će se prednost dati ulaganjima u slabije razvijena turistička područja. Pored toga, očekuje se da će ova investicija potaknuti socijalnu održivost turizma poticanjem privatnih ulaganja koja će doprinijeti povećanju zaposlenosti u lokalnim zajednicama.</w:t>
      </w:r>
    </w:p>
    <w:p w14:paraId="11379AA4" w14:textId="5C2C71A9"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Ulaganje će biti dovršeno do 30. lipnja 2026.</w:t>
      </w:r>
    </w:p>
    <w:p w14:paraId="1D343F94" w14:textId="77777777" w:rsidR="00733DCA" w:rsidRPr="008D1A5A" w:rsidRDefault="00733DCA" w:rsidP="0001477B">
      <w:pPr>
        <w:keepNext/>
        <w:spacing w:after="200" w:line="276" w:lineRule="auto"/>
        <w:ind w:left="850"/>
        <w:jc w:val="both"/>
        <w:rPr>
          <w:rFonts w:ascii="Times New Roman" w:eastAsia="Calibri" w:hAnsi="Times New Roman" w:cs="Times New Roman"/>
          <w:noProof/>
          <w:color w:val="000000" w:themeColor="text1"/>
          <w:sz w:val="24"/>
          <w:szCs w:val="24"/>
          <w:u w:val="single"/>
        </w:rPr>
      </w:pPr>
      <w:r>
        <w:rPr>
          <w:rFonts w:ascii="Times New Roman" w:hAnsi="Times New Roman"/>
          <w:noProof/>
          <w:color w:val="000000" w:themeColor="text1"/>
          <w:sz w:val="24"/>
          <w:u w:val="single"/>
        </w:rPr>
        <w:t>C1.6. R1-I3 – Jačanje kapaciteta sustava za otporan i održiv turizam</w:t>
      </w:r>
    </w:p>
    <w:p w14:paraId="7877CB82" w14:textId="77777777"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Cilj je ulaganja jačanje otpornosti ljudskog kapitala u cijelom sektoru turizma, u okviru programa obrazovanja koji odgovaraju potrebama tržišta rada, s fokusom na digitalne, zelene i vještine vođenja i upravljanja. </w:t>
      </w:r>
    </w:p>
    <w:p w14:paraId="26C723A7" w14:textId="77777777" w:rsidR="00733DCA" w:rsidRPr="008D1A5A" w:rsidRDefault="00733DCA" w:rsidP="0001477B">
      <w:pPr>
        <w:spacing w:after="20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Glavne aktivnosti ulaganja uključuju izradu programa obrazovanja koji odgovaraju potrebama tržišta rada, posebnu edukaciju poslodavaca, edukaciju studenata i nezaposlenih osoba te edukaciju osoblja u državnoj upravi i županijskim turističkim zajednicama radi boljeg upravljanja održivim turizmom.</w:t>
      </w:r>
    </w:p>
    <w:p w14:paraId="40AF8706" w14:textId="77777777" w:rsidR="00733DCA" w:rsidRPr="008D1A5A" w:rsidRDefault="00733DCA" w:rsidP="0001477B">
      <w:pPr>
        <w:rPr>
          <w:rFonts w:ascii="Times New Roman" w:eastAsia="Calibri" w:hAnsi="Times New Roman" w:cs="Times New Roman"/>
          <w:noProof/>
          <w:color w:val="000000" w:themeColor="text1"/>
          <w:sz w:val="24"/>
          <w:szCs w:val="24"/>
        </w:rPr>
        <w:sectPr w:rsidR="00733DCA" w:rsidRPr="008D1A5A" w:rsidSect="00C75D46">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08" w:footer="708" w:gutter="0"/>
          <w:cols w:space="708"/>
          <w:docGrid w:linePitch="360"/>
        </w:sectPr>
      </w:pPr>
      <w:r>
        <w:rPr>
          <w:rFonts w:ascii="Times New Roman" w:hAnsi="Times New Roman"/>
          <w:noProof/>
          <w:color w:val="000000" w:themeColor="text1"/>
          <w:sz w:val="24"/>
        </w:rPr>
        <w:t>Ulaganje će biti dovršeno do 31. prosinca 2025.</w:t>
      </w:r>
    </w:p>
    <w:p w14:paraId="28DBC45A" w14:textId="77777777" w:rsidR="00733DCA" w:rsidRPr="00EA1F3A" w:rsidRDefault="00733DCA" w:rsidP="0001477B">
      <w:pPr>
        <w:keepNext/>
        <w:tabs>
          <w:tab w:val="num" w:pos="850"/>
        </w:tabs>
        <w:spacing w:after="200" w:line="276" w:lineRule="auto"/>
        <w:ind w:left="851"/>
        <w:jc w:val="both"/>
        <w:outlineLvl w:val="1"/>
        <w:rPr>
          <w:rFonts w:ascii="Calibri" w:eastAsia="Calibri" w:hAnsi="Calibri" w:cs="Arial"/>
          <w:noProof/>
          <w:color w:val="000000" w:themeColor="text1"/>
        </w:rPr>
      </w:pPr>
      <w:r>
        <w:rPr>
          <w:rFonts w:ascii="Times New Roman" w:hAnsi="Times New Roman"/>
          <w:b/>
          <w:noProof/>
          <w:color w:val="000000" w:themeColor="text1"/>
          <w:sz w:val="24"/>
          <w:u w:val="single"/>
          <w:shd w:val="clear" w:color="auto" w:fill="E6E6E6"/>
        </w:rPr>
        <w:t xml:space="preserve">F.2. </w:t>
      </w:r>
      <w:r>
        <w:rPr>
          <w:rFonts w:ascii="Times New Roman" w:hAnsi="Times New Roman"/>
          <w:b/>
          <w:noProof/>
          <w:color w:val="000000" w:themeColor="text1"/>
          <w:sz w:val="24"/>
          <w:u w:val="single"/>
          <w:shd w:val="clear" w:color="auto" w:fill="E6E6E6"/>
        </w:rPr>
        <w:tab/>
        <w:t>Ključne etape, ciljne vrijednosti, pokazatelji i vremenski raspored za praćenje i provedbu programa bespovratne financijske potpore</w:t>
      </w:r>
    </w:p>
    <w:tbl>
      <w:tblPr>
        <w:tblW w:w="14743" w:type="dxa"/>
        <w:tblInd w:w="-823" w:type="dxa"/>
        <w:tblCellMar>
          <w:top w:w="28" w:type="dxa"/>
          <w:left w:w="28" w:type="dxa"/>
          <w:bottom w:w="28" w:type="dxa"/>
          <w:right w:w="28" w:type="dxa"/>
        </w:tblCellMar>
        <w:tblLook w:val="04A0" w:firstRow="1" w:lastRow="0" w:firstColumn="1" w:lastColumn="0" w:noHBand="0" w:noVBand="1"/>
      </w:tblPr>
      <w:tblGrid>
        <w:gridCol w:w="851"/>
        <w:gridCol w:w="993"/>
        <w:gridCol w:w="871"/>
        <w:gridCol w:w="2268"/>
        <w:gridCol w:w="1985"/>
        <w:gridCol w:w="850"/>
        <w:gridCol w:w="992"/>
        <w:gridCol w:w="1059"/>
        <w:gridCol w:w="642"/>
        <w:gridCol w:w="709"/>
        <w:gridCol w:w="3544"/>
      </w:tblGrid>
      <w:tr w:rsidR="00215DFD" w:rsidRPr="00A458F3" w14:paraId="47D4A802" w14:textId="77777777" w:rsidTr="003752C8">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12087C00"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6A89D487"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Mjera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4AB38A7"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Ključna etapa / ciljna vrijednost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77A930F0"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Naziv</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30C751F6"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 xml:space="preserve">Kvalitativni pokazatelji </w:t>
            </w:r>
            <w:r>
              <w:rPr>
                <w:rFonts w:ascii="Times New Roman" w:hAnsi="Times New Roman"/>
                <w:b/>
                <w:noProof/>
                <w:color w:val="000000" w:themeColor="text1"/>
                <w:sz w:val="18"/>
              </w:rPr>
              <w:br/>
              <w:t>(za ključne etape)</w:t>
            </w:r>
          </w:p>
        </w:tc>
        <w:tc>
          <w:tcPr>
            <w:tcW w:w="2901"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9A01E0F"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 xml:space="preserve">Kvantitativni pokazatelji </w:t>
            </w:r>
            <w:r>
              <w:rPr>
                <w:rFonts w:ascii="Times New Roman" w:hAnsi="Times New Roman"/>
                <w:b/>
                <w:noProof/>
                <w:color w:val="000000" w:themeColor="text1"/>
                <w:sz w:val="18"/>
              </w:rPr>
              <w:br/>
              <w:t>(za ciljne vrijednosti)</w:t>
            </w:r>
          </w:p>
        </w:tc>
        <w:tc>
          <w:tcPr>
            <w:tcW w:w="1351" w:type="dxa"/>
            <w:gridSpan w:val="2"/>
            <w:tcBorders>
              <w:top w:val="single" w:sz="4" w:space="0" w:color="auto"/>
              <w:left w:val="nil"/>
              <w:bottom w:val="single" w:sz="4" w:space="0" w:color="auto"/>
              <w:right w:val="single" w:sz="4" w:space="0" w:color="auto"/>
            </w:tcBorders>
            <w:shd w:val="clear" w:color="auto" w:fill="BDD7EE"/>
            <w:hideMark/>
          </w:tcPr>
          <w:p w14:paraId="3EAE2188"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Vrijeme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39493074"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Opis svake ključne etape i ciljne vrijednosti</w:t>
            </w:r>
          </w:p>
        </w:tc>
      </w:tr>
      <w:tr w:rsidR="004A024F" w:rsidRPr="00A458F3" w14:paraId="77E28D7A" w14:textId="77777777" w:rsidTr="003752C8">
        <w:trPr>
          <w:tblHeader/>
        </w:trPr>
        <w:tc>
          <w:tcPr>
            <w:tcW w:w="851" w:type="dxa"/>
            <w:vMerge/>
            <w:tcBorders>
              <w:top w:val="single" w:sz="4" w:space="0" w:color="auto"/>
              <w:left w:val="single" w:sz="4" w:space="0" w:color="auto"/>
              <w:bottom w:val="single" w:sz="4" w:space="0" w:color="auto"/>
              <w:right w:val="single" w:sz="4" w:space="0" w:color="auto"/>
            </w:tcBorders>
            <w:hideMark/>
          </w:tcPr>
          <w:p w14:paraId="443E34B6" w14:textId="77777777" w:rsidR="00733DCA" w:rsidRPr="00BC0323" w:rsidRDefault="00733DCA" w:rsidP="0001477B">
            <w:pPr>
              <w:spacing w:after="0" w:line="276" w:lineRule="auto"/>
              <w:jc w:val="center"/>
              <w:rPr>
                <w:rFonts w:ascii="Times New Roman" w:eastAsia="Times New Roman" w:hAnsi="Times New Roman" w:cs="Times New Roman"/>
                <w:b/>
                <w:noProof/>
                <w:color w:val="000000" w:themeColor="text1"/>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2178F7BF" w14:textId="77777777" w:rsidR="00733DCA" w:rsidRPr="00BC0323" w:rsidRDefault="00733DCA" w:rsidP="0001477B">
            <w:pPr>
              <w:spacing w:after="0" w:line="276" w:lineRule="auto"/>
              <w:jc w:val="center"/>
              <w:rPr>
                <w:rFonts w:ascii="Times New Roman" w:eastAsia="Times New Roman" w:hAnsi="Times New Roman" w:cs="Times New Roman"/>
                <w:b/>
                <w:noProof/>
                <w:color w:val="000000" w:themeColor="text1"/>
                <w:lang w:eastAsia="en-GB"/>
              </w:rPr>
            </w:pPr>
          </w:p>
        </w:tc>
        <w:tc>
          <w:tcPr>
            <w:tcW w:w="850" w:type="dxa"/>
            <w:vMerge/>
            <w:tcBorders>
              <w:top w:val="single" w:sz="4" w:space="0" w:color="auto"/>
              <w:left w:val="single" w:sz="4" w:space="0" w:color="auto"/>
              <w:bottom w:val="single" w:sz="4" w:space="0" w:color="auto"/>
              <w:right w:val="single" w:sz="4" w:space="0" w:color="auto"/>
            </w:tcBorders>
            <w:hideMark/>
          </w:tcPr>
          <w:p w14:paraId="38C514C2" w14:textId="77777777" w:rsidR="00733DCA" w:rsidRPr="00BC0323" w:rsidRDefault="00733DCA" w:rsidP="0001477B">
            <w:pPr>
              <w:spacing w:after="0" w:line="276" w:lineRule="auto"/>
              <w:jc w:val="center"/>
              <w:rPr>
                <w:rFonts w:ascii="Times New Roman" w:eastAsia="Times New Roman" w:hAnsi="Times New Roman" w:cs="Times New Roman"/>
                <w:b/>
                <w:noProof/>
                <w:color w:val="000000" w:themeColor="text1"/>
                <w:lang w:eastAsia="en-GB"/>
              </w:rPr>
            </w:pPr>
          </w:p>
        </w:tc>
        <w:tc>
          <w:tcPr>
            <w:tcW w:w="2268" w:type="dxa"/>
            <w:vMerge/>
            <w:tcBorders>
              <w:top w:val="single" w:sz="4" w:space="0" w:color="auto"/>
              <w:left w:val="single" w:sz="4" w:space="0" w:color="auto"/>
              <w:bottom w:val="single" w:sz="4" w:space="0" w:color="auto"/>
              <w:right w:val="single" w:sz="4" w:space="0" w:color="auto"/>
            </w:tcBorders>
            <w:hideMark/>
          </w:tcPr>
          <w:p w14:paraId="7BBA1D0E" w14:textId="77777777" w:rsidR="00733DCA" w:rsidRPr="00BC0323" w:rsidRDefault="00733DCA" w:rsidP="0001477B">
            <w:pPr>
              <w:spacing w:after="0" w:line="276" w:lineRule="auto"/>
              <w:rPr>
                <w:rFonts w:ascii="Times New Roman" w:eastAsia="Times New Roman" w:hAnsi="Times New Roman" w:cs="Times New Roman"/>
                <w:b/>
                <w:noProof/>
                <w:color w:val="000000" w:themeColor="text1"/>
                <w:lang w:eastAsia="en-GB"/>
              </w:rPr>
            </w:pPr>
          </w:p>
        </w:tc>
        <w:tc>
          <w:tcPr>
            <w:tcW w:w="1985" w:type="dxa"/>
            <w:vMerge/>
            <w:tcBorders>
              <w:top w:val="single" w:sz="4" w:space="0" w:color="auto"/>
              <w:left w:val="single" w:sz="4" w:space="0" w:color="auto"/>
              <w:bottom w:val="single" w:sz="4" w:space="0" w:color="auto"/>
              <w:right w:val="single" w:sz="4" w:space="0" w:color="auto"/>
            </w:tcBorders>
            <w:hideMark/>
          </w:tcPr>
          <w:p w14:paraId="2DF9A656" w14:textId="77777777" w:rsidR="00733DCA" w:rsidRPr="00BC0323" w:rsidRDefault="00733DCA" w:rsidP="0001477B">
            <w:pPr>
              <w:spacing w:after="0" w:line="276" w:lineRule="auto"/>
              <w:rPr>
                <w:rFonts w:ascii="Times New Roman" w:eastAsia="Times New Roman" w:hAnsi="Times New Roman" w:cs="Times New Roman"/>
                <w:b/>
                <w:noProof/>
                <w:color w:val="000000" w:themeColor="text1"/>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BDD7EE"/>
            <w:hideMark/>
          </w:tcPr>
          <w:p w14:paraId="5D6EFBA5"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Jedinica</w:t>
            </w:r>
          </w:p>
        </w:tc>
        <w:tc>
          <w:tcPr>
            <w:tcW w:w="992" w:type="dxa"/>
            <w:tcBorders>
              <w:top w:val="single" w:sz="4" w:space="0" w:color="auto"/>
              <w:left w:val="single" w:sz="4" w:space="0" w:color="auto"/>
              <w:bottom w:val="single" w:sz="4" w:space="0" w:color="auto"/>
              <w:right w:val="single" w:sz="4" w:space="0" w:color="auto"/>
            </w:tcBorders>
            <w:shd w:val="clear" w:color="auto" w:fill="BDD7EE"/>
            <w:hideMark/>
          </w:tcPr>
          <w:p w14:paraId="05B8D0F2"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Osnovna vrijednost</w:t>
            </w:r>
          </w:p>
        </w:tc>
        <w:tc>
          <w:tcPr>
            <w:tcW w:w="1059" w:type="dxa"/>
            <w:tcBorders>
              <w:top w:val="single" w:sz="4" w:space="0" w:color="auto"/>
              <w:left w:val="single" w:sz="4" w:space="0" w:color="auto"/>
              <w:bottom w:val="single" w:sz="4" w:space="0" w:color="auto"/>
              <w:right w:val="single" w:sz="4" w:space="0" w:color="auto"/>
            </w:tcBorders>
            <w:shd w:val="clear" w:color="auto" w:fill="BDD7EE"/>
            <w:hideMark/>
          </w:tcPr>
          <w:p w14:paraId="1E348BE3"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Cilj</w:t>
            </w:r>
          </w:p>
        </w:tc>
        <w:tc>
          <w:tcPr>
            <w:tcW w:w="642" w:type="dxa"/>
            <w:tcBorders>
              <w:top w:val="single" w:sz="4" w:space="0" w:color="auto"/>
              <w:left w:val="single" w:sz="4" w:space="0" w:color="auto"/>
              <w:bottom w:val="single" w:sz="4" w:space="0" w:color="auto"/>
              <w:right w:val="single" w:sz="4" w:space="0" w:color="auto"/>
            </w:tcBorders>
            <w:shd w:val="clear" w:color="auto" w:fill="BDD7EE"/>
            <w:hideMark/>
          </w:tcPr>
          <w:p w14:paraId="60E7513D"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Q</w:t>
            </w:r>
          </w:p>
        </w:tc>
        <w:tc>
          <w:tcPr>
            <w:tcW w:w="709" w:type="dxa"/>
            <w:tcBorders>
              <w:top w:val="single" w:sz="4" w:space="0" w:color="auto"/>
              <w:left w:val="single" w:sz="4" w:space="0" w:color="auto"/>
              <w:bottom w:val="single" w:sz="4" w:space="0" w:color="auto"/>
              <w:right w:val="single" w:sz="4" w:space="0" w:color="auto"/>
            </w:tcBorders>
            <w:shd w:val="clear" w:color="auto" w:fill="BDD7EE"/>
            <w:hideMark/>
          </w:tcPr>
          <w:p w14:paraId="25247FD5" w14:textId="77777777" w:rsidR="00733DCA" w:rsidRPr="00EA1F3A" w:rsidRDefault="00733DCA" w:rsidP="0001477B">
            <w:pPr>
              <w:spacing w:after="0" w:line="276" w:lineRule="auto"/>
              <w:jc w:val="center"/>
              <w:rPr>
                <w:rFonts w:ascii="Times New Roman" w:eastAsia="Calibri" w:hAnsi="Times New Roman" w:cs="Times New Roman"/>
                <w:b/>
                <w:bCs/>
                <w:noProof/>
                <w:color w:val="000000" w:themeColor="text1"/>
                <w:sz w:val="18"/>
                <w:szCs w:val="18"/>
              </w:rPr>
            </w:pPr>
            <w:r>
              <w:rPr>
                <w:rFonts w:ascii="Times New Roman" w:hAnsi="Times New Roman"/>
                <w:b/>
                <w:noProof/>
                <w:color w:val="000000" w:themeColor="text1"/>
                <w:sz w:val="18"/>
              </w:rPr>
              <w:t>Godina</w:t>
            </w:r>
          </w:p>
        </w:tc>
        <w:tc>
          <w:tcPr>
            <w:tcW w:w="3544" w:type="dxa"/>
            <w:vMerge/>
            <w:tcBorders>
              <w:top w:val="single" w:sz="4" w:space="0" w:color="auto"/>
              <w:bottom w:val="single" w:sz="4" w:space="0" w:color="auto"/>
              <w:right w:val="single" w:sz="4" w:space="0" w:color="auto"/>
            </w:tcBorders>
            <w:hideMark/>
          </w:tcPr>
          <w:p w14:paraId="0448CCB9" w14:textId="77777777" w:rsidR="00733DCA" w:rsidRPr="00EA1F3A" w:rsidRDefault="00733DCA" w:rsidP="0001477B">
            <w:pPr>
              <w:spacing w:after="0" w:line="276" w:lineRule="auto"/>
              <w:rPr>
                <w:rFonts w:ascii="Times New Roman" w:eastAsia="Calibri" w:hAnsi="Times New Roman" w:cs="Times New Roman"/>
                <w:b/>
                <w:bCs/>
                <w:noProof/>
                <w:color w:val="000000" w:themeColor="text1"/>
                <w:sz w:val="18"/>
                <w:szCs w:val="18"/>
                <w:lang w:val="en-GB"/>
              </w:rPr>
            </w:pPr>
          </w:p>
        </w:tc>
      </w:tr>
      <w:tr w:rsidR="00215DFD" w:rsidRPr="00A458F3" w14:paraId="3A22F33C" w14:textId="77777777" w:rsidTr="003752C8">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95A6AF8"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140</w:t>
            </w:r>
          </w:p>
        </w:tc>
        <w:tc>
          <w:tcPr>
            <w:tcW w:w="993" w:type="dxa"/>
            <w:tcBorders>
              <w:top w:val="single" w:sz="4" w:space="0" w:color="auto"/>
              <w:left w:val="nil"/>
              <w:bottom w:val="single" w:sz="4" w:space="0" w:color="auto"/>
              <w:right w:val="single" w:sz="4" w:space="0" w:color="auto"/>
            </w:tcBorders>
            <w:shd w:val="clear" w:color="auto" w:fill="C6EFCE"/>
            <w:noWrap/>
          </w:tcPr>
          <w:p w14:paraId="2CC68A6E"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w:t>
            </w:r>
          </w:p>
        </w:tc>
        <w:tc>
          <w:tcPr>
            <w:tcW w:w="850" w:type="dxa"/>
            <w:tcBorders>
              <w:top w:val="single" w:sz="4" w:space="0" w:color="auto"/>
              <w:left w:val="nil"/>
              <w:bottom w:val="single" w:sz="4" w:space="0" w:color="auto"/>
              <w:right w:val="single" w:sz="4" w:space="0" w:color="auto"/>
            </w:tcBorders>
            <w:shd w:val="clear" w:color="auto" w:fill="C6EFCE"/>
            <w:noWrap/>
          </w:tcPr>
          <w:p w14:paraId="57B96BBC"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7F66F9F6" w14:textId="77777777" w:rsidR="00733DCA" w:rsidRPr="00EA1F3A"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Analiza scenarija kao dio Strategije razvoja održivog turizma do 2030.</w:t>
            </w:r>
          </w:p>
        </w:tc>
        <w:tc>
          <w:tcPr>
            <w:tcW w:w="1985" w:type="dxa"/>
            <w:tcBorders>
              <w:top w:val="single" w:sz="4" w:space="0" w:color="auto"/>
              <w:left w:val="nil"/>
              <w:bottom w:val="single" w:sz="4" w:space="0" w:color="auto"/>
              <w:right w:val="single" w:sz="4" w:space="0" w:color="auto"/>
            </w:tcBorders>
            <w:shd w:val="clear" w:color="auto" w:fill="C6EFCE"/>
            <w:noWrap/>
          </w:tcPr>
          <w:p w14:paraId="2C905D70" w14:textId="77777777" w:rsidR="00733DCA" w:rsidRPr="00EA1F3A"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Izrada analize scenarija</w:t>
            </w:r>
          </w:p>
        </w:tc>
        <w:tc>
          <w:tcPr>
            <w:tcW w:w="850" w:type="dxa"/>
            <w:tcBorders>
              <w:top w:val="single" w:sz="4" w:space="0" w:color="auto"/>
              <w:left w:val="nil"/>
              <w:bottom w:val="single" w:sz="4" w:space="0" w:color="auto"/>
              <w:right w:val="single" w:sz="4" w:space="0" w:color="auto"/>
            </w:tcBorders>
            <w:shd w:val="clear" w:color="auto" w:fill="C6EFCE"/>
            <w:noWrap/>
          </w:tcPr>
          <w:p w14:paraId="395D49F6"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992" w:type="dxa"/>
            <w:tcBorders>
              <w:top w:val="single" w:sz="4" w:space="0" w:color="auto"/>
              <w:left w:val="nil"/>
              <w:bottom w:val="single" w:sz="4" w:space="0" w:color="auto"/>
              <w:right w:val="single" w:sz="4" w:space="0" w:color="auto"/>
            </w:tcBorders>
            <w:shd w:val="clear" w:color="auto" w:fill="C6EFCE"/>
            <w:noWrap/>
          </w:tcPr>
          <w:p w14:paraId="4AEB25A7"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1059" w:type="dxa"/>
            <w:tcBorders>
              <w:top w:val="single" w:sz="4" w:space="0" w:color="auto"/>
              <w:left w:val="nil"/>
              <w:bottom w:val="single" w:sz="4" w:space="0" w:color="auto"/>
              <w:right w:val="single" w:sz="4" w:space="0" w:color="auto"/>
            </w:tcBorders>
            <w:shd w:val="clear" w:color="auto" w:fill="C6EFCE"/>
            <w:noWrap/>
          </w:tcPr>
          <w:p w14:paraId="3A1055DB"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642" w:type="dxa"/>
            <w:tcBorders>
              <w:top w:val="single" w:sz="4" w:space="0" w:color="auto"/>
              <w:left w:val="nil"/>
              <w:bottom w:val="single" w:sz="4" w:space="0" w:color="auto"/>
              <w:right w:val="single" w:sz="4" w:space="0" w:color="auto"/>
            </w:tcBorders>
            <w:shd w:val="clear" w:color="auto" w:fill="C6EFCE"/>
            <w:noWrap/>
          </w:tcPr>
          <w:p w14:paraId="1FBA7266"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4EC3839A"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2021.</w:t>
            </w:r>
          </w:p>
        </w:tc>
        <w:tc>
          <w:tcPr>
            <w:tcW w:w="3544" w:type="dxa"/>
            <w:tcBorders>
              <w:top w:val="single" w:sz="4" w:space="0" w:color="auto"/>
              <w:left w:val="nil"/>
              <w:bottom w:val="single" w:sz="4" w:space="0" w:color="auto"/>
              <w:right w:val="single" w:sz="4" w:space="0" w:color="auto"/>
            </w:tcBorders>
            <w:shd w:val="clear" w:color="auto" w:fill="C6EFCE"/>
            <w:noWrap/>
          </w:tcPr>
          <w:p w14:paraId="3D9C8EE6" w14:textId="77777777" w:rsidR="00733DCA" w:rsidRPr="00EA1F3A" w:rsidRDefault="00733DCA" w:rsidP="0001477B">
            <w:pPr>
              <w:spacing w:after="240" w:line="276" w:lineRule="auto"/>
              <w:rPr>
                <w:rFonts w:ascii="Calibri" w:eastAsia="Calibri" w:hAnsi="Calibri" w:cs="Arial"/>
                <w:noProof/>
                <w:color w:val="000000" w:themeColor="text1"/>
                <w:sz w:val="20"/>
                <w:szCs w:val="20"/>
              </w:rPr>
            </w:pPr>
            <w:r>
              <w:rPr>
                <w:rFonts w:ascii="Calibri" w:hAnsi="Calibri"/>
                <w:noProof/>
                <w:color w:val="000000" w:themeColor="text1"/>
                <w:sz w:val="20"/>
              </w:rPr>
              <w:t>Analiza scenarija izrađena kao dio procesa razvoja strategije temelj je za mobiliziranje ulaganja iz ove potkomponente. Analiza scenarija obuhvatit će projiciranje razvojnog smjera na nacionalnoj i teritorijalnoj razini u dogovoru s ključnim dionicima sektora.</w:t>
            </w:r>
          </w:p>
        </w:tc>
      </w:tr>
      <w:tr w:rsidR="00215DFD" w:rsidRPr="00A458F3" w14:paraId="2B32EDF9"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69DA0AED"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141</w:t>
            </w:r>
          </w:p>
        </w:tc>
        <w:tc>
          <w:tcPr>
            <w:tcW w:w="993" w:type="dxa"/>
            <w:tcBorders>
              <w:top w:val="nil"/>
              <w:left w:val="nil"/>
              <w:bottom w:val="single" w:sz="4" w:space="0" w:color="auto"/>
              <w:right w:val="single" w:sz="4" w:space="0" w:color="auto"/>
            </w:tcBorders>
            <w:shd w:val="clear" w:color="auto" w:fill="C6EFCE"/>
            <w:noWrap/>
          </w:tcPr>
          <w:p w14:paraId="6CE226E6"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w:t>
            </w:r>
          </w:p>
        </w:tc>
        <w:tc>
          <w:tcPr>
            <w:tcW w:w="850" w:type="dxa"/>
            <w:tcBorders>
              <w:top w:val="nil"/>
              <w:left w:val="nil"/>
              <w:bottom w:val="single" w:sz="4" w:space="0" w:color="auto"/>
              <w:right w:val="single" w:sz="4" w:space="0" w:color="auto"/>
            </w:tcBorders>
            <w:shd w:val="clear" w:color="auto" w:fill="C6EFCE"/>
            <w:noWrap/>
          </w:tcPr>
          <w:p w14:paraId="3AFB289C"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Ključna etapa</w:t>
            </w:r>
          </w:p>
        </w:tc>
        <w:tc>
          <w:tcPr>
            <w:tcW w:w="2268" w:type="dxa"/>
            <w:tcBorders>
              <w:top w:val="nil"/>
              <w:left w:val="nil"/>
              <w:bottom w:val="single" w:sz="4" w:space="0" w:color="auto"/>
              <w:right w:val="single" w:sz="4" w:space="0" w:color="auto"/>
            </w:tcBorders>
            <w:shd w:val="clear" w:color="auto" w:fill="C6EFCE"/>
            <w:noWrap/>
          </w:tcPr>
          <w:p w14:paraId="5051C79B" w14:textId="77777777" w:rsidR="00733DCA" w:rsidRPr="00EA1F3A"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Vlada Republike Hrvatske donosi Strategiju razvoja održivog turizma za razdoblje do 2030.  </w:t>
            </w:r>
          </w:p>
        </w:tc>
        <w:tc>
          <w:tcPr>
            <w:tcW w:w="1985" w:type="dxa"/>
            <w:tcBorders>
              <w:top w:val="nil"/>
              <w:left w:val="nil"/>
              <w:bottom w:val="single" w:sz="4" w:space="0" w:color="auto"/>
              <w:right w:val="single" w:sz="4" w:space="0" w:color="auto"/>
            </w:tcBorders>
            <w:shd w:val="clear" w:color="auto" w:fill="C6EFCE"/>
            <w:noWrap/>
          </w:tcPr>
          <w:p w14:paraId="6C636477" w14:textId="77777777" w:rsidR="00733DCA" w:rsidRPr="00EA1F3A"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Odredba o stupanju na snagu Strategije razvoja održivog turizma za razdoblje do 2030.</w:t>
            </w:r>
          </w:p>
        </w:tc>
        <w:tc>
          <w:tcPr>
            <w:tcW w:w="850" w:type="dxa"/>
            <w:tcBorders>
              <w:top w:val="nil"/>
              <w:left w:val="nil"/>
              <w:bottom w:val="single" w:sz="4" w:space="0" w:color="auto"/>
              <w:right w:val="single" w:sz="4" w:space="0" w:color="auto"/>
            </w:tcBorders>
            <w:shd w:val="clear" w:color="auto" w:fill="C6EFCE"/>
            <w:noWrap/>
          </w:tcPr>
          <w:p w14:paraId="3C121D4C" w14:textId="77777777" w:rsidR="00733DCA" w:rsidRPr="00EA1F3A" w:rsidRDefault="00733DCA" w:rsidP="0001477B">
            <w:pPr>
              <w:spacing w:after="200" w:line="276" w:lineRule="auto"/>
              <w:jc w:val="center"/>
              <w:rPr>
                <w:rFonts w:ascii="Times New Roman" w:eastAsia="Calibri" w:hAnsi="Times New Roman" w:cs="Times New Roman"/>
                <w:noProof/>
                <w:color w:val="000000" w:themeColor="text1"/>
                <w:sz w:val="20"/>
                <w:szCs w:val="20"/>
              </w:rPr>
            </w:pPr>
            <w:r>
              <w:rPr>
                <w:rFonts w:ascii="Calibri" w:hAnsi="Calibri"/>
                <w:noProof/>
                <w:color w:val="000000" w:themeColor="text1"/>
                <w:sz w:val="20"/>
                <w:shd w:val="clear" w:color="auto" w:fill="E6E6E6"/>
              </w:rPr>
              <w:t> </w:t>
            </w:r>
          </w:p>
        </w:tc>
        <w:tc>
          <w:tcPr>
            <w:tcW w:w="992" w:type="dxa"/>
            <w:tcBorders>
              <w:top w:val="nil"/>
              <w:left w:val="nil"/>
              <w:bottom w:val="single" w:sz="4" w:space="0" w:color="auto"/>
              <w:right w:val="single" w:sz="4" w:space="0" w:color="auto"/>
            </w:tcBorders>
            <w:shd w:val="clear" w:color="auto" w:fill="C6EFCE"/>
            <w:noWrap/>
          </w:tcPr>
          <w:p w14:paraId="1DFAAE06" w14:textId="77777777" w:rsidR="00733DCA" w:rsidRPr="00EA1F3A" w:rsidRDefault="00733DCA" w:rsidP="0001477B">
            <w:pPr>
              <w:spacing w:after="200" w:line="276" w:lineRule="auto"/>
              <w:jc w:val="center"/>
              <w:rPr>
                <w:rFonts w:ascii="Times New Roman" w:eastAsia="Calibri" w:hAnsi="Times New Roman" w:cs="Times New Roman"/>
                <w:noProof/>
                <w:color w:val="000000" w:themeColor="text1"/>
                <w:sz w:val="20"/>
                <w:szCs w:val="20"/>
              </w:rPr>
            </w:pPr>
            <w:r>
              <w:rPr>
                <w:rFonts w:ascii="Calibri" w:hAnsi="Calibri"/>
                <w:noProof/>
                <w:color w:val="000000" w:themeColor="text1"/>
                <w:sz w:val="20"/>
                <w:shd w:val="clear" w:color="auto" w:fill="E6E6E6"/>
              </w:rPr>
              <w:t> </w:t>
            </w:r>
          </w:p>
        </w:tc>
        <w:tc>
          <w:tcPr>
            <w:tcW w:w="1059" w:type="dxa"/>
            <w:tcBorders>
              <w:top w:val="nil"/>
              <w:left w:val="nil"/>
              <w:bottom w:val="single" w:sz="4" w:space="0" w:color="auto"/>
              <w:right w:val="single" w:sz="4" w:space="0" w:color="auto"/>
            </w:tcBorders>
            <w:shd w:val="clear" w:color="auto" w:fill="C6EFCE"/>
            <w:noWrap/>
          </w:tcPr>
          <w:p w14:paraId="34F2E59C" w14:textId="77777777" w:rsidR="00733DCA" w:rsidRPr="00EA1F3A" w:rsidRDefault="00733DCA" w:rsidP="0001477B">
            <w:pPr>
              <w:spacing w:after="200" w:line="276" w:lineRule="auto"/>
              <w:jc w:val="center"/>
              <w:rPr>
                <w:rFonts w:ascii="Times New Roman" w:eastAsia="Calibri" w:hAnsi="Times New Roman" w:cs="Times New Roman"/>
                <w:noProof/>
                <w:color w:val="000000" w:themeColor="text1"/>
                <w:sz w:val="20"/>
                <w:szCs w:val="20"/>
              </w:rPr>
            </w:pPr>
            <w:r>
              <w:rPr>
                <w:rFonts w:ascii="Calibri" w:hAnsi="Calibri"/>
                <w:noProof/>
                <w:color w:val="000000" w:themeColor="text1"/>
                <w:sz w:val="20"/>
                <w:shd w:val="clear" w:color="auto" w:fill="E6E6E6"/>
              </w:rPr>
              <w:t> </w:t>
            </w:r>
          </w:p>
        </w:tc>
        <w:tc>
          <w:tcPr>
            <w:tcW w:w="642" w:type="dxa"/>
            <w:tcBorders>
              <w:top w:val="nil"/>
              <w:left w:val="nil"/>
              <w:bottom w:val="single" w:sz="4" w:space="0" w:color="auto"/>
              <w:right w:val="single" w:sz="4" w:space="0" w:color="auto"/>
            </w:tcBorders>
            <w:shd w:val="clear" w:color="auto" w:fill="C6EFCE"/>
            <w:noWrap/>
          </w:tcPr>
          <w:p w14:paraId="655F6BCF"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3.</w:t>
            </w:r>
          </w:p>
        </w:tc>
        <w:tc>
          <w:tcPr>
            <w:tcW w:w="709" w:type="dxa"/>
            <w:tcBorders>
              <w:top w:val="nil"/>
              <w:left w:val="nil"/>
              <w:bottom w:val="single" w:sz="4" w:space="0" w:color="auto"/>
              <w:right w:val="single" w:sz="4" w:space="0" w:color="auto"/>
            </w:tcBorders>
            <w:shd w:val="clear" w:color="auto" w:fill="C6EFCE"/>
            <w:noWrap/>
          </w:tcPr>
          <w:p w14:paraId="18B7D1BF"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2022.</w:t>
            </w:r>
          </w:p>
        </w:tc>
        <w:tc>
          <w:tcPr>
            <w:tcW w:w="3544" w:type="dxa"/>
            <w:tcBorders>
              <w:top w:val="nil"/>
              <w:left w:val="nil"/>
              <w:bottom w:val="single" w:sz="4" w:space="0" w:color="auto"/>
              <w:right w:val="single" w:sz="4" w:space="0" w:color="auto"/>
            </w:tcBorders>
            <w:shd w:val="clear" w:color="auto" w:fill="C6EFCE"/>
            <w:noWrap/>
          </w:tcPr>
          <w:p w14:paraId="5EF6554A" w14:textId="77777777" w:rsidR="00733DCA" w:rsidRPr="00EA1F3A"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U okviru reforme provest će se proces transformacije modela razvoja turizma ka održivosti izradom Strategije održivog razvoja turizma do 2030. i to iz aspekta socioekonomske, okolišne i prostorne održivosti.</w:t>
            </w:r>
            <w:r>
              <w:rPr>
                <w:rFonts w:ascii="Calibri" w:hAnsi="Calibri"/>
                <w:noProof/>
                <w:color w:val="000000" w:themeColor="text1"/>
                <w:sz w:val="20"/>
              </w:rPr>
              <w:br/>
              <w:t>Strategija je dugoročni akt strateškog planiranja od nacionalnog značaja te će se u njoj posebna pažnju posvetiti i pitanjima dosadašnjeg korištenja prostora, tj. prekomjernog turizma na pojedinim odredištima, kao jednog od ključnih problema turističkog razvoja. Strategijom će se pružiti i odgovor za smanjenje neujednačenog regionalnog razvoja u Hrvatskoj.</w:t>
            </w:r>
          </w:p>
        </w:tc>
      </w:tr>
      <w:tr w:rsidR="00215DFD" w:rsidRPr="00A458F3" w14:paraId="1519020C"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5BE0271F" w14:textId="77777777" w:rsidR="00733DCA" w:rsidRPr="00EA1F3A"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142</w:t>
            </w:r>
          </w:p>
        </w:tc>
        <w:tc>
          <w:tcPr>
            <w:tcW w:w="993" w:type="dxa"/>
            <w:tcBorders>
              <w:top w:val="nil"/>
              <w:left w:val="nil"/>
              <w:bottom w:val="single" w:sz="4" w:space="0" w:color="auto"/>
              <w:right w:val="single" w:sz="4" w:space="0" w:color="auto"/>
            </w:tcBorders>
            <w:shd w:val="clear" w:color="auto" w:fill="C6EFCE"/>
            <w:noWrap/>
          </w:tcPr>
          <w:p w14:paraId="4149BCE8"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w:t>
            </w:r>
          </w:p>
        </w:tc>
        <w:tc>
          <w:tcPr>
            <w:tcW w:w="850" w:type="dxa"/>
            <w:tcBorders>
              <w:top w:val="nil"/>
              <w:left w:val="nil"/>
              <w:bottom w:val="single" w:sz="4" w:space="0" w:color="auto"/>
              <w:right w:val="single" w:sz="4" w:space="0" w:color="auto"/>
            </w:tcBorders>
            <w:shd w:val="clear" w:color="auto" w:fill="C6EFCE"/>
            <w:noWrap/>
          </w:tcPr>
          <w:p w14:paraId="44E0F8A8"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Ključna etapa</w:t>
            </w:r>
          </w:p>
        </w:tc>
        <w:tc>
          <w:tcPr>
            <w:tcW w:w="2268" w:type="dxa"/>
            <w:tcBorders>
              <w:top w:val="nil"/>
              <w:left w:val="nil"/>
              <w:bottom w:val="single" w:sz="4" w:space="0" w:color="auto"/>
              <w:right w:val="single" w:sz="4" w:space="0" w:color="auto"/>
            </w:tcBorders>
            <w:shd w:val="clear" w:color="auto" w:fill="C6EFCE"/>
            <w:noWrap/>
          </w:tcPr>
          <w:p w14:paraId="05B01FD9" w14:textId="77777777" w:rsidR="00733DCA" w:rsidRPr="00D947FE" w:rsidRDefault="00733DCA" w:rsidP="0001477B">
            <w:pPr>
              <w:spacing w:after="200" w:line="276" w:lineRule="auto"/>
              <w:rPr>
                <w:rFonts w:ascii="Times New Roman" w:eastAsia="Calibri" w:hAnsi="Times New Roman" w:cs="Times New Roman"/>
                <w:noProof/>
                <w:color w:val="000000" w:themeColor="text1"/>
                <w:sz w:val="20"/>
                <w:szCs w:val="20"/>
              </w:rPr>
            </w:pPr>
            <w:r>
              <w:rPr>
                <w:rFonts w:ascii="Calibri" w:hAnsi="Calibri"/>
                <w:noProof/>
                <w:color w:val="000000" w:themeColor="text1"/>
                <w:sz w:val="20"/>
              </w:rPr>
              <w:t>Izrada metodološkog okvira za satelitski račun održivog turizma Republike Hrvatske</w:t>
            </w:r>
          </w:p>
        </w:tc>
        <w:tc>
          <w:tcPr>
            <w:tcW w:w="1985" w:type="dxa"/>
            <w:tcBorders>
              <w:top w:val="nil"/>
              <w:left w:val="nil"/>
              <w:bottom w:val="single" w:sz="4" w:space="0" w:color="auto"/>
              <w:right w:val="single" w:sz="4" w:space="0" w:color="auto"/>
            </w:tcBorders>
            <w:shd w:val="clear" w:color="auto" w:fill="C6EFCE"/>
            <w:noWrap/>
          </w:tcPr>
          <w:p w14:paraId="50C28100" w14:textId="77777777" w:rsidR="00733DCA" w:rsidRPr="00EA1F3A" w:rsidRDefault="00733DCA" w:rsidP="0001477B">
            <w:pPr>
              <w:spacing w:after="200" w:line="276" w:lineRule="auto"/>
              <w:rPr>
                <w:rFonts w:ascii="Times New Roman" w:eastAsia="Calibri" w:hAnsi="Times New Roman" w:cs="Times New Roman"/>
                <w:noProof/>
                <w:color w:val="000000" w:themeColor="text1"/>
                <w:sz w:val="20"/>
                <w:szCs w:val="20"/>
              </w:rPr>
            </w:pPr>
            <w:r>
              <w:rPr>
                <w:rFonts w:ascii="Calibri" w:hAnsi="Calibri"/>
                <w:noProof/>
                <w:color w:val="000000" w:themeColor="text1"/>
                <w:sz w:val="20"/>
              </w:rPr>
              <w:t xml:space="preserve">Odredba o stupanju na snagu metodološkog okvira za satelitski račun održivog turizma </w:t>
            </w:r>
          </w:p>
        </w:tc>
        <w:tc>
          <w:tcPr>
            <w:tcW w:w="850" w:type="dxa"/>
            <w:tcBorders>
              <w:top w:val="nil"/>
              <w:left w:val="nil"/>
              <w:bottom w:val="single" w:sz="4" w:space="0" w:color="auto"/>
              <w:right w:val="single" w:sz="4" w:space="0" w:color="auto"/>
            </w:tcBorders>
            <w:shd w:val="clear" w:color="auto" w:fill="C6EFCE"/>
            <w:noWrap/>
          </w:tcPr>
          <w:p w14:paraId="50DBCD8B" w14:textId="77777777" w:rsidR="00733DCA" w:rsidRPr="00EA1F3A" w:rsidRDefault="00733DCA" w:rsidP="0001477B">
            <w:pPr>
              <w:spacing w:after="200" w:line="276" w:lineRule="auto"/>
              <w:jc w:val="center"/>
              <w:rPr>
                <w:rFonts w:ascii="Times New Roman" w:eastAsia="Calibri" w:hAnsi="Times New Roman" w:cs="Times New Roman"/>
                <w:noProof/>
                <w:color w:val="000000" w:themeColor="text1"/>
                <w:sz w:val="20"/>
                <w:szCs w:val="20"/>
              </w:rPr>
            </w:pPr>
            <w:r>
              <w:rPr>
                <w:rFonts w:ascii="Calibri" w:hAnsi="Calibri"/>
                <w:noProof/>
                <w:color w:val="000000" w:themeColor="text1"/>
                <w:sz w:val="20"/>
                <w:shd w:val="clear" w:color="auto" w:fill="E6E6E6"/>
              </w:rPr>
              <w:t> </w:t>
            </w:r>
          </w:p>
        </w:tc>
        <w:tc>
          <w:tcPr>
            <w:tcW w:w="992" w:type="dxa"/>
            <w:tcBorders>
              <w:top w:val="nil"/>
              <w:left w:val="nil"/>
              <w:bottom w:val="single" w:sz="4" w:space="0" w:color="auto"/>
              <w:right w:val="single" w:sz="4" w:space="0" w:color="auto"/>
            </w:tcBorders>
            <w:shd w:val="clear" w:color="auto" w:fill="C6EFCE"/>
            <w:noWrap/>
          </w:tcPr>
          <w:p w14:paraId="1B692098" w14:textId="77777777" w:rsidR="00733DCA" w:rsidRPr="00EA1F3A" w:rsidRDefault="00733DCA" w:rsidP="0001477B">
            <w:pPr>
              <w:spacing w:after="200" w:line="276" w:lineRule="auto"/>
              <w:jc w:val="center"/>
              <w:rPr>
                <w:rFonts w:ascii="Times New Roman" w:eastAsia="Calibri" w:hAnsi="Times New Roman" w:cs="Times New Roman"/>
                <w:noProof/>
                <w:color w:val="000000" w:themeColor="text1"/>
                <w:sz w:val="20"/>
                <w:szCs w:val="20"/>
              </w:rPr>
            </w:pPr>
            <w:r>
              <w:rPr>
                <w:rFonts w:ascii="Calibri" w:hAnsi="Calibri"/>
                <w:noProof/>
                <w:color w:val="000000" w:themeColor="text1"/>
                <w:sz w:val="20"/>
                <w:shd w:val="clear" w:color="auto" w:fill="E6E6E6"/>
              </w:rPr>
              <w:t> </w:t>
            </w:r>
          </w:p>
        </w:tc>
        <w:tc>
          <w:tcPr>
            <w:tcW w:w="1059" w:type="dxa"/>
            <w:tcBorders>
              <w:top w:val="nil"/>
              <w:left w:val="nil"/>
              <w:bottom w:val="single" w:sz="4" w:space="0" w:color="auto"/>
              <w:right w:val="single" w:sz="4" w:space="0" w:color="auto"/>
            </w:tcBorders>
            <w:shd w:val="clear" w:color="auto" w:fill="C6EFCE"/>
            <w:noWrap/>
          </w:tcPr>
          <w:p w14:paraId="2B142B8E" w14:textId="77777777" w:rsidR="00733DCA" w:rsidRPr="00EA1F3A" w:rsidRDefault="00733DCA" w:rsidP="0001477B">
            <w:pPr>
              <w:spacing w:after="200" w:line="276" w:lineRule="auto"/>
              <w:jc w:val="center"/>
              <w:rPr>
                <w:rFonts w:ascii="Times New Roman" w:eastAsia="Calibri" w:hAnsi="Times New Roman" w:cs="Times New Roman"/>
                <w:noProof/>
                <w:color w:val="000000" w:themeColor="text1"/>
                <w:sz w:val="20"/>
                <w:szCs w:val="20"/>
              </w:rPr>
            </w:pPr>
            <w:r>
              <w:rPr>
                <w:rFonts w:ascii="Calibri" w:hAnsi="Calibri"/>
                <w:noProof/>
                <w:color w:val="000000" w:themeColor="text1"/>
                <w:sz w:val="20"/>
                <w:shd w:val="clear" w:color="auto" w:fill="E6E6E6"/>
              </w:rPr>
              <w:t> </w:t>
            </w:r>
          </w:p>
        </w:tc>
        <w:tc>
          <w:tcPr>
            <w:tcW w:w="642" w:type="dxa"/>
            <w:tcBorders>
              <w:top w:val="nil"/>
              <w:left w:val="nil"/>
              <w:bottom w:val="single" w:sz="4" w:space="0" w:color="auto"/>
              <w:right w:val="single" w:sz="4" w:space="0" w:color="auto"/>
            </w:tcBorders>
            <w:shd w:val="clear" w:color="auto" w:fill="C6EFCE"/>
            <w:noWrap/>
          </w:tcPr>
          <w:p w14:paraId="3FD7B33D" w14:textId="77777777" w:rsidR="00733DCA" w:rsidRPr="00EA1F3A" w:rsidRDefault="00733DCA" w:rsidP="0001477B">
            <w:pPr>
              <w:spacing w:after="200" w:line="276" w:lineRule="auto"/>
              <w:jc w:val="center"/>
              <w:rPr>
                <w:rFonts w:ascii="Times New Roman" w:eastAsia="Calibri" w:hAnsi="Times New Roman" w:cs="Times New Roman"/>
                <w:noProof/>
                <w:color w:val="000000" w:themeColor="text1"/>
                <w:sz w:val="20"/>
                <w:szCs w:val="20"/>
              </w:rPr>
            </w:pPr>
            <w:r>
              <w:rPr>
                <w:rFonts w:ascii="Calibri" w:hAnsi="Calibri"/>
                <w:noProof/>
                <w:color w:val="000000" w:themeColor="text1"/>
                <w:sz w:val="20"/>
              </w:rPr>
              <w:t>3.</w:t>
            </w:r>
          </w:p>
        </w:tc>
        <w:tc>
          <w:tcPr>
            <w:tcW w:w="709" w:type="dxa"/>
            <w:tcBorders>
              <w:top w:val="nil"/>
              <w:left w:val="nil"/>
              <w:bottom w:val="single" w:sz="4" w:space="0" w:color="auto"/>
              <w:right w:val="single" w:sz="4" w:space="0" w:color="auto"/>
            </w:tcBorders>
            <w:shd w:val="clear" w:color="auto" w:fill="C6EFCE"/>
            <w:noWrap/>
          </w:tcPr>
          <w:p w14:paraId="5103FE08"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2023.</w:t>
            </w:r>
          </w:p>
        </w:tc>
        <w:tc>
          <w:tcPr>
            <w:tcW w:w="3544" w:type="dxa"/>
            <w:tcBorders>
              <w:top w:val="nil"/>
              <w:left w:val="nil"/>
              <w:bottom w:val="single" w:sz="4" w:space="0" w:color="auto"/>
              <w:right w:val="single" w:sz="4" w:space="0" w:color="auto"/>
            </w:tcBorders>
            <w:shd w:val="clear" w:color="auto" w:fill="C6EFCE"/>
            <w:noWrap/>
          </w:tcPr>
          <w:p w14:paraId="21354EB4" w14:textId="77777777" w:rsidR="00733DCA" w:rsidRPr="00EA1F3A" w:rsidRDefault="00733DCA" w:rsidP="0001477B">
            <w:pPr>
              <w:spacing w:after="240" w:line="276" w:lineRule="auto"/>
              <w:rPr>
                <w:rFonts w:ascii="Calibri" w:eastAsia="Calibri" w:hAnsi="Calibri" w:cs="Arial"/>
                <w:noProof/>
                <w:color w:val="000000" w:themeColor="text1"/>
                <w:sz w:val="20"/>
                <w:szCs w:val="20"/>
              </w:rPr>
            </w:pPr>
            <w:r>
              <w:rPr>
                <w:rFonts w:ascii="Calibri" w:hAnsi="Calibri"/>
                <w:noProof/>
                <w:color w:val="000000" w:themeColor="text1"/>
                <w:sz w:val="20"/>
              </w:rPr>
              <w:t>Sustav satelitskih računa održivog turizma stvorit će uvjete za upravljanje i praćenje razvoja turizma pomoću definiranih pokazatelja održivosti turizma na nacionalnoj i regionalnoj razini.</w:t>
            </w:r>
            <w:r>
              <w:rPr>
                <w:rFonts w:ascii="Calibri" w:hAnsi="Calibri"/>
                <w:noProof/>
                <w:color w:val="000000" w:themeColor="text1"/>
                <w:sz w:val="20"/>
              </w:rPr>
              <w:br/>
              <w:t>Satelitski račun postat će alat za upravljanje javnom politikom. Prikupljanje i sastavljanje podataka uskladit će se s Europskim sustavom turističkih pokazatelja (ETIS) i konceptima, definicijama, klasifikacijama i računovodstvenim pravilima Sustava okolišno-ekonomskog računovodstva (SEEA). Kako bi se poboljšala učinkovitost regionalne turističke politike, uspostavit će se regionalni satelitski račun održivog turizma, u koji će se dodati posebni pokazatelji turističke aktivnosti na razini odredišta prilagođeni za ukazivanje na moguću pojavu prekomjernog turizma. Podaci i analize bit će podloga za javno i privatno strateško usmjerenje planiranja i pružiti relevantni alat za upravljanje politikama.</w:t>
            </w:r>
          </w:p>
        </w:tc>
      </w:tr>
      <w:tr w:rsidR="00215DFD" w:rsidRPr="00A458F3" w14:paraId="3C6AFBF7"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7B7031BD" w14:textId="77777777" w:rsidR="00733DCA" w:rsidRPr="00EA1F3A"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143</w:t>
            </w:r>
          </w:p>
        </w:tc>
        <w:tc>
          <w:tcPr>
            <w:tcW w:w="993" w:type="dxa"/>
            <w:tcBorders>
              <w:top w:val="nil"/>
              <w:left w:val="nil"/>
              <w:bottom w:val="single" w:sz="4" w:space="0" w:color="auto"/>
              <w:right w:val="single" w:sz="4" w:space="0" w:color="auto"/>
            </w:tcBorders>
            <w:shd w:val="clear" w:color="auto" w:fill="C6EFCE"/>
            <w:noWrap/>
          </w:tcPr>
          <w:p w14:paraId="1A312662"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w:t>
            </w:r>
          </w:p>
        </w:tc>
        <w:tc>
          <w:tcPr>
            <w:tcW w:w="850" w:type="dxa"/>
            <w:tcBorders>
              <w:top w:val="nil"/>
              <w:left w:val="nil"/>
              <w:bottom w:val="single" w:sz="4" w:space="0" w:color="auto"/>
              <w:right w:val="single" w:sz="4" w:space="0" w:color="auto"/>
            </w:tcBorders>
            <w:shd w:val="clear" w:color="auto" w:fill="C6EFCE"/>
            <w:noWrap/>
          </w:tcPr>
          <w:p w14:paraId="6A9A47DA"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Ključna etapa</w:t>
            </w:r>
          </w:p>
        </w:tc>
        <w:tc>
          <w:tcPr>
            <w:tcW w:w="2268" w:type="dxa"/>
            <w:tcBorders>
              <w:top w:val="nil"/>
              <w:left w:val="nil"/>
              <w:bottom w:val="single" w:sz="4" w:space="0" w:color="auto"/>
              <w:right w:val="single" w:sz="4" w:space="0" w:color="auto"/>
            </w:tcBorders>
            <w:shd w:val="clear" w:color="auto" w:fill="C6EFCE"/>
            <w:noWrap/>
          </w:tcPr>
          <w:p w14:paraId="3BC3769F" w14:textId="77777777" w:rsidR="00733DCA" w:rsidRPr="00EA1F3A"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Zakon o turizmu kojim se uspostavlja okvir za praćenje i razvoj turističkog sektora</w:t>
            </w:r>
          </w:p>
        </w:tc>
        <w:tc>
          <w:tcPr>
            <w:tcW w:w="1985" w:type="dxa"/>
            <w:tcBorders>
              <w:top w:val="nil"/>
              <w:left w:val="nil"/>
              <w:bottom w:val="single" w:sz="4" w:space="0" w:color="auto"/>
              <w:right w:val="single" w:sz="4" w:space="0" w:color="auto"/>
            </w:tcBorders>
            <w:shd w:val="clear" w:color="auto" w:fill="C6EFCE"/>
            <w:noWrap/>
          </w:tcPr>
          <w:p w14:paraId="54AA9856" w14:textId="77777777" w:rsidR="00733DCA" w:rsidRPr="00EA1F3A"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Stupanje na snagu Zakona o turizmu </w:t>
            </w:r>
          </w:p>
        </w:tc>
        <w:tc>
          <w:tcPr>
            <w:tcW w:w="850" w:type="dxa"/>
            <w:tcBorders>
              <w:top w:val="nil"/>
              <w:left w:val="nil"/>
              <w:bottom w:val="single" w:sz="4" w:space="0" w:color="auto"/>
              <w:right w:val="single" w:sz="4" w:space="0" w:color="auto"/>
            </w:tcBorders>
            <w:shd w:val="clear" w:color="auto" w:fill="C6EFCE"/>
            <w:noWrap/>
          </w:tcPr>
          <w:p w14:paraId="2FA30EA2"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992" w:type="dxa"/>
            <w:tcBorders>
              <w:top w:val="nil"/>
              <w:left w:val="nil"/>
              <w:bottom w:val="single" w:sz="4" w:space="0" w:color="auto"/>
              <w:right w:val="single" w:sz="4" w:space="0" w:color="auto"/>
            </w:tcBorders>
            <w:shd w:val="clear" w:color="auto" w:fill="C6EFCE"/>
            <w:noWrap/>
          </w:tcPr>
          <w:p w14:paraId="1D752C34"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1059" w:type="dxa"/>
            <w:tcBorders>
              <w:top w:val="nil"/>
              <w:left w:val="nil"/>
              <w:bottom w:val="single" w:sz="4" w:space="0" w:color="auto"/>
              <w:right w:val="single" w:sz="4" w:space="0" w:color="auto"/>
            </w:tcBorders>
            <w:shd w:val="clear" w:color="auto" w:fill="C6EFCE"/>
            <w:noWrap/>
          </w:tcPr>
          <w:p w14:paraId="332D8814"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642" w:type="dxa"/>
            <w:tcBorders>
              <w:top w:val="nil"/>
              <w:left w:val="nil"/>
              <w:bottom w:val="single" w:sz="4" w:space="0" w:color="auto"/>
              <w:right w:val="single" w:sz="4" w:space="0" w:color="auto"/>
            </w:tcBorders>
            <w:shd w:val="clear" w:color="auto" w:fill="C6EFCE"/>
            <w:noWrap/>
          </w:tcPr>
          <w:p w14:paraId="74CA4227"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4.</w:t>
            </w:r>
          </w:p>
        </w:tc>
        <w:tc>
          <w:tcPr>
            <w:tcW w:w="709" w:type="dxa"/>
            <w:tcBorders>
              <w:top w:val="nil"/>
              <w:left w:val="nil"/>
              <w:bottom w:val="single" w:sz="4" w:space="0" w:color="auto"/>
              <w:right w:val="single" w:sz="4" w:space="0" w:color="auto"/>
            </w:tcBorders>
            <w:shd w:val="clear" w:color="auto" w:fill="C6EFCE"/>
            <w:noWrap/>
          </w:tcPr>
          <w:p w14:paraId="0E58B8AC" w14:textId="77777777" w:rsidR="00733DCA" w:rsidRPr="00EA1F3A"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2023.</w:t>
            </w:r>
          </w:p>
        </w:tc>
        <w:tc>
          <w:tcPr>
            <w:tcW w:w="3544" w:type="dxa"/>
            <w:tcBorders>
              <w:top w:val="nil"/>
              <w:left w:val="nil"/>
              <w:bottom w:val="single" w:sz="4" w:space="0" w:color="auto"/>
              <w:right w:val="single" w:sz="4" w:space="0" w:color="auto"/>
            </w:tcBorders>
            <w:shd w:val="clear" w:color="auto" w:fill="C6EFCE"/>
            <w:noWrap/>
          </w:tcPr>
          <w:p w14:paraId="7CB1648A" w14:textId="77777777" w:rsidR="00733DCA" w:rsidRPr="00EA1F3A" w:rsidRDefault="00733DCA" w:rsidP="0001477B">
            <w:pPr>
              <w:spacing w:after="240" w:line="276" w:lineRule="auto"/>
              <w:rPr>
                <w:rFonts w:ascii="Calibri" w:eastAsia="Calibri" w:hAnsi="Calibri" w:cs="Arial"/>
                <w:noProof/>
                <w:color w:val="000000" w:themeColor="text1"/>
                <w:sz w:val="20"/>
                <w:szCs w:val="20"/>
              </w:rPr>
            </w:pPr>
            <w:r>
              <w:rPr>
                <w:rFonts w:ascii="Calibri" w:hAnsi="Calibri"/>
                <w:noProof/>
                <w:color w:val="000000" w:themeColor="text1"/>
                <w:sz w:val="20"/>
              </w:rPr>
              <w:t>Zakonom o turizmu pružit će okvir za praćenje i razvoj sektora turizma uspostavom sustava praćenja i analize podataka i sustava poticanja, praćenja i analize ulaganja, definiranjem uloge ključnih dionika u razvoju turizma i međuresorne suradnje te definiranjem pokazatelja i standarda osiguravanja održivosti turizma (osobito zelenih i digitalnih standarda).</w:t>
            </w:r>
          </w:p>
        </w:tc>
      </w:tr>
      <w:tr w:rsidR="00215DFD" w:rsidRPr="00A458F3" w14:paraId="0EBB83D7"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6F511A0E" w14:textId="77777777" w:rsidR="00733DCA" w:rsidRPr="005C38A9"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144</w:t>
            </w:r>
          </w:p>
        </w:tc>
        <w:tc>
          <w:tcPr>
            <w:tcW w:w="993" w:type="dxa"/>
            <w:tcBorders>
              <w:top w:val="nil"/>
              <w:left w:val="nil"/>
              <w:bottom w:val="single" w:sz="4" w:space="0" w:color="auto"/>
              <w:right w:val="single" w:sz="4" w:space="0" w:color="auto"/>
            </w:tcBorders>
            <w:shd w:val="clear" w:color="auto" w:fill="C6EFCE"/>
            <w:noWrap/>
          </w:tcPr>
          <w:p w14:paraId="1561776F" w14:textId="77777777" w:rsidR="00733DCA" w:rsidRPr="005C38A9"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R1-I1</w:t>
            </w:r>
          </w:p>
        </w:tc>
        <w:tc>
          <w:tcPr>
            <w:tcW w:w="850" w:type="dxa"/>
            <w:tcBorders>
              <w:top w:val="nil"/>
              <w:left w:val="nil"/>
              <w:bottom w:val="single" w:sz="4" w:space="0" w:color="auto"/>
              <w:right w:val="single" w:sz="4" w:space="0" w:color="auto"/>
            </w:tcBorders>
            <w:shd w:val="clear" w:color="auto" w:fill="C6EFCE"/>
            <w:noWrap/>
          </w:tcPr>
          <w:p w14:paraId="572FA9FA" w14:textId="77777777" w:rsidR="00733DCA" w:rsidRPr="005C38A9"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Ključna etapa</w:t>
            </w:r>
          </w:p>
        </w:tc>
        <w:tc>
          <w:tcPr>
            <w:tcW w:w="2268" w:type="dxa"/>
            <w:tcBorders>
              <w:top w:val="nil"/>
              <w:left w:val="nil"/>
              <w:bottom w:val="single" w:sz="4" w:space="0" w:color="auto"/>
              <w:right w:val="single" w:sz="4" w:space="0" w:color="auto"/>
            </w:tcBorders>
            <w:shd w:val="clear" w:color="auto" w:fill="C6EFCE"/>
            <w:noWrap/>
          </w:tcPr>
          <w:p w14:paraId="5A98AEB1" w14:textId="77777777" w:rsidR="00733DCA" w:rsidRPr="005C38A9"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Objava natječaja za zelenu i digitalnu tranziciju postojeće javne turističke infrastrukture i razvoj javne turističke infrastrukture izvan glavnih turističkih i obalnih područja</w:t>
            </w:r>
          </w:p>
        </w:tc>
        <w:tc>
          <w:tcPr>
            <w:tcW w:w="1985" w:type="dxa"/>
            <w:tcBorders>
              <w:top w:val="nil"/>
              <w:left w:val="nil"/>
              <w:bottom w:val="single" w:sz="4" w:space="0" w:color="auto"/>
              <w:right w:val="single" w:sz="4" w:space="0" w:color="auto"/>
            </w:tcBorders>
            <w:shd w:val="clear" w:color="auto" w:fill="C6EFCE"/>
            <w:noWrap/>
          </w:tcPr>
          <w:p w14:paraId="2E729218" w14:textId="77777777" w:rsidR="00733DCA" w:rsidRPr="005C38A9"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Objava natječajne dokumentacije za zelenu i digitalnu tranziciju postojeće javne turističke infrastrukture i razvoj javne turističke infrastrukture izvan glavnih turističkih i obalnih područja </w:t>
            </w:r>
          </w:p>
        </w:tc>
        <w:tc>
          <w:tcPr>
            <w:tcW w:w="850" w:type="dxa"/>
            <w:tcBorders>
              <w:top w:val="nil"/>
              <w:left w:val="nil"/>
              <w:bottom w:val="single" w:sz="4" w:space="0" w:color="auto"/>
              <w:right w:val="single" w:sz="4" w:space="0" w:color="auto"/>
            </w:tcBorders>
            <w:shd w:val="clear" w:color="auto" w:fill="C6EFCE"/>
            <w:noWrap/>
          </w:tcPr>
          <w:p w14:paraId="7C5B7BBB" w14:textId="77777777" w:rsidR="00733DCA" w:rsidRPr="005C38A9"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992" w:type="dxa"/>
            <w:tcBorders>
              <w:top w:val="nil"/>
              <w:left w:val="nil"/>
              <w:bottom w:val="single" w:sz="4" w:space="0" w:color="auto"/>
              <w:right w:val="single" w:sz="4" w:space="0" w:color="auto"/>
            </w:tcBorders>
            <w:shd w:val="clear" w:color="auto" w:fill="C6EFCE"/>
            <w:noWrap/>
          </w:tcPr>
          <w:p w14:paraId="5CA6AD0B" w14:textId="77777777" w:rsidR="00733DCA" w:rsidRPr="005C38A9"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1059" w:type="dxa"/>
            <w:tcBorders>
              <w:top w:val="nil"/>
              <w:left w:val="nil"/>
              <w:bottom w:val="single" w:sz="4" w:space="0" w:color="auto"/>
              <w:right w:val="single" w:sz="4" w:space="0" w:color="auto"/>
            </w:tcBorders>
            <w:shd w:val="clear" w:color="auto" w:fill="C6EFCE"/>
            <w:noWrap/>
          </w:tcPr>
          <w:p w14:paraId="01495F6F" w14:textId="77777777" w:rsidR="00733DCA" w:rsidRPr="005C38A9"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642" w:type="dxa"/>
            <w:tcBorders>
              <w:top w:val="nil"/>
              <w:left w:val="nil"/>
              <w:bottom w:val="single" w:sz="4" w:space="0" w:color="auto"/>
              <w:right w:val="single" w:sz="4" w:space="0" w:color="auto"/>
            </w:tcBorders>
            <w:shd w:val="clear" w:color="auto" w:fill="C6EFCE"/>
            <w:noWrap/>
          </w:tcPr>
          <w:p w14:paraId="76DED008" w14:textId="77777777" w:rsidR="00733DCA" w:rsidRPr="005C38A9"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3.</w:t>
            </w:r>
          </w:p>
        </w:tc>
        <w:tc>
          <w:tcPr>
            <w:tcW w:w="709" w:type="dxa"/>
            <w:tcBorders>
              <w:top w:val="nil"/>
              <w:left w:val="nil"/>
              <w:bottom w:val="single" w:sz="4" w:space="0" w:color="auto"/>
              <w:right w:val="single" w:sz="4" w:space="0" w:color="auto"/>
            </w:tcBorders>
            <w:shd w:val="clear" w:color="auto" w:fill="C6EFCE"/>
            <w:noWrap/>
          </w:tcPr>
          <w:p w14:paraId="5CDFB146" w14:textId="77777777" w:rsidR="00733DCA" w:rsidRPr="005C38A9"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2022.</w:t>
            </w:r>
          </w:p>
        </w:tc>
        <w:tc>
          <w:tcPr>
            <w:tcW w:w="3544" w:type="dxa"/>
            <w:tcBorders>
              <w:top w:val="nil"/>
              <w:left w:val="nil"/>
              <w:bottom w:val="single" w:sz="4" w:space="0" w:color="auto"/>
              <w:right w:val="single" w:sz="4" w:space="0" w:color="auto"/>
            </w:tcBorders>
            <w:shd w:val="clear" w:color="auto" w:fill="C6EFCE"/>
            <w:noWrap/>
          </w:tcPr>
          <w:p w14:paraId="0CA0C53E" w14:textId="77777777" w:rsidR="00733DCA" w:rsidRPr="005C38A9"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U natječajnoj dokumentaciji bit će utvrđeno da će ulaganja biti usredotočena na projekte koji mogu povećati zeleni i digitalni aspekt kvalitete turističke infrastrukture i smanjiti utjecaj na okoliš, a posljedično i koncentraciju gostiju u sezoni. Na glavnim turističkim i obalnim područjima, prema indeksu turističke razvijenosti, bit će prihvatljiva samo ulaganja u zelenu i digitalnu tranziciju postojeće turističke infrastrukture, i to do 29 623 731 EUR ukupnog proračuna, koja doprinose održivom upravljanju odredištima i smanjenju utjecaja na okoliš na vrhuncu sezone.  Kriteriji prihvatljivosti uključuju usklađenost s Tehničkim smjernicama za provedbu načela nenanošenja bitne štete (2021/C58/01).</w:t>
            </w:r>
          </w:p>
        </w:tc>
      </w:tr>
      <w:tr w:rsidR="00215DFD" w:rsidRPr="00A458F3" w14:paraId="799FE40D"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4ABD77F1" w14:textId="77777777" w:rsidR="00733DCA" w:rsidRPr="00D947FE"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145</w:t>
            </w:r>
          </w:p>
        </w:tc>
        <w:tc>
          <w:tcPr>
            <w:tcW w:w="993" w:type="dxa"/>
            <w:tcBorders>
              <w:top w:val="nil"/>
              <w:left w:val="nil"/>
              <w:bottom w:val="single" w:sz="4" w:space="0" w:color="auto"/>
              <w:right w:val="single" w:sz="4" w:space="0" w:color="auto"/>
            </w:tcBorders>
            <w:shd w:val="clear" w:color="auto" w:fill="C6EFCE"/>
            <w:noWrap/>
          </w:tcPr>
          <w:p w14:paraId="61AF322A" w14:textId="77777777" w:rsidR="00733DCA" w:rsidRPr="00D947FE"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R1-I1</w:t>
            </w:r>
          </w:p>
        </w:tc>
        <w:tc>
          <w:tcPr>
            <w:tcW w:w="850" w:type="dxa"/>
            <w:tcBorders>
              <w:top w:val="nil"/>
              <w:left w:val="nil"/>
              <w:bottom w:val="single" w:sz="4" w:space="0" w:color="auto"/>
              <w:right w:val="single" w:sz="4" w:space="0" w:color="auto"/>
            </w:tcBorders>
            <w:shd w:val="clear" w:color="auto" w:fill="C6EFCE"/>
            <w:noWrap/>
          </w:tcPr>
          <w:p w14:paraId="19245864" w14:textId="77777777" w:rsidR="00733DCA" w:rsidRPr="00D947FE"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Ciljna vrijednost</w:t>
            </w:r>
          </w:p>
        </w:tc>
        <w:tc>
          <w:tcPr>
            <w:tcW w:w="2268" w:type="dxa"/>
            <w:tcBorders>
              <w:top w:val="nil"/>
              <w:left w:val="nil"/>
              <w:bottom w:val="single" w:sz="4" w:space="0" w:color="auto"/>
              <w:right w:val="single" w:sz="4" w:space="0" w:color="auto"/>
            </w:tcBorders>
            <w:shd w:val="clear" w:color="auto" w:fill="C6EFCE"/>
            <w:noWrap/>
          </w:tcPr>
          <w:p w14:paraId="4C7E66F2" w14:textId="76D578E2" w:rsidR="00733DCA" w:rsidRPr="00D947FE"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Dovršetak provedbe prihvatljivih projekata ulaganja ili preraspodjela neiskorištenih sredstava za izgradnju i prilagodbu javne turističke infrastrukture prema kriterijima prihvatljivosti</w:t>
            </w:r>
          </w:p>
        </w:tc>
        <w:tc>
          <w:tcPr>
            <w:tcW w:w="1985" w:type="dxa"/>
            <w:tcBorders>
              <w:top w:val="nil"/>
              <w:left w:val="nil"/>
              <w:bottom w:val="single" w:sz="4" w:space="0" w:color="auto"/>
              <w:right w:val="single" w:sz="4" w:space="0" w:color="auto"/>
            </w:tcBorders>
            <w:shd w:val="clear" w:color="auto" w:fill="C6EFCE"/>
            <w:noWrap/>
          </w:tcPr>
          <w:p w14:paraId="2840283C" w14:textId="77777777" w:rsidR="00733DCA" w:rsidRPr="00D947FE"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 </w:t>
            </w:r>
          </w:p>
        </w:tc>
        <w:tc>
          <w:tcPr>
            <w:tcW w:w="850" w:type="dxa"/>
            <w:tcBorders>
              <w:top w:val="nil"/>
              <w:left w:val="nil"/>
              <w:bottom w:val="single" w:sz="4" w:space="0" w:color="auto"/>
              <w:right w:val="single" w:sz="4" w:space="0" w:color="auto"/>
            </w:tcBorders>
            <w:shd w:val="clear" w:color="auto" w:fill="C6EFCE"/>
            <w:noWrap/>
          </w:tcPr>
          <w:p w14:paraId="405442DD" w14:textId="77777777" w:rsidR="00733DCA" w:rsidRPr="00D947FE"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Broj (EUR)</w:t>
            </w:r>
          </w:p>
        </w:tc>
        <w:tc>
          <w:tcPr>
            <w:tcW w:w="992" w:type="dxa"/>
            <w:tcBorders>
              <w:top w:val="nil"/>
              <w:left w:val="nil"/>
              <w:bottom w:val="single" w:sz="4" w:space="0" w:color="auto"/>
              <w:right w:val="single" w:sz="4" w:space="0" w:color="auto"/>
            </w:tcBorders>
            <w:shd w:val="clear" w:color="auto" w:fill="C6EFCE"/>
            <w:noWrap/>
          </w:tcPr>
          <w:p w14:paraId="7B95F38B" w14:textId="77777777" w:rsidR="00733DCA" w:rsidRPr="00D947FE"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0</w:t>
            </w:r>
          </w:p>
        </w:tc>
        <w:tc>
          <w:tcPr>
            <w:tcW w:w="1059" w:type="dxa"/>
            <w:tcBorders>
              <w:top w:val="nil"/>
              <w:left w:val="nil"/>
              <w:bottom w:val="single" w:sz="4" w:space="0" w:color="auto"/>
              <w:right w:val="single" w:sz="4" w:space="0" w:color="auto"/>
            </w:tcBorders>
            <w:shd w:val="clear" w:color="auto" w:fill="C6EFCE"/>
            <w:noWrap/>
          </w:tcPr>
          <w:p w14:paraId="42AD24D7" w14:textId="77777777" w:rsidR="00733DCA" w:rsidRPr="00D947FE"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111 088 991</w:t>
            </w:r>
          </w:p>
        </w:tc>
        <w:tc>
          <w:tcPr>
            <w:tcW w:w="642" w:type="dxa"/>
            <w:tcBorders>
              <w:top w:val="nil"/>
              <w:left w:val="nil"/>
              <w:bottom w:val="single" w:sz="4" w:space="0" w:color="auto"/>
              <w:right w:val="single" w:sz="4" w:space="0" w:color="auto"/>
            </w:tcBorders>
            <w:shd w:val="clear" w:color="auto" w:fill="C6EFCE"/>
            <w:noWrap/>
          </w:tcPr>
          <w:p w14:paraId="076B2400"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w:t>
            </w:r>
          </w:p>
        </w:tc>
        <w:tc>
          <w:tcPr>
            <w:tcW w:w="709" w:type="dxa"/>
            <w:tcBorders>
              <w:top w:val="nil"/>
              <w:left w:val="nil"/>
              <w:bottom w:val="single" w:sz="4" w:space="0" w:color="auto"/>
              <w:right w:val="single" w:sz="4" w:space="0" w:color="auto"/>
            </w:tcBorders>
            <w:shd w:val="clear" w:color="auto" w:fill="C6EFCE"/>
            <w:noWrap/>
          </w:tcPr>
          <w:p w14:paraId="3450C9F3"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2026.</w:t>
            </w:r>
          </w:p>
        </w:tc>
        <w:tc>
          <w:tcPr>
            <w:tcW w:w="3544" w:type="dxa"/>
            <w:tcBorders>
              <w:top w:val="nil"/>
              <w:left w:val="nil"/>
              <w:bottom w:val="single" w:sz="4" w:space="0" w:color="auto"/>
              <w:right w:val="single" w:sz="4" w:space="0" w:color="auto"/>
            </w:tcBorders>
            <w:shd w:val="clear" w:color="auto" w:fill="C6EFCE"/>
            <w:noWrap/>
          </w:tcPr>
          <w:p w14:paraId="1A6040BA" w14:textId="0C18CABD"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Dovršetak provedbe prihvatljivih projekata ulaganja ili provedba postupka preraspodjele neiskorištenih sredstava iz nedovršenih projekata, barem do razine ciljne vrijednosti za izgradnju i prilagodbu javne turističke infrastrukture u skladu s kriterijima za prihvatljivost/odabir za zelenu i digitalnu tranziciju postojeće javne turističke infrastrukture i razvoj javne turističke infrastrukture izvan glavnih turističkih i obalnih područja, koji sadržavaju kriterije za odabir/prihvatljivost koji osiguravaju usklađenost s Tehničkim smjernicama o primjeni načela nenanošenja bitne štete (2021/C58/01) podržanih projekata i usklađenost podržanih projekata s relevantnom pravnom stečevinom EU-a i nacionalnom pravnom stečevinom u području okoliša. </w:t>
            </w:r>
          </w:p>
        </w:tc>
      </w:tr>
      <w:tr w:rsidR="00215DFD" w:rsidRPr="00A458F3" w14:paraId="68BEDA7F"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05FCC7AE"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146</w:t>
            </w:r>
          </w:p>
        </w:tc>
        <w:tc>
          <w:tcPr>
            <w:tcW w:w="993" w:type="dxa"/>
            <w:tcBorders>
              <w:top w:val="nil"/>
              <w:left w:val="nil"/>
              <w:bottom w:val="single" w:sz="4" w:space="0" w:color="auto"/>
              <w:right w:val="single" w:sz="4" w:space="0" w:color="auto"/>
            </w:tcBorders>
            <w:shd w:val="clear" w:color="auto" w:fill="C6EFCE"/>
            <w:noWrap/>
          </w:tcPr>
          <w:p w14:paraId="4D85028D"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R1-I2</w:t>
            </w:r>
          </w:p>
        </w:tc>
        <w:tc>
          <w:tcPr>
            <w:tcW w:w="850" w:type="dxa"/>
            <w:tcBorders>
              <w:top w:val="nil"/>
              <w:left w:val="nil"/>
              <w:bottom w:val="single" w:sz="4" w:space="0" w:color="auto"/>
              <w:right w:val="single" w:sz="4" w:space="0" w:color="auto"/>
            </w:tcBorders>
            <w:shd w:val="clear" w:color="auto" w:fill="C6EFCE"/>
            <w:noWrap/>
          </w:tcPr>
          <w:p w14:paraId="02BFB8BD"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Ključna etapa</w:t>
            </w:r>
          </w:p>
        </w:tc>
        <w:tc>
          <w:tcPr>
            <w:tcW w:w="2268" w:type="dxa"/>
            <w:tcBorders>
              <w:top w:val="nil"/>
              <w:left w:val="nil"/>
              <w:bottom w:val="single" w:sz="4" w:space="0" w:color="auto"/>
              <w:right w:val="single" w:sz="4" w:space="0" w:color="auto"/>
            </w:tcBorders>
            <w:shd w:val="clear" w:color="auto" w:fill="C6EFCE"/>
            <w:noWrap/>
          </w:tcPr>
          <w:p w14:paraId="101ED227"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Objava javnih poziva za jačanje održivosti i poticanje zelene i digitalne tranzicije poduzeća u turizmu, s najmanje 50 % ukupnih ulaganja koja podupiru zelenu tranziciju.</w:t>
            </w:r>
          </w:p>
        </w:tc>
        <w:tc>
          <w:tcPr>
            <w:tcW w:w="1985" w:type="dxa"/>
            <w:tcBorders>
              <w:top w:val="nil"/>
              <w:left w:val="nil"/>
              <w:bottom w:val="single" w:sz="4" w:space="0" w:color="auto"/>
              <w:right w:val="single" w:sz="4" w:space="0" w:color="auto"/>
            </w:tcBorders>
            <w:shd w:val="clear" w:color="auto" w:fill="C6EFCE"/>
            <w:noWrap/>
          </w:tcPr>
          <w:p w14:paraId="0970CB16"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Objava natječajne dokumentacije za jačanje održivosti te poticanja zelene i digitalne tranzicije poduzeća u sektoru turizma/2088;</w:t>
            </w:r>
          </w:p>
        </w:tc>
        <w:tc>
          <w:tcPr>
            <w:tcW w:w="850" w:type="dxa"/>
            <w:tcBorders>
              <w:top w:val="nil"/>
              <w:left w:val="nil"/>
              <w:bottom w:val="single" w:sz="4" w:space="0" w:color="auto"/>
              <w:right w:val="single" w:sz="4" w:space="0" w:color="auto"/>
            </w:tcBorders>
            <w:shd w:val="clear" w:color="auto" w:fill="C6EFCE"/>
            <w:noWrap/>
          </w:tcPr>
          <w:p w14:paraId="472BB5DA"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992" w:type="dxa"/>
            <w:tcBorders>
              <w:top w:val="nil"/>
              <w:left w:val="nil"/>
              <w:bottom w:val="single" w:sz="4" w:space="0" w:color="auto"/>
              <w:right w:val="single" w:sz="4" w:space="0" w:color="auto"/>
            </w:tcBorders>
            <w:shd w:val="clear" w:color="auto" w:fill="C6EFCE"/>
            <w:noWrap/>
          </w:tcPr>
          <w:p w14:paraId="72EC4223"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1059" w:type="dxa"/>
            <w:tcBorders>
              <w:top w:val="nil"/>
              <w:left w:val="nil"/>
              <w:bottom w:val="single" w:sz="4" w:space="0" w:color="auto"/>
              <w:right w:val="single" w:sz="4" w:space="0" w:color="auto"/>
            </w:tcBorders>
            <w:shd w:val="clear" w:color="auto" w:fill="C6EFCE"/>
            <w:noWrap/>
          </w:tcPr>
          <w:p w14:paraId="6CB21FAA"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642" w:type="dxa"/>
            <w:tcBorders>
              <w:top w:val="nil"/>
              <w:left w:val="nil"/>
              <w:bottom w:val="single" w:sz="4" w:space="0" w:color="auto"/>
              <w:right w:val="single" w:sz="4" w:space="0" w:color="auto"/>
            </w:tcBorders>
            <w:shd w:val="clear" w:color="auto" w:fill="C6EFCE"/>
            <w:noWrap/>
          </w:tcPr>
          <w:p w14:paraId="0875ACC8"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3.</w:t>
            </w:r>
          </w:p>
        </w:tc>
        <w:tc>
          <w:tcPr>
            <w:tcW w:w="709" w:type="dxa"/>
            <w:tcBorders>
              <w:top w:val="nil"/>
              <w:left w:val="nil"/>
              <w:bottom w:val="single" w:sz="4" w:space="0" w:color="auto"/>
              <w:right w:val="single" w:sz="4" w:space="0" w:color="auto"/>
            </w:tcBorders>
            <w:shd w:val="clear" w:color="auto" w:fill="C6EFCE"/>
            <w:noWrap/>
          </w:tcPr>
          <w:p w14:paraId="2572170D"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2022.</w:t>
            </w:r>
          </w:p>
        </w:tc>
        <w:tc>
          <w:tcPr>
            <w:tcW w:w="3544" w:type="dxa"/>
            <w:tcBorders>
              <w:top w:val="nil"/>
              <w:left w:val="nil"/>
              <w:bottom w:val="single" w:sz="4" w:space="0" w:color="auto"/>
              <w:right w:val="single" w:sz="4" w:space="0" w:color="auto"/>
            </w:tcBorders>
            <w:shd w:val="clear" w:color="auto" w:fill="C6EFCE"/>
            <w:noWrap/>
          </w:tcPr>
          <w:p w14:paraId="24EB0F83"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U natječajnoj dokumentaciji bit će utvrđeno da će se najmanje 29 862 632 EUR od ukupnih ulaganja dodijeliti za ulaganja usmjerena na ublažavanje klimatskih promjena ili prilagodbu tim promjenama, digitalizaciju aktivnosti u skladu s kriterijima smanjenja emisija stakleničkih plinova, energetske učinkovitosti ili smanjenja otpada te na prelazak na kružno gospodarstvo.</w:t>
            </w:r>
            <w:r>
              <w:rPr>
                <w:rFonts w:ascii="Calibri" w:hAnsi="Calibri"/>
                <w:noProof/>
                <w:color w:val="000000" w:themeColor="text1"/>
                <w:sz w:val="20"/>
              </w:rPr>
              <w:br/>
              <w:t xml:space="preserve">Kriteriji za odabir projekata doprinijet će zelenoj tranziciji, u skladu s NRS-om, europskim zelenim planom, pokazateljima održivosti definiranima u studiji izvedivosti za izradu satelitskog računa održivog turizma Republike Hrvatske i smjernicama za izradu Strategije razvoja održivog turizma do 2030. U skladu s načelima iz Tehničkih smjernica za primjenu načela nenanošenja bitne štete pokazat će kako će ublažiti negativne ekološke učinke koji se mogu povezati s projektom i kako će doprinijeti pozitivnim učincima tijekom provedbe projekta. </w:t>
            </w:r>
            <w:r>
              <w:rPr>
                <w:rFonts w:ascii="Calibri" w:hAnsi="Calibri"/>
                <w:noProof/>
                <w:color w:val="000000" w:themeColor="text1"/>
                <w:sz w:val="20"/>
              </w:rPr>
              <w:br/>
            </w:r>
            <w:r>
              <w:rPr>
                <w:rFonts w:ascii="Calibri" w:hAnsi="Calibri"/>
                <w:noProof/>
                <w:color w:val="000000" w:themeColor="text1"/>
                <w:sz w:val="20"/>
              </w:rPr>
              <w:br/>
              <w:t>U natječajnoj dokumentaciji bit će utvrđeno da će se najmanje 29 862 632 EUR ukupnih ulaganja dodijeliti za potporu zelenoj tranziciji te će se za ta ulaganja navesti kriteriji za odabir/prihvatljivost koji će odražavati zahtjeve primjenjivih područja intervencije [3–100] iz Priloga [VI./VII.] i usklađenost s Tehničkim smjernicama za primjenu načela nenanošenja bitne štete (2021/C58/01) te usklađenost podržanih projekata sa zakonodavstvom u području okoliša na razini EU-a i nacionalnoj razini.</w:t>
            </w:r>
            <w:r>
              <w:rPr>
                <w:rFonts w:ascii="Calibri" w:hAnsi="Calibri"/>
                <w:noProof/>
                <w:color w:val="000000" w:themeColor="text1"/>
                <w:sz w:val="20"/>
              </w:rPr>
              <w:br/>
            </w:r>
          </w:p>
        </w:tc>
      </w:tr>
      <w:tr w:rsidR="00215DFD" w:rsidRPr="00A458F3" w14:paraId="25912438" w14:textId="77777777" w:rsidTr="00442CFC">
        <w:tc>
          <w:tcPr>
            <w:tcW w:w="851" w:type="dxa"/>
            <w:tcBorders>
              <w:top w:val="nil"/>
              <w:left w:val="single" w:sz="4" w:space="0" w:color="auto"/>
              <w:bottom w:val="single" w:sz="4" w:space="0" w:color="auto"/>
              <w:right w:val="single" w:sz="4" w:space="0" w:color="auto"/>
            </w:tcBorders>
            <w:shd w:val="clear" w:color="auto" w:fill="C6EFCE"/>
            <w:noWrap/>
          </w:tcPr>
          <w:p w14:paraId="7CD12608"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147</w:t>
            </w:r>
          </w:p>
        </w:tc>
        <w:tc>
          <w:tcPr>
            <w:tcW w:w="993" w:type="dxa"/>
            <w:tcBorders>
              <w:top w:val="nil"/>
              <w:left w:val="nil"/>
              <w:bottom w:val="single" w:sz="4" w:space="0" w:color="auto"/>
              <w:right w:val="single" w:sz="4" w:space="0" w:color="auto"/>
            </w:tcBorders>
            <w:shd w:val="clear" w:color="auto" w:fill="C6EFCE"/>
            <w:noWrap/>
          </w:tcPr>
          <w:p w14:paraId="7EACF052"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R1-I2</w:t>
            </w:r>
          </w:p>
        </w:tc>
        <w:tc>
          <w:tcPr>
            <w:tcW w:w="850" w:type="dxa"/>
            <w:tcBorders>
              <w:top w:val="nil"/>
              <w:left w:val="nil"/>
              <w:bottom w:val="single" w:sz="4" w:space="0" w:color="auto"/>
              <w:right w:val="single" w:sz="4" w:space="0" w:color="auto"/>
            </w:tcBorders>
            <w:shd w:val="clear" w:color="auto" w:fill="C6EFCE"/>
            <w:noWrap/>
          </w:tcPr>
          <w:p w14:paraId="4B8C7DE3"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Ciljna vrijednost</w:t>
            </w:r>
          </w:p>
        </w:tc>
        <w:tc>
          <w:tcPr>
            <w:tcW w:w="2268" w:type="dxa"/>
            <w:tcBorders>
              <w:top w:val="nil"/>
              <w:left w:val="nil"/>
              <w:bottom w:val="single" w:sz="4" w:space="0" w:color="auto"/>
              <w:right w:val="single" w:sz="4" w:space="0" w:color="auto"/>
            </w:tcBorders>
            <w:shd w:val="clear" w:color="auto" w:fill="C6EFCE"/>
            <w:noWrap/>
          </w:tcPr>
          <w:p w14:paraId="67C6504B"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Dovršetak provedbe prihvatljivih projekata ulaganja ili preraspodjela neiskorištenih sredstava za jačanje održivosti i poticanje zelene i digitalne tranzicije poduzeća u turizmu</w:t>
            </w:r>
          </w:p>
        </w:tc>
        <w:tc>
          <w:tcPr>
            <w:tcW w:w="1985" w:type="dxa"/>
            <w:tcBorders>
              <w:top w:val="nil"/>
              <w:left w:val="nil"/>
              <w:bottom w:val="single" w:sz="4" w:space="0" w:color="auto"/>
              <w:right w:val="single" w:sz="4" w:space="0" w:color="auto"/>
            </w:tcBorders>
            <w:shd w:val="clear" w:color="auto" w:fill="C6EFCE"/>
            <w:noWrap/>
          </w:tcPr>
          <w:p w14:paraId="3E033D7D"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 </w:t>
            </w:r>
          </w:p>
        </w:tc>
        <w:tc>
          <w:tcPr>
            <w:tcW w:w="850" w:type="dxa"/>
            <w:tcBorders>
              <w:top w:val="nil"/>
              <w:left w:val="nil"/>
              <w:bottom w:val="single" w:sz="4" w:space="0" w:color="auto"/>
              <w:right w:val="single" w:sz="4" w:space="0" w:color="auto"/>
            </w:tcBorders>
            <w:shd w:val="clear" w:color="auto" w:fill="C6EFCE"/>
            <w:noWrap/>
          </w:tcPr>
          <w:p w14:paraId="1D5AC1FF"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Broj (EUR)</w:t>
            </w:r>
          </w:p>
        </w:tc>
        <w:tc>
          <w:tcPr>
            <w:tcW w:w="992" w:type="dxa"/>
            <w:tcBorders>
              <w:top w:val="nil"/>
              <w:left w:val="nil"/>
              <w:bottom w:val="single" w:sz="4" w:space="0" w:color="auto"/>
              <w:right w:val="single" w:sz="4" w:space="0" w:color="auto"/>
            </w:tcBorders>
            <w:shd w:val="clear" w:color="auto" w:fill="C6EFCE"/>
            <w:noWrap/>
          </w:tcPr>
          <w:p w14:paraId="3DD12875"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0</w:t>
            </w:r>
          </w:p>
        </w:tc>
        <w:tc>
          <w:tcPr>
            <w:tcW w:w="1059" w:type="dxa"/>
            <w:tcBorders>
              <w:top w:val="nil"/>
              <w:left w:val="nil"/>
              <w:bottom w:val="single" w:sz="4" w:space="0" w:color="auto"/>
              <w:right w:val="single" w:sz="4" w:space="0" w:color="auto"/>
            </w:tcBorders>
            <w:shd w:val="clear" w:color="auto" w:fill="C6EFCE"/>
            <w:noWrap/>
          </w:tcPr>
          <w:p w14:paraId="1C09DBA9"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149 313 160</w:t>
            </w:r>
          </w:p>
        </w:tc>
        <w:tc>
          <w:tcPr>
            <w:tcW w:w="642" w:type="dxa"/>
            <w:tcBorders>
              <w:top w:val="nil"/>
              <w:left w:val="nil"/>
              <w:bottom w:val="single" w:sz="4" w:space="0" w:color="auto"/>
              <w:right w:val="single" w:sz="4" w:space="0" w:color="auto"/>
            </w:tcBorders>
            <w:shd w:val="clear" w:color="auto" w:fill="C6EFCE"/>
            <w:noWrap/>
          </w:tcPr>
          <w:p w14:paraId="413C9CFD" w14:textId="4405588D"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w:t>
            </w:r>
          </w:p>
        </w:tc>
        <w:tc>
          <w:tcPr>
            <w:tcW w:w="709" w:type="dxa"/>
            <w:tcBorders>
              <w:top w:val="nil"/>
              <w:left w:val="nil"/>
              <w:bottom w:val="single" w:sz="4" w:space="0" w:color="auto"/>
              <w:right w:val="single" w:sz="4" w:space="0" w:color="auto"/>
            </w:tcBorders>
            <w:shd w:val="clear" w:color="auto" w:fill="C6EFCE"/>
            <w:noWrap/>
          </w:tcPr>
          <w:p w14:paraId="4D5F7166" w14:textId="50E2908B"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2026.</w:t>
            </w:r>
          </w:p>
        </w:tc>
        <w:tc>
          <w:tcPr>
            <w:tcW w:w="3544" w:type="dxa"/>
            <w:tcBorders>
              <w:top w:val="nil"/>
              <w:left w:val="nil"/>
              <w:bottom w:val="single" w:sz="4" w:space="0" w:color="auto"/>
              <w:right w:val="single" w:sz="4" w:space="0" w:color="auto"/>
            </w:tcBorders>
            <w:shd w:val="clear" w:color="auto" w:fill="C6EFCE"/>
            <w:noWrap/>
          </w:tcPr>
          <w:p w14:paraId="618E2793"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Dovršetak provedbe prihvatljivih projekata ulaganja ili provedba postupka preraspodjele neiskorištenih sredstava iz nedovršenih projekata, barem do razine ciljne vrijednosti za jačanje održivosti i poticanje zelene i digitalne tranzicije poduzeća u turizmu, pri čemu natječaji sadržavaju kriterije za odabir/prihvatljivost koji odražavaju zahtjeve primjenjivih područja intervencije [3–100] iz Priloga [VI/VII.] Uredbi o Mehanizmu za oporavak i otpornost te usklađenost s Tehničkim smjernicama o primjeni načela nenanošenja bitne štete (2021/C58/01) podržanih projekata i usklađenost podržanih projekata s relevantnom pravnom stečevinom EU-a i nacionalnom pravnom stečevinom u području okoliša. </w:t>
            </w:r>
          </w:p>
        </w:tc>
      </w:tr>
      <w:tr w:rsidR="00215DFD" w:rsidRPr="00A458F3" w14:paraId="1CBE255D"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C274ED0"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148</w:t>
            </w:r>
          </w:p>
        </w:tc>
        <w:tc>
          <w:tcPr>
            <w:tcW w:w="993" w:type="dxa"/>
            <w:tcBorders>
              <w:top w:val="single" w:sz="4" w:space="0" w:color="auto"/>
              <w:left w:val="nil"/>
              <w:bottom w:val="single" w:sz="4" w:space="0" w:color="auto"/>
              <w:right w:val="single" w:sz="4" w:space="0" w:color="auto"/>
            </w:tcBorders>
            <w:shd w:val="clear" w:color="auto" w:fill="C6EFCE"/>
            <w:noWrap/>
          </w:tcPr>
          <w:p w14:paraId="1B074C91"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R1-I3</w:t>
            </w:r>
          </w:p>
        </w:tc>
        <w:tc>
          <w:tcPr>
            <w:tcW w:w="850" w:type="dxa"/>
            <w:tcBorders>
              <w:top w:val="single" w:sz="4" w:space="0" w:color="auto"/>
              <w:left w:val="nil"/>
              <w:bottom w:val="single" w:sz="4" w:space="0" w:color="auto"/>
              <w:right w:val="single" w:sz="4" w:space="0" w:color="auto"/>
            </w:tcBorders>
            <w:shd w:val="clear" w:color="auto" w:fill="C6EFCE"/>
            <w:noWrap/>
          </w:tcPr>
          <w:p w14:paraId="021129B3"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Ključna etapa</w:t>
            </w:r>
          </w:p>
        </w:tc>
        <w:tc>
          <w:tcPr>
            <w:tcW w:w="2268" w:type="dxa"/>
            <w:tcBorders>
              <w:top w:val="single" w:sz="4" w:space="0" w:color="auto"/>
              <w:left w:val="nil"/>
              <w:bottom w:val="single" w:sz="4" w:space="0" w:color="auto"/>
              <w:right w:val="single" w:sz="4" w:space="0" w:color="auto"/>
            </w:tcBorders>
            <w:shd w:val="clear" w:color="auto" w:fill="C6EFCE"/>
            <w:noWrap/>
          </w:tcPr>
          <w:p w14:paraId="67797564"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Obrazovni programi za jačanje znanja i vještina u turizmu</w:t>
            </w:r>
          </w:p>
        </w:tc>
        <w:tc>
          <w:tcPr>
            <w:tcW w:w="1985" w:type="dxa"/>
            <w:tcBorders>
              <w:top w:val="single" w:sz="4" w:space="0" w:color="auto"/>
              <w:left w:val="nil"/>
              <w:bottom w:val="single" w:sz="4" w:space="0" w:color="auto"/>
              <w:right w:val="single" w:sz="4" w:space="0" w:color="auto"/>
            </w:tcBorders>
            <w:shd w:val="clear" w:color="auto" w:fill="C6EFCE"/>
            <w:noWrap/>
          </w:tcPr>
          <w:p w14:paraId="39997478"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Objava obrazovnog programa</w:t>
            </w:r>
          </w:p>
        </w:tc>
        <w:tc>
          <w:tcPr>
            <w:tcW w:w="850" w:type="dxa"/>
            <w:tcBorders>
              <w:top w:val="single" w:sz="4" w:space="0" w:color="auto"/>
              <w:left w:val="nil"/>
              <w:bottom w:val="single" w:sz="4" w:space="0" w:color="auto"/>
              <w:right w:val="single" w:sz="4" w:space="0" w:color="auto"/>
            </w:tcBorders>
            <w:shd w:val="clear" w:color="auto" w:fill="C6EFCE"/>
            <w:noWrap/>
          </w:tcPr>
          <w:p w14:paraId="4F15E2BB"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15A7F02F"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0</w:t>
            </w:r>
          </w:p>
        </w:tc>
        <w:tc>
          <w:tcPr>
            <w:tcW w:w="1059" w:type="dxa"/>
            <w:tcBorders>
              <w:top w:val="single" w:sz="4" w:space="0" w:color="auto"/>
              <w:left w:val="nil"/>
              <w:bottom w:val="single" w:sz="4" w:space="0" w:color="auto"/>
              <w:right w:val="single" w:sz="4" w:space="0" w:color="auto"/>
            </w:tcBorders>
            <w:shd w:val="clear" w:color="auto" w:fill="C6EFCE"/>
            <w:noWrap/>
          </w:tcPr>
          <w:p w14:paraId="66B60327"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10</w:t>
            </w:r>
          </w:p>
        </w:tc>
        <w:tc>
          <w:tcPr>
            <w:tcW w:w="642" w:type="dxa"/>
            <w:tcBorders>
              <w:top w:val="single" w:sz="4" w:space="0" w:color="auto"/>
              <w:left w:val="nil"/>
              <w:bottom w:val="single" w:sz="4" w:space="0" w:color="auto"/>
              <w:right w:val="single" w:sz="4" w:space="0" w:color="auto"/>
            </w:tcBorders>
            <w:shd w:val="clear" w:color="auto" w:fill="C6EFCE"/>
            <w:noWrap/>
          </w:tcPr>
          <w:p w14:paraId="6FA3E554"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7DA1B283"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2024.</w:t>
            </w:r>
          </w:p>
        </w:tc>
        <w:tc>
          <w:tcPr>
            <w:tcW w:w="3544" w:type="dxa"/>
            <w:tcBorders>
              <w:top w:val="single" w:sz="4" w:space="0" w:color="auto"/>
              <w:left w:val="nil"/>
              <w:bottom w:val="single" w:sz="4" w:space="0" w:color="auto"/>
              <w:right w:val="single" w:sz="4" w:space="0" w:color="auto"/>
            </w:tcBorders>
            <w:shd w:val="clear" w:color="auto" w:fill="C6EFCE"/>
            <w:noWrap/>
          </w:tcPr>
          <w:p w14:paraId="3F4A341D" w14:textId="1F7A2DED"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Izrađeni obrazovni programi za jačanje znanja i vještina u turizmu, uključujući digitalne vještine za državne i javne službenike u sustavu turizma, nezaposlene i edukacije kod poslodavaca</w:t>
            </w:r>
            <w:r>
              <w:rPr>
                <w:rFonts w:ascii="Calibri" w:hAnsi="Calibri"/>
                <w:noProof/>
                <w:color w:val="000000" w:themeColor="text1"/>
                <w:sz w:val="20"/>
              </w:rPr>
              <w:br/>
              <w:t>Izrađeni obrazovni programi temeljit će se na analizama potreba tržišta rada i stvorit će osnovu za jačanje znanja i vještina u turizmu, uključujući digitalne vještine za državne službenike u sustavu turizma i službenike u sustavu turističkih zajednica, nezaposlene i edukacije kod poslodavaca. Kriteriji za odabir programa koji će se razvijati bit će doprinos ostvarenju ciljeva digitalne i zelene tranzicije, odnosno stjecanje znanja i vještina potrebnih za provedbu projekata financiranih u okviru ulaganja C1.6. I2 i I1 te potkomponente, kao što su znanja povezana sa zelenom gradnjom, obnovljivim izvorima energije, inovativnim proizvodima, poduzetničkim vještinama i održivim upravljanjem destinacijom.</w:t>
            </w:r>
          </w:p>
        </w:tc>
      </w:tr>
      <w:tr w:rsidR="00215DFD" w:rsidRPr="00A458F3" w14:paraId="7861FDF2" w14:textId="77777777" w:rsidTr="00442CF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5AC18AF"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149</w:t>
            </w:r>
          </w:p>
        </w:tc>
        <w:tc>
          <w:tcPr>
            <w:tcW w:w="993" w:type="dxa"/>
            <w:tcBorders>
              <w:top w:val="single" w:sz="4" w:space="0" w:color="auto"/>
              <w:left w:val="nil"/>
              <w:bottom w:val="single" w:sz="4" w:space="0" w:color="auto"/>
              <w:right w:val="single" w:sz="4" w:space="0" w:color="auto"/>
            </w:tcBorders>
            <w:shd w:val="clear" w:color="auto" w:fill="C6EFCE"/>
            <w:noWrap/>
          </w:tcPr>
          <w:p w14:paraId="763BB861"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C1.6. R1-I3</w:t>
            </w:r>
          </w:p>
        </w:tc>
        <w:tc>
          <w:tcPr>
            <w:tcW w:w="850" w:type="dxa"/>
            <w:tcBorders>
              <w:top w:val="single" w:sz="4" w:space="0" w:color="auto"/>
              <w:left w:val="nil"/>
              <w:bottom w:val="single" w:sz="4" w:space="0" w:color="auto"/>
              <w:right w:val="single" w:sz="4" w:space="0" w:color="auto"/>
            </w:tcBorders>
            <w:shd w:val="clear" w:color="auto" w:fill="C6EFCE"/>
            <w:noWrap/>
          </w:tcPr>
          <w:p w14:paraId="6C1D5407"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Ciljna vrijednost</w:t>
            </w:r>
          </w:p>
        </w:tc>
        <w:tc>
          <w:tcPr>
            <w:tcW w:w="2268" w:type="dxa"/>
            <w:tcBorders>
              <w:top w:val="single" w:sz="4" w:space="0" w:color="auto"/>
              <w:left w:val="nil"/>
              <w:bottom w:val="single" w:sz="4" w:space="0" w:color="auto"/>
              <w:right w:val="single" w:sz="4" w:space="0" w:color="auto"/>
            </w:tcBorders>
            <w:shd w:val="clear" w:color="auto" w:fill="C6EFCE"/>
            <w:noWrap/>
          </w:tcPr>
          <w:p w14:paraId="3C2D74DF"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Educirani polaznici obrazovnih programa za jačanje znanja i vještina u turizmu, uključujući digitalne vještine za državne i javne službenike u sustavu turizma, nezaposlene i edukacije kod poslodavaca</w:t>
            </w:r>
          </w:p>
        </w:tc>
        <w:tc>
          <w:tcPr>
            <w:tcW w:w="1985" w:type="dxa"/>
            <w:tcBorders>
              <w:top w:val="single" w:sz="4" w:space="0" w:color="auto"/>
              <w:left w:val="nil"/>
              <w:bottom w:val="single" w:sz="4" w:space="0" w:color="auto"/>
              <w:right w:val="single" w:sz="4" w:space="0" w:color="auto"/>
            </w:tcBorders>
            <w:shd w:val="clear" w:color="auto" w:fill="C6EFCE"/>
            <w:noWrap/>
          </w:tcPr>
          <w:p w14:paraId="36E9713E" w14:textId="77777777"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34AA3662"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Broj</w:t>
            </w:r>
          </w:p>
        </w:tc>
        <w:tc>
          <w:tcPr>
            <w:tcW w:w="992" w:type="dxa"/>
            <w:tcBorders>
              <w:top w:val="single" w:sz="4" w:space="0" w:color="auto"/>
              <w:left w:val="nil"/>
              <w:bottom w:val="single" w:sz="4" w:space="0" w:color="auto"/>
              <w:right w:val="single" w:sz="4" w:space="0" w:color="auto"/>
            </w:tcBorders>
            <w:shd w:val="clear" w:color="auto" w:fill="C6EFCE"/>
            <w:noWrap/>
          </w:tcPr>
          <w:p w14:paraId="00F525CC"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0</w:t>
            </w:r>
          </w:p>
        </w:tc>
        <w:tc>
          <w:tcPr>
            <w:tcW w:w="1059" w:type="dxa"/>
            <w:tcBorders>
              <w:top w:val="single" w:sz="4" w:space="0" w:color="auto"/>
              <w:left w:val="nil"/>
              <w:bottom w:val="single" w:sz="4" w:space="0" w:color="auto"/>
              <w:right w:val="single" w:sz="4" w:space="0" w:color="auto"/>
            </w:tcBorders>
            <w:shd w:val="clear" w:color="auto" w:fill="C6EFCE"/>
            <w:noWrap/>
          </w:tcPr>
          <w:p w14:paraId="57B7AE91"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1 000</w:t>
            </w:r>
          </w:p>
        </w:tc>
        <w:tc>
          <w:tcPr>
            <w:tcW w:w="642" w:type="dxa"/>
            <w:tcBorders>
              <w:top w:val="single" w:sz="4" w:space="0" w:color="auto"/>
              <w:left w:val="nil"/>
              <w:bottom w:val="single" w:sz="4" w:space="0" w:color="auto"/>
              <w:right w:val="single" w:sz="4" w:space="0" w:color="auto"/>
            </w:tcBorders>
            <w:shd w:val="clear" w:color="auto" w:fill="C6EFCE"/>
            <w:noWrap/>
          </w:tcPr>
          <w:p w14:paraId="3CB0D801"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675B6FCF" w14:textId="77777777" w:rsidR="00733DCA" w:rsidRPr="0081708F"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2025.</w:t>
            </w:r>
          </w:p>
        </w:tc>
        <w:tc>
          <w:tcPr>
            <w:tcW w:w="3544" w:type="dxa"/>
            <w:tcBorders>
              <w:top w:val="single" w:sz="4" w:space="0" w:color="auto"/>
              <w:left w:val="nil"/>
              <w:bottom w:val="single" w:sz="4" w:space="0" w:color="auto"/>
              <w:right w:val="single" w:sz="4" w:space="0" w:color="auto"/>
            </w:tcBorders>
            <w:shd w:val="clear" w:color="auto" w:fill="C6EFCE"/>
            <w:noWrap/>
          </w:tcPr>
          <w:p w14:paraId="39DD430C" w14:textId="167EA1F0" w:rsidR="00733DCA" w:rsidRPr="0081708F" w:rsidRDefault="00733DCA" w:rsidP="0001477B">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Najmanje 1 000 pripravnika/zaposlenika u turizmu ili javnom sektoru povezanom s turizmom pohađat će tečaj osposobljavanja u području turizma ili nadograditi svoje kvalifikacije počevši od 2022. </w:t>
            </w:r>
          </w:p>
        </w:tc>
      </w:tr>
    </w:tbl>
    <w:p w14:paraId="3EF63C5D" w14:textId="77777777" w:rsidR="00733DCA" w:rsidRPr="00BC0323" w:rsidRDefault="00733DCA" w:rsidP="0001477B">
      <w:pPr>
        <w:rPr>
          <w:noProof/>
          <w:color w:val="000000" w:themeColor="text1"/>
        </w:rPr>
      </w:pPr>
    </w:p>
    <w:p w14:paraId="5C872335" w14:textId="77777777" w:rsidR="00C75D46" w:rsidRDefault="00C75D46" w:rsidP="0001477B">
      <w:pPr>
        <w:keepNext/>
        <w:tabs>
          <w:tab w:val="left" w:pos="850"/>
        </w:tabs>
        <w:ind w:left="850" w:hanging="850"/>
        <w:jc w:val="both"/>
        <w:outlineLvl w:val="0"/>
        <w:rPr>
          <w:rFonts w:ascii="Times New Roman" w:hAnsi="Times New Roman" w:cs="Times New Roman"/>
          <w:b/>
          <w:bCs/>
          <w:smallCaps/>
          <w:noProof/>
          <w:sz w:val="24"/>
          <w:szCs w:val="24"/>
        </w:rPr>
        <w:sectPr w:rsidR="00C75D46" w:rsidSect="0001477B">
          <w:headerReference w:type="even" r:id="rId120"/>
          <w:headerReference w:type="default" r:id="rId121"/>
          <w:footerReference w:type="even" r:id="rId122"/>
          <w:footerReference w:type="default" r:id="rId123"/>
          <w:headerReference w:type="first" r:id="rId124"/>
          <w:footerReference w:type="first" r:id="rId125"/>
          <w:pgSz w:w="15840" w:h="12240" w:orient="landscape"/>
          <w:pgMar w:top="1440" w:right="1440" w:bottom="1440" w:left="1440" w:header="708" w:footer="708" w:gutter="0"/>
          <w:cols w:space="708"/>
          <w:docGrid w:linePitch="360"/>
        </w:sectPr>
      </w:pPr>
    </w:p>
    <w:p w14:paraId="668C0860" w14:textId="77777777" w:rsidR="00733DCA" w:rsidRDefault="00733DCA" w:rsidP="0001477B">
      <w:pPr>
        <w:keepNext/>
        <w:tabs>
          <w:tab w:val="left" w:pos="850"/>
        </w:tabs>
        <w:ind w:left="850" w:hanging="850"/>
        <w:jc w:val="both"/>
        <w:outlineLvl w:val="0"/>
        <w:rPr>
          <w:noProof/>
        </w:rPr>
      </w:pPr>
      <w:r>
        <w:rPr>
          <w:rFonts w:ascii="Times New Roman" w:hAnsi="Times New Roman"/>
          <w:b/>
          <w:smallCaps/>
          <w:noProof/>
          <w:sz w:val="24"/>
        </w:rPr>
        <w:t>G. KOMPONENTA 2.1.: JAČANJE KAPACITETA ZA IZRADU I PROVEDBU JAVNIH POLITIKA I PROJEKATA</w:t>
      </w:r>
    </w:p>
    <w:p w14:paraId="252A4922" w14:textId="77777777" w:rsidR="00733DCA" w:rsidRDefault="00733DCA" w:rsidP="0001477B">
      <w:pPr>
        <w:pStyle w:val="Text1"/>
        <w:ind w:left="0"/>
        <w:rPr>
          <w:noProof/>
        </w:rPr>
      </w:pPr>
      <w:r>
        <w:rPr>
          <w:noProof/>
        </w:rPr>
        <w:t>Ova komponenta NPOO-a namijenjena je poboljšanju kvalitete oblikovanja javnih politika, povećanju kapaciteta nadležnih tijela za izradu i provedbu javnih projekata i politika, smanjenju rascjepkanosti javne uprave boljom koordinacijom među relevantnim ministarstvima te pospješivanju provedbe javnih politika i projekata.</w:t>
      </w:r>
      <w:r>
        <w:rPr>
          <w:rStyle w:val="normaltextrun"/>
          <w:noProof/>
          <w:shd w:val="clear" w:color="auto" w:fill="FFFFFF"/>
        </w:rPr>
        <w:t xml:space="preserve"> Komponenta uključuje mjere namijenjene:</w:t>
      </w:r>
    </w:p>
    <w:p w14:paraId="6244534C" w14:textId="77777777" w:rsidR="00733DCA" w:rsidRDefault="00733DCA" w:rsidP="00733DCA">
      <w:pPr>
        <w:pStyle w:val="Text1"/>
        <w:numPr>
          <w:ilvl w:val="0"/>
          <w:numId w:val="15"/>
        </w:numPr>
        <w:rPr>
          <w:noProof/>
        </w:rPr>
      </w:pPr>
      <w:r>
        <w:rPr>
          <w:noProof/>
        </w:rPr>
        <w:t>unapređenju izrade i provedbe javnih politika i projekata na središnjoj i lokalnoj razini pojačanim korištenjem digitalnih tehnologija,</w:t>
      </w:r>
    </w:p>
    <w:p w14:paraId="723C826B" w14:textId="77777777" w:rsidR="00733DCA" w:rsidRDefault="00733DCA" w:rsidP="00733DCA">
      <w:pPr>
        <w:pStyle w:val="Text1"/>
        <w:numPr>
          <w:ilvl w:val="0"/>
          <w:numId w:val="15"/>
        </w:numPr>
        <w:rPr>
          <w:noProof/>
        </w:rPr>
      </w:pPr>
      <w:r>
        <w:rPr>
          <w:noProof/>
        </w:rPr>
        <w:t xml:space="preserve">pružanju pomoći korisnicima u pripremi projektno-tehničke dokumentacije za projekte u području zelene i digitalne tranzicije, i </w:t>
      </w:r>
    </w:p>
    <w:p w14:paraId="16642DB9" w14:textId="77777777" w:rsidR="00733DCA" w:rsidRDefault="00733DCA" w:rsidP="00733DCA">
      <w:pPr>
        <w:pStyle w:val="Text1"/>
        <w:numPr>
          <w:ilvl w:val="0"/>
          <w:numId w:val="15"/>
        </w:numPr>
        <w:rPr>
          <w:noProof/>
        </w:rPr>
      </w:pPr>
      <w:r>
        <w:rPr>
          <w:noProof/>
        </w:rPr>
        <w:t xml:space="preserve">jačanju mehanizama za koordinaciju i upravljanje javnim politikama. </w:t>
      </w:r>
    </w:p>
    <w:p w14:paraId="1C3AC696" w14:textId="77777777" w:rsidR="00733DCA" w:rsidRDefault="00733DCA" w:rsidP="0001477B">
      <w:pPr>
        <w:pStyle w:val="Text1"/>
        <w:ind w:left="0"/>
        <w:rPr>
          <w:noProof/>
        </w:rPr>
      </w:pPr>
      <w:r>
        <w:rPr>
          <w:rStyle w:val="normaltextrun"/>
          <w:noProof/>
          <w:shd w:val="clear" w:color="auto" w:fill="FFFFFF"/>
        </w:rPr>
        <w:t>Komponentom će se doprinijeti ispunjenju preporuka za Hrvatsku o povećanju kapaciteta nadležnih tijela za izradu i provedbu javnih projekata i politika (3. preporuka za Hrvatsku iz 2019.) i o povećanju kapaciteta i učinkovitosti javne uprave za izradu i provedbu javnih projekata i politika na središnjoj i lokalnoj razini (4. preporuka za Hrvatsku iz 2020.).</w:t>
      </w:r>
    </w:p>
    <w:p w14:paraId="15E11AB2" w14:textId="77777777" w:rsidR="00733DCA" w:rsidRDefault="00733DCA" w:rsidP="0001477B">
      <w:pPr>
        <w:keepNext/>
        <w:tabs>
          <w:tab w:val="num" w:pos="850"/>
        </w:tabs>
        <w:ind w:left="851"/>
        <w:jc w:val="both"/>
        <w:outlineLvl w:val="1"/>
        <w:rPr>
          <w:noProof/>
        </w:rPr>
      </w:pPr>
      <w:r>
        <w:rPr>
          <w:rFonts w:ascii="Times New Roman" w:hAnsi="Times New Roman"/>
          <w:b/>
          <w:noProof/>
          <w:sz w:val="24"/>
          <w:u w:val="single"/>
        </w:rPr>
        <w:t xml:space="preserve">G.1. </w:t>
      </w:r>
      <w:r>
        <w:rPr>
          <w:rFonts w:ascii="Times New Roman" w:hAnsi="Times New Roman"/>
          <w:b/>
          <w:noProof/>
          <w:sz w:val="24"/>
          <w:u w:val="single"/>
        </w:rPr>
        <w:tab/>
        <w:t>Opis reformi i ulaganja za programe bespovratne financijske potpore</w:t>
      </w:r>
    </w:p>
    <w:p w14:paraId="77C9ECF6" w14:textId="77777777" w:rsidR="00733DCA" w:rsidRDefault="00733DCA" w:rsidP="0001477B">
      <w:pPr>
        <w:keepNext/>
        <w:ind w:left="850"/>
        <w:jc w:val="both"/>
        <w:rPr>
          <w:noProof/>
        </w:rPr>
      </w:pPr>
      <w:r>
        <w:rPr>
          <w:rFonts w:ascii="Times New Roman" w:hAnsi="Times New Roman"/>
          <w:noProof/>
          <w:sz w:val="24"/>
          <w:u w:val="single"/>
        </w:rPr>
        <w:t>Reforma: C2.1. R1 – Jačanje mehanizama za integraciju i upravljanje javnim politikama uz profesionalizaciju strateškog planiranja</w:t>
      </w:r>
    </w:p>
    <w:p w14:paraId="18949274" w14:textId="77777777" w:rsidR="00733DCA" w:rsidRDefault="00733DCA" w:rsidP="0001477B">
      <w:pPr>
        <w:pStyle w:val="Text1"/>
        <w:ind w:left="0"/>
        <w:rPr>
          <w:rStyle w:val="normaltextrun"/>
          <w:noProof/>
          <w:shd w:val="clear" w:color="auto" w:fill="FFFFFF"/>
        </w:rPr>
      </w:pPr>
      <w:r>
        <w:rPr>
          <w:rStyle w:val="normaltextrun"/>
          <w:noProof/>
          <w:shd w:val="clear" w:color="auto" w:fill="FFFFFF"/>
        </w:rPr>
        <w:t>Reforma će ojačati mehanizme koordinacije i integracije javnih politika, kroz povezivanje trenutačno odvojenih procesa i postupaka, širenje obuhvata i primjene postupaka procjene učinka javnih politika i propisa te profesionalizaciju poslova strateškog planiranja i procjene učinaka propisa.</w:t>
      </w:r>
    </w:p>
    <w:p w14:paraId="16C33400" w14:textId="77777777" w:rsidR="00733DCA" w:rsidRDefault="00733DCA" w:rsidP="0001477B">
      <w:pPr>
        <w:pStyle w:val="Bodytext20"/>
        <w:shd w:val="clear" w:color="auto" w:fill="auto"/>
        <w:spacing w:before="0" w:after="0"/>
        <w:ind w:left="800" w:right="580" w:firstLine="0"/>
        <w:rPr>
          <w:rFonts w:ascii="Times New Roman" w:hAnsi="Times New Roman" w:cs="Times New Roman"/>
          <w:noProof/>
          <w:sz w:val="24"/>
          <w:szCs w:val="24"/>
        </w:rPr>
      </w:pPr>
    </w:p>
    <w:p w14:paraId="59AE9EE4" w14:textId="77777777" w:rsidR="00733DCA" w:rsidRDefault="00733DCA" w:rsidP="0001477B">
      <w:pPr>
        <w:pStyle w:val="Bodytext20"/>
        <w:shd w:val="clear" w:color="auto" w:fill="auto"/>
        <w:spacing w:before="0" w:after="0"/>
        <w:ind w:right="580" w:firstLine="0"/>
        <w:rPr>
          <w:rFonts w:ascii="Times New Roman" w:hAnsi="Times New Roman" w:cs="Times New Roman"/>
          <w:noProof/>
          <w:sz w:val="24"/>
          <w:szCs w:val="24"/>
        </w:rPr>
      </w:pPr>
      <w:r>
        <w:rPr>
          <w:rFonts w:ascii="Times New Roman" w:hAnsi="Times New Roman"/>
          <w:noProof/>
          <w:sz w:val="24"/>
        </w:rPr>
        <w:t>Reforma uključuje sljedeće ključne elemente:</w:t>
      </w:r>
    </w:p>
    <w:p w14:paraId="1B128831" w14:textId="77777777" w:rsidR="00733DCA" w:rsidRDefault="00733DCA" w:rsidP="00733DCA">
      <w:pPr>
        <w:pStyle w:val="Text1"/>
        <w:numPr>
          <w:ilvl w:val="0"/>
          <w:numId w:val="15"/>
        </w:numPr>
        <w:rPr>
          <w:noProof/>
        </w:rPr>
      </w:pPr>
      <w:r>
        <w:rPr>
          <w:noProof/>
        </w:rPr>
        <w:t xml:space="preserve">izmjenu zakonodavnog okvira sustava strateškog planiranja radi povećanja djelotvornosti strateškog planiranja i profesionalizacije izrade strateških dokumenata, </w:t>
      </w:r>
    </w:p>
    <w:p w14:paraId="30FF80D7" w14:textId="77777777" w:rsidR="00733DCA" w:rsidRDefault="00733DCA" w:rsidP="00733DCA">
      <w:pPr>
        <w:pStyle w:val="Text1"/>
        <w:numPr>
          <w:ilvl w:val="0"/>
          <w:numId w:val="15"/>
        </w:numPr>
        <w:rPr>
          <w:noProof/>
        </w:rPr>
      </w:pPr>
      <w:r>
        <w:rPr>
          <w:noProof/>
        </w:rPr>
        <w:t>mapiranje poslovnih procesa u području strateškog planiranja i procjene učinka propisa,</w:t>
      </w:r>
    </w:p>
    <w:p w14:paraId="54FE850E" w14:textId="77777777" w:rsidR="00733DCA" w:rsidRDefault="00733DCA" w:rsidP="00733DCA">
      <w:pPr>
        <w:pStyle w:val="Text1"/>
        <w:numPr>
          <w:ilvl w:val="0"/>
          <w:numId w:val="15"/>
        </w:numPr>
        <w:rPr>
          <w:noProof/>
        </w:rPr>
      </w:pPr>
      <w:r>
        <w:rPr>
          <w:noProof/>
        </w:rPr>
        <w:t>ujednačavanje i standardiziranje postupaka strateškog planiranja i upravljanja javnim politikama izradom pisanih uputa,</w:t>
      </w:r>
    </w:p>
    <w:p w14:paraId="434358D4" w14:textId="77777777" w:rsidR="00733DCA" w:rsidRDefault="00733DCA" w:rsidP="00733DCA">
      <w:pPr>
        <w:pStyle w:val="Text1"/>
        <w:numPr>
          <w:ilvl w:val="0"/>
          <w:numId w:val="15"/>
        </w:numPr>
        <w:rPr>
          <w:noProof/>
        </w:rPr>
      </w:pPr>
      <w:r>
        <w:rPr>
          <w:noProof/>
        </w:rPr>
        <w:t>izradu opisa poslova i kataloga kompetencija povezanih s poslovima strateškog planiranja i upravljanja javnim politikama,</w:t>
      </w:r>
    </w:p>
    <w:p w14:paraId="09B3A8B1" w14:textId="77777777" w:rsidR="00733DCA" w:rsidRDefault="00733DCA" w:rsidP="00733DCA">
      <w:pPr>
        <w:pStyle w:val="Text1"/>
        <w:numPr>
          <w:ilvl w:val="0"/>
          <w:numId w:val="15"/>
        </w:numPr>
        <w:rPr>
          <w:noProof/>
        </w:rPr>
      </w:pPr>
      <w:r>
        <w:rPr>
          <w:noProof/>
        </w:rPr>
        <w:t>uspostavu zajedničke koordinacije za stalno vrednovanje i kontinuirano unapređenje javnih politika,</w:t>
      </w:r>
    </w:p>
    <w:p w14:paraId="4C5B4273" w14:textId="77777777" w:rsidR="00733DCA" w:rsidRDefault="00733DCA" w:rsidP="00733DCA">
      <w:pPr>
        <w:pStyle w:val="Text1"/>
        <w:numPr>
          <w:ilvl w:val="0"/>
          <w:numId w:val="15"/>
        </w:numPr>
        <w:rPr>
          <w:noProof/>
        </w:rPr>
      </w:pPr>
      <w:r>
        <w:rPr>
          <w:noProof/>
        </w:rPr>
        <w:t>uspostavu partnerstva s javnim znanstvenim institutima i akademskim ustanovama za provedbu postupaka neovisnog vrednovanja javnih politika.</w:t>
      </w:r>
    </w:p>
    <w:p w14:paraId="64111FCD" w14:textId="77777777" w:rsidR="00733DCA" w:rsidRDefault="00733DCA" w:rsidP="0001477B">
      <w:pPr>
        <w:pStyle w:val="Text1"/>
        <w:ind w:left="0"/>
        <w:rPr>
          <w:noProof/>
          <w:szCs w:val="24"/>
        </w:rPr>
      </w:pPr>
      <w:r>
        <w:rPr>
          <w:noProof/>
        </w:rPr>
        <w:t>Reforma će biti dovršena do 31. prosinca 2025.</w:t>
      </w:r>
    </w:p>
    <w:p w14:paraId="7FFDD622" w14:textId="77777777" w:rsidR="00733DCA" w:rsidRDefault="00733DCA" w:rsidP="0001477B">
      <w:pPr>
        <w:pStyle w:val="Text1"/>
        <w:keepNext/>
        <w:rPr>
          <w:noProof/>
          <w:u w:val="single"/>
        </w:rPr>
      </w:pPr>
      <w:r>
        <w:rPr>
          <w:noProof/>
          <w:u w:val="single"/>
        </w:rPr>
        <w:t>Reforma: C2.1. R2 – Jačanje kapaciteta za pripremu i provedbu projekata EU-a</w:t>
      </w:r>
    </w:p>
    <w:p w14:paraId="480CCE50" w14:textId="77777777" w:rsidR="00733DCA" w:rsidRDefault="00733DCA" w:rsidP="0001477B">
      <w:pPr>
        <w:pStyle w:val="Text1"/>
        <w:ind w:left="0"/>
        <w:rPr>
          <w:noProof/>
        </w:rPr>
      </w:pPr>
      <w:r>
        <w:rPr>
          <w:noProof/>
        </w:rPr>
        <w:t xml:space="preserve">Kako bi se povećala apsorpcija sredstava Unije, tom će se reformom povećati kapacitet za pripremu i provedbu fondova EU-a. Nadalje, Vladinom odlukom o tijelima u sustavu provedbe NPOO-a utvrdit će se nadležna tijela i odgovornosti za obavljanje poslova provedbe, osnovati središnje koordinacijsko tijelo u okviru MINFIN-a za provedbu i praćenje NPOO-a te će se Odbor za provedbu zadužiti za osiguravanje usklađenosti i dosljednosti u korištenju sredstava Unije. Pripremit će se analiza radnog opterećenja za jačanje administrativnih kapaciteta u svim operativnim programima. Statut Agencije za reviziju sustava provedbe programa Europske unije (ARPA) izmijenit će se kako bi se uskladio s Uredbom (EU) 2021/241 i osigurao zakonsku ovlast za provedbu revizija u okviru NPOO-a. Nadogradit će se i IT sustav koji se upotrebljava za europske strukturne i investicijske fondove kako bi se omogućilo prikupljanje, pohrana i praćenje podataka o ključnim etapama i ciljevima, među ostalim na razini krajnjih korisnika. </w:t>
      </w:r>
    </w:p>
    <w:p w14:paraId="2E53A58F" w14:textId="77777777" w:rsidR="00733DCA" w:rsidRDefault="00733DCA" w:rsidP="0001477B">
      <w:pPr>
        <w:pStyle w:val="Text1"/>
        <w:ind w:left="0"/>
        <w:rPr>
          <w:noProof/>
          <w:szCs w:val="24"/>
        </w:rPr>
      </w:pPr>
      <w:r>
        <w:rPr>
          <w:noProof/>
        </w:rPr>
        <w:t>Reforma će biti dovršena do 31. siječnja 2022., prije podnošenja prvog zahtjeva za plaćanje Komisiji.</w:t>
      </w:r>
    </w:p>
    <w:p w14:paraId="5A033843" w14:textId="77777777" w:rsidR="00733DCA" w:rsidRDefault="00733DCA" w:rsidP="0001477B">
      <w:pPr>
        <w:keepNext/>
        <w:ind w:left="850"/>
        <w:jc w:val="both"/>
        <w:rPr>
          <w:noProof/>
        </w:rPr>
      </w:pPr>
      <w:r>
        <w:rPr>
          <w:rFonts w:ascii="Times New Roman" w:hAnsi="Times New Roman"/>
          <w:noProof/>
          <w:sz w:val="24"/>
          <w:u w:val="single"/>
        </w:rPr>
        <w:t>Ulaganje: C2.1. R1-I1 – Optimizacija, standardizacija i digitalizacija postupaka za strateško planiranje i procjenu učinaka javnih politika</w:t>
      </w:r>
    </w:p>
    <w:p w14:paraId="48924FF6" w14:textId="77777777" w:rsidR="00733DCA" w:rsidRDefault="00733DCA" w:rsidP="0001477B">
      <w:pPr>
        <w:pStyle w:val="Text1"/>
        <w:ind w:left="0"/>
        <w:rPr>
          <w:rStyle w:val="normaltextrun"/>
          <w:noProof/>
          <w:shd w:val="clear" w:color="auto" w:fill="FFFFFF"/>
        </w:rPr>
      </w:pPr>
      <w:r>
        <w:rPr>
          <w:rStyle w:val="normaltextrun"/>
          <w:noProof/>
          <w:shd w:val="clear" w:color="auto" w:fill="FFFFFF"/>
        </w:rPr>
        <w:t>Ovim ulaganjem uspostavit će se informacijski sustav za strateško planiranje koji će omogućiti praćenje pripreme strateških dokumenata, provedbe i vrednovanja javnih politika, digitalizirati proces procjene učinka te će omogućiti transparentan prikaz provedbe javnih politika široj javnosti.</w:t>
      </w:r>
    </w:p>
    <w:p w14:paraId="3012603E" w14:textId="77777777" w:rsidR="00733DCA" w:rsidRDefault="00733DCA" w:rsidP="0001477B">
      <w:pPr>
        <w:widowControl w:val="0"/>
        <w:spacing w:after="244" w:line="298" w:lineRule="exact"/>
        <w:ind w:right="580"/>
        <w:jc w:val="both"/>
        <w:rPr>
          <w:rFonts w:ascii="Times New Roman" w:eastAsia="Cambria Math" w:hAnsi="Times New Roman" w:cs="Times New Roman"/>
          <w:noProof/>
          <w:sz w:val="24"/>
          <w:szCs w:val="24"/>
        </w:rPr>
      </w:pPr>
      <w:r>
        <w:rPr>
          <w:rFonts w:ascii="Times New Roman" w:hAnsi="Times New Roman"/>
          <w:noProof/>
          <w:sz w:val="24"/>
        </w:rPr>
        <w:t>Ulaganje će biti dovršeno do 31. prosinca 2025.</w:t>
      </w:r>
    </w:p>
    <w:p w14:paraId="2FA872E4" w14:textId="77777777" w:rsidR="00733DCA" w:rsidRDefault="00733DCA" w:rsidP="0001477B">
      <w:pPr>
        <w:keepNext/>
        <w:ind w:left="850"/>
        <w:jc w:val="both"/>
        <w:rPr>
          <w:noProof/>
        </w:rPr>
      </w:pPr>
      <w:r>
        <w:rPr>
          <w:rFonts w:ascii="Times New Roman" w:hAnsi="Times New Roman"/>
          <w:noProof/>
          <w:sz w:val="24"/>
          <w:u w:val="single"/>
        </w:rPr>
        <w:t>Ulaganje: C2.1. R2-I1 – Osiguravanje pomoći korisnicima u pripremi projektno-tehničke dokumentacije</w:t>
      </w:r>
    </w:p>
    <w:p w14:paraId="6C4C71A9" w14:textId="77777777" w:rsidR="00733DCA" w:rsidRDefault="00733DCA" w:rsidP="0001477B">
      <w:pPr>
        <w:pStyle w:val="Bodytext20"/>
        <w:shd w:val="clear" w:color="auto" w:fill="auto"/>
        <w:spacing w:before="0" w:after="240"/>
        <w:ind w:right="580" w:firstLine="0"/>
        <w:rPr>
          <w:rFonts w:ascii="Times New Roman" w:hAnsi="Times New Roman" w:cs="Times New Roman"/>
          <w:noProof/>
          <w:sz w:val="24"/>
          <w:szCs w:val="24"/>
        </w:rPr>
      </w:pPr>
      <w:r>
        <w:rPr>
          <w:rFonts w:ascii="Times New Roman" w:hAnsi="Times New Roman"/>
          <w:noProof/>
          <w:sz w:val="24"/>
        </w:rPr>
        <w:t>Ulaganjem će se korisnicima pružiti potpora vanjskih stručnjaka s posebnim znanjem i ovlastima za izradu projektne i tehničke dokumentacije, koje nacionalna uprava ne može izraditi. Očekuje se da će ulaganje dovesti do stvaranja portfelja projekata spremnih za provedbu u području zelene i digitalne tranzicije. Tako će se mjerom osigurati pomoć korisnicima u pravovremenoj i potpunoj pripremi sve potrebne dokumentacije za prijavu na natječaj u okviru programa 2021.–2027.</w:t>
      </w:r>
    </w:p>
    <w:p w14:paraId="4BB1629F" w14:textId="7F17AD36" w:rsidR="00733DCA" w:rsidRDefault="00733DCA" w:rsidP="0001477B">
      <w:pPr>
        <w:widowControl w:val="0"/>
        <w:spacing w:after="240" w:line="293" w:lineRule="exact"/>
        <w:ind w:right="580"/>
        <w:jc w:val="both"/>
        <w:rPr>
          <w:rFonts w:ascii="Cambria Math" w:eastAsia="Cambria Math" w:hAnsi="Cambria Math" w:cs="Cambria Math"/>
          <w:b/>
          <w:noProof/>
          <w:sz w:val="21"/>
          <w:szCs w:val="21"/>
          <w:u w:val="single"/>
        </w:rPr>
      </w:pPr>
      <w:r>
        <w:rPr>
          <w:rFonts w:ascii="Times New Roman" w:hAnsi="Times New Roman"/>
          <w:noProof/>
          <w:sz w:val="24"/>
        </w:rPr>
        <w:t>Ulaganje će biti dovršeno do 31. prosinca 2025.</w:t>
      </w:r>
    </w:p>
    <w:p w14:paraId="690444CA" w14:textId="77777777" w:rsidR="00733DCA" w:rsidRDefault="00733DCA" w:rsidP="0001477B">
      <w:pPr>
        <w:spacing w:before="120"/>
        <w:rPr>
          <w:rFonts w:ascii="Times New Roman" w:hAnsi="Times New Roman" w:cs="Times New Roman"/>
          <w:b/>
          <w:bCs/>
          <w:noProof/>
          <w:sz w:val="24"/>
          <w:szCs w:val="24"/>
          <w:u w:val="single"/>
        </w:rPr>
        <w:sectPr w:rsidR="00733DCA" w:rsidSect="0001477B">
          <w:headerReference w:type="even" r:id="rId126"/>
          <w:headerReference w:type="default" r:id="rId127"/>
          <w:footerReference w:type="even" r:id="rId128"/>
          <w:footerReference w:type="default" r:id="rId129"/>
          <w:headerReference w:type="first" r:id="rId130"/>
          <w:footerReference w:type="first" r:id="rId131"/>
          <w:pgSz w:w="11907" w:h="16839"/>
          <w:pgMar w:top="1134" w:right="1134" w:bottom="1134" w:left="1134" w:header="567" w:footer="567" w:gutter="0"/>
          <w:cols w:space="720"/>
          <w:docGrid w:linePitch="360"/>
        </w:sectPr>
      </w:pPr>
    </w:p>
    <w:p w14:paraId="3B36D1B8" w14:textId="0161F7F0" w:rsidR="00733DCA" w:rsidRPr="00C33FB0" w:rsidRDefault="00733DCA" w:rsidP="00C33FB0">
      <w:pPr>
        <w:keepNext/>
        <w:tabs>
          <w:tab w:val="num" w:pos="850"/>
        </w:tabs>
        <w:ind w:left="851"/>
        <w:jc w:val="both"/>
        <w:outlineLvl w:val="1"/>
        <w:rPr>
          <w:noProof/>
        </w:rPr>
      </w:pPr>
      <w:r>
        <w:rPr>
          <w:rFonts w:ascii="Times New Roman" w:hAnsi="Times New Roman"/>
          <w:b/>
          <w:noProof/>
          <w:sz w:val="24"/>
          <w:u w:val="single"/>
        </w:rPr>
        <w:t xml:space="preserve">G.2. </w:t>
      </w:r>
      <w:r>
        <w:rPr>
          <w:rFonts w:ascii="Times New Roman" w:hAnsi="Times New Roman"/>
          <w:b/>
          <w:noProof/>
          <w:sz w:val="24"/>
          <w:u w:val="single"/>
        </w:rPr>
        <w:tab/>
        <w:t>Ključne etape, ciljne vrijednosti, pokazatelji i vremenski raspored za praćenje i provedbu programa bespovratne financijske potpore</w:t>
      </w:r>
    </w:p>
    <w:tbl>
      <w:tblPr>
        <w:tblW w:w="15027" w:type="dxa"/>
        <w:tblInd w:w="-885" w:type="dxa"/>
        <w:tblLayout w:type="fixed"/>
        <w:tblLook w:val="04A0" w:firstRow="1" w:lastRow="0" w:firstColumn="1" w:lastColumn="0" w:noHBand="0" w:noVBand="1"/>
      </w:tblPr>
      <w:tblGrid>
        <w:gridCol w:w="993"/>
        <w:gridCol w:w="993"/>
        <w:gridCol w:w="992"/>
        <w:gridCol w:w="2126"/>
        <w:gridCol w:w="2300"/>
        <w:gridCol w:w="847"/>
        <w:gridCol w:w="1134"/>
        <w:gridCol w:w="851"/>
        <w:gridCol w:w="567"/>
        <w:gridCol w:w="709"/>
        <w:gridCol w:w="3515"/>
      </w:tblGrid>
      <w:tr w:rsidR="00215DFD" w14:paraId="083D961E" w14:textId="77777777" w:rsidTr="003752C8">
        <w:trPr>
          <w:trHeight w:val="300"/>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1184FA5"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CB43193"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7DEBCEE"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702B8DA"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E7A3420"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832"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012E7A8F"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276" w:type="dxa"/>
            <w:gridSpan w:val="2"/>
            <w:tcBorders>
              <w:top w:val="single" w:sz="4" w:space="0" w:color="auto"/>
              <w:left w:val="nil"/>
              <w:bottom w:val="single" w:sz="4" w:space="0" w:color="auto"/>
              <w:right w:val="single" w:sz="4" w:space="0" w:color="auto"/>
            </w:tcBorders>
            <w:shd w:val="clear" w:color="auto" w:fill="BDD7EE"/>
            <w:hideMark/>
          </w:tcPr>
          <w:p w14:paraId="6F2065A3"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8E80611"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215DFD" w14:paraId="572A6B79" w14:textId="77777777" w:rsidTr="003752C8">
        <w:trPr>
          <w:trHeight w:val="300"/>
          <w:tblHeader/>
        </w:trPr>
        <w:tc>
          <w:tcPr>
            <w:tcW w:w="993" w:type="dxa"/>
            <w:vMerge/>
            <w:tcBorders>
              <w:top w:val="single" w:sz="4" w:space="0" w:color="auto"/>
              <w:left w:val="single" w:sz="4" w:space="0" w:color="auto"/>
              <w:bottom w:val="single" w:sz="4" w:space="0" w:color="auto"/>
              <w:right w:val="single" w:sz="4" w:space="0" w:color="auto"/>
            </w:tcBorders>
            <w:hideMark/>
          </w:tcPr>
          <w:p w14:paraId="3DB4AB81" w14:textId="77777777" w:rsidR="00733DCA" w:rsidRDefault="00733DCA" w:rsidP="0001477B">
            <w:pPr>
              <w:spacing w:after="0"/>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57244CF4" w14:textId="77777777" w:rsidR="00733DCA" w:rsidRDefault="00733DCA" w:rsidP="0001477B">
            <w:pPr>
              <w:spacing w:after="0"/>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26A9055C" w14:textId="77777777" w:rsidR="00733DCA" w:rsidRDefault="00733DCA" w:rsidP="0001477B">
            <w:pPr>
              <w:spacing w:after="0"/>
              <w:jc w:val="center"/>
              <w:rPr>
                <w:rFonts w:ascii="Times New Roman" w:eastAsia="Times New Roman" w:hAnsi="Times New Roman" w:cs="Times New Roman"/>
                <w:b/>
                <w:noProof/>
                <w:lang w:eastAsia="en-GB"/>
              </w:rPr>
            </w:pPr>
          </w:p>
        </w:tc>
        <w:tc>
          <w:tcPr>
            <w:tcW w:w="2126" w:type="dxa"/>
            <w:vMerge/>
            <w:tcBorders>
              <w:top w:val="single" w:sz="4" w:space="0" w:color="auto"/>
              <w:left w:val="single" w:sz="4" w:space="0" w:color="auto"/>
              <w:bottom w:val="single" w:sz="4" w:space="0" w:color="auto"/>
              <w:right w:val="single" w:sz="4" w:space="0" w:color="auto"/>
            </w:tcBorders>
            <w:hideMark/>
          </w:tcPr>
          <w:p w14:paraId="3D3F504C" w14:textId="77777777" w:rsidR="00733DCA" w:rsidRDefault="00733DCA" w:rsidP="0001477B">
            <w:pPr>
              <w:spacing w:after="0"/>
              <w:rPr>
                <w:rFonts w:ascii="Times New Roman" w:eastAsia="Times New Roman" w:hAnsi="Times New Roman" w:cs="Times New Roman"/>
                <w:b/>
                <w:noProof/>
                <w:lang w:eastAsia="en-GB"/>
              </w:rPr>
            </w:pPr>
          </w:p>
        </w:tc>
        <w:tc>
          <w:tcPr>
            <w:tcW w:w="2300" w:type="dxa"/>
            <w:vMerge/>
            <w:tcBorders>
              <w:top w:val="single" w:sz="4" w:space="0" w:color="auto"/>
              <w:left w:val="single" w:sz="4" w:space="0" w:color="auto"/>
              <w:bottom w:val="single" w:sz="4" w:space="0" w:color="auto"/>
              <w:right w:val="single" w:sz="4" w:space="0" w:color="auto"/>
            </w:tcBorders>
            <w:hideMark/>
          </w:tcPr>
          <w:p w14:paraId="40F83E17" w14:textId="77777777" w:rsidR="00733DCA" w:rsidRDefault="00733DCA" w:rsidP="0001477B">
            <w:pPr>
              <w:spacing w:after="0"/>
              <w:rPr>
                <w:rFonts w:ascii="Times New Roman" w:eastAsia="Times New Roman" w:hAnsi="Times New Roman" w:cs="Times New Roman"/>
                <w:b/>
                <w:noProof/>
                <w:lang w:eastAsia="en-GB"/>
              </w:rPr>
            </w:pPr>
          </w:p>
        </w:tc>
        <w:tc>
          <w:tcPr>
            <w:tcW w:w="847" w:type="dxa"/>
            <w:tcBorders>
              <w:top w:val="single" w:sz="4" w:space="0" w:color="auto"/>
              <w:left w:val="single" w:sz="4" w:space="0" w:color="auto"/>
              <w:bottom w:val="single" w:sz="4" w:space="0" w:color="auto"/>
              <w:right w:val="single" w:sz="4" w:space="0" w:color="auto"/>
            </w:tcBorders>
            <w:shd w:val="clear" w:color="auto" w:fill="BDD7EE"/>
            <w:hideMark/>
          </w:tcPr>
          <w:p w14:paraId="0E72C0F7"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1134" w:type="dxa"/>
            <w:tcBorders>
              <w:top w:val="single" w:sz="4" w:space="0" w:color="auto"/>
              <w:left w:val="single" w:sz="4" w:space="0" w:color="auto"/>
              <w:bottom w:val="single" w:sz="4" w:space="0" w:color="auto"/>
              <w:right w:val="single" w:sz="4" w:space="0" w:color="auto"/>
            </w:tcBorders>
            <w:shd w:val="clear" w:color="auto" w:fill="BDD7EE"/>
            <w:hideMark/>
          </w:tcPr>
          <w:p w14:paraId="63617794"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1" w:type="dxa"/>
            <w:tcBorders>
              <w:top w:val="single" w:sz="4" w:space="0" w:color="auto"/>
              <w:left w:val="single" w:sz="4" w:space="0" w:color="auto"/>
              <w:bottom w:val="single" w:sz="4" w:space="0" w:color="auto"/>
              <w:right w:val="single" w:sz="4" w:space="0" w:color="auto"/>
            </w:tcBorders>
            <w:shd w:val="clear" w:color="auto" w:fill="BDD7EE"/>
            <w:hideMark/>
          </w:tcPr>
          <w:p w14:paraId="2D355D48"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67" w:type="dxa"/>
            <w:tcBorders>
              <w:top w:val="single" w:sz="4" w:space="0" w:color="auto"/>
              <w:left w:val="single" w:sz="4" w:space="0" w:color="auto"/>
              <w:bottom w:val="single" w:sz="4" w:space="0" w:color="auto"/>
              <w:right w:val="single" w:sz="4" w:space="0" w:color="auto"/>
            </w:tcBorders>
            <w:shd w:val="clear" w:color="auto" w:fill="BDD7EE"/>
            <w:hideMark/>
          </w:tcPr>
          <w:p w14:paraId="734857F0"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single" w:sz="4" w:space="0" w:color="auto"/>
              <w:left w:val="single" w:sz="4" w:space="0" w:color="auto"/>
              <w:bottom w:val="single" w:sz="4" w:space="0" w:color="auto"/>
              <w:right w:val="single" w:sz="4" w:space="0" w:color="auto"/>
            </w:tcBorders>
            <w:shd w:val="clear" w:color="auto" w:fill="BDD7EE"/>
            <w:hideMark/>
          </w:tcPr>
          <w:p w14:paraId="396288A6"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515" w:type="dxa"/>
            <w:vMerge/>
            <w:tcBorders>
              <w:top w:val="single" w:sz="4" w:space="0" w:color="auto"/>
              <w:bottom w:val="single" w:sz="4" w:space="0" w:color="auto"/>
              <w:right w:val="single" w:sz="4" w:space="0" w:color="auto"/>
            </w:tcBorders>
            <w:hideMark/>
          </w:tcPr>
          <w:p w14:paraId="142128E4" w14:textId="77777777" w:rsidR="00733DCA" w:rsidRDefault="00733DCA" w:rsidP="0001477B">
            <w:pPr>
              <w:spacing w:after="0"/>
              <w:rPr>
                <w:rFonts w:ascii="Times New Roman" w:eastAsia="Times New Roman" w:hAnsi="Times New Roman" w:cs="Times New Roman"/>
                <w:b/>
                <w:noProof/>
                <w:lang w:eastAsia="en-GB"/>
              </w:rPr>
            </w:pPr>
          </w:p>
        </w:tc>
      </w:tr>
      <w:tr w:rsidR="00215DFD" w14:paraId="2920EEF2" w14:textId="77777777" w:rsidTr="003752C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1169E716" w14:textId="77777777" w:rsidR="00733DCA" w:rsidRDefault="00733DCA" w:rsidP="0001477B">
            <w:pPr>
              <w:jc w:val="center"/>
              <w:rPr>
                <w:rFonts w:ascii="Times New Roman" w:hAnsi="Times New Roman" w:cs="Times New Roman"/>
                <w:noProof/>
                <w:sz w:val="20"/>
                <w:szCs w:val="20"/>
              </w:rPr>
            </w:pPr>
            <w:r>
              <w:rPr>
                <w:noProof/>
                <w:color w:val="000000"/>
                <w:sz w:val="20"/>
              </w:rPr>
              <w:t>150</w:t>
            </w:r>
          </w:p>
        </w:tc>
        <w:tc>
          <w:tcPr>
            <w:tcW w:w="993" w:type="dxa"/>
            <w:tcBorders>
              <w:top w:val="single" w:sz="4" w:space="0" w:color="auto"/>
              <w:left w:val="nil"/>
              <w:bottom w:val="single" w:sz="4" w:space="0" w:color="auto"/>
              <w:right w:val="single" w:sz="4" w:space="0" w:color="auto"/>
            </w:tcBorders>
            <w:shd w:val="clear" w:color="auto" w:fill="C6EFCE"/>
          </w:tcPr>
          <w:p w14:paraId="26D30093" w14:textId="77777777" w:rsidR="00733DCA" w:rsidRDefault="00733DCA" w:rsidP="0001477B">
            <w:pPr>
              <w:jc w:val="center"/>
              <w:rPr>
                <w:rFonts w:ascii="Times New Roman" w:hAnsi="Times New Roman" w:cs="Times New Roman"/>
                <w:noProof/>
                <w:sz w:val="20"/>
                <w:szCs w:val="20"/>
              </w:rPr>
            </w:pPr>
            <w:r>
              <w:rPr>
                <w:noProof/>
                <w:color w:val="000000"/>
                <w:sz w:val="20"/>
              </w:rPr>
              <w:t>C2.1. R1</w:t>
            </w:r>
          </w:p>
        </w:tc>
        <w:tc>
          <w:tcPr>
            <w:tcW w:w="992" w:type="dxa"/>
            <w:tcBorders>
              <w:top w:val="single" w:sz="4" w:space="0" w:color="auto"/>
              <w:left w:val="nil"/>
              <w:bottom w:val="single" w:sz="4" w:space="0" w:color="auto"/>
              <w:right w:val="single" w:sz="4" w:space="0" w:color="auto"/>
            </w:tcBorders>
            <w:shd w:val="clear" w:color="auto" w:fill="C6EFCE"/>
          </w:tcPr>
          <w:p w14:paraId="07C9C91E"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126" w:type="dxa"/>
            <w:tcBorders>
              <w:top w:val="single" w:sz="4" w:space="0" w:color="auto"/>
              <w:left w:val="nil"/>
              <w:bottom w:val="single" w:sz="4" w:space="0" w:color="auto"/>
              <w:right w:val="single" w:sz="4" w:space="0" w:color="auto"/>
            </w:tcBorders>
            <w:shd w:val="clear" w:color="auto" w:fill="C6EFCE"/>
          </w:tcPr>
          <w:p w14:paraId="633542D6" w14:textId="77777777" w:rsidR="00733DCA" w:rsidRDefault="00733DCA" w:rsidP="0001477B">
            <w:pPr>
              <w:rPr>
                <w:rFonts w:ascii="Times New Roman" w:hAnsi="Times New Roman" w:cs="Times New Roman"/>
                <w:noProof/>
                <w:sz w:val="20"/>
                <w:szCs w:val="20"/>
              </w:rPr>
            </w:pPr>
            <w:r>
              <w:rPr>
                <w:noProof/>
                <w:color w:val="000000"/>
                <w:sz w:val="20"/>
              </w:rPr>
              <w:t>Izmjene Zakona o sustavu strateškog planiranja i upravljanja razvojem Republike Hrvatske i pripadajućih podzakonskih akata</w:t>
            </w:r>
          </w:p>
        </w:tc>
        <w:tc>
          <w:tcPr>
            <w:tcW w:w="2300" w:type="dxa"/>
            <w:tcBorders>
              <w:top w:val="single" w:sz="4" w:space="0" w:color="auto"/>
              <w:left w:val="nil"/>
              <w:bottom w:val="single" w:sz="4" w:space="0" w:color="auto"/>
              <w:right w:val="single" w:sz="4" w:space="0" w:color="auto"/>
            </w:tcBorders>
            <w:shd w:val="clear" w:color="auto" w:fill="C6EFCE"/>
          </w:tcPr>
          <w:p w14:paraId="0D51FBC3" w14:textId="77777777" w:rsidR="00733DCA" w:rsidRDefault="00733DCA" w:rsidP="0001477B">
            <w:pPr>
              <w:rPr>
                <w:rFonts w:ascii="Times New Roman" w:hAnsi="Times New Roman" w:cs="Times New Roman"/>
                <w:noProof/>
                <w:sz w:val="20"/>
                <w:szCs w:val="20"/>
              </w:rPr>
            </w:pPr>
            <w:r>
              <w:rPr>
                <w:noProof/>
                <w:color w:val="000000"/>
                <w:sz w:val="20"/>
              </w:rPr>
              <w:t xml:space="preserve">Stupanje na snagu izmjena Zakona o sustavu strateškog planiranja i upravljanja razvojem Republike Hrvatske i pripadajućih podzakonskih akata </w:t>
            </w:r>
          </w:p>
        </w:tc>
        <w:tc>
          <w:tcPr>
            <w:tcW w:w="847" w:type="dxa"/>
            <w:tcBorders>
              <w:top w:val="single" w:sz="4" w:space="0" w:color="auto"/>
              <w:left w:val="nil"/>
              <w:bottom w:val="single" w:sz="4" w:space="0" w:color="auto"/>
              <w:right w:val="single" w:sz="4" w:space="0" w:color="auto"/>
            </w:tcBorders>
            <w:shd w:val="clear" w:color="auto" w:fill="C6EFCE"/>
          </w:tcPr>
          <w:p w14:paraId="1D343086"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1134" w:type="dxa"/>
            <w:tcBorders>
              <w:top w:val="single" w:sz="4" w:space="0" w:color="auto"/>
              <w:left w:val="nil"/>
              <w:bottom w:val="single" w:sz="4" w:space="0" w:color="auto"/>
              <w:right w:val="single" w:sz="4" w:space="0" w:color="auto"/>
            </w:tcBorders>
            <w:shd w:val="clear" w:color="auto" w:fill="C6EFCE"/>
          </w:tcPr>
          <w:p w14:paraId="76363F7F"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51" w:type="dxa"/>
            <w:tcBorders>
              <w:top w:val="single" w:sz="4" w:space="0" w:color="auto"/>
              <w:left w:val="nil"/>
              <w:bottom w:val="single" w:sz="4" w:space="0" w:color="auto"/>
              <w:right w:val="single" w:sz="4" w:space="0" w:color="auto"/>
            </w:tcBorders>
            <w:shd w:val="clear" w:color="auto" w:fill="C6EFCE"/>
          </w:tcPr>
          <w:p w14:paraId="1A2EDB88"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single" w:sz="4" w:space="0" w:color="auto"/>
              <w:left w:val="nil"/>
              <w:bottom w:val="single" w:sz="4" w:space="0" w:color="auto"/>
              <w:right w:val="single" w:sz="4" w:space="0" w:color="auto"/>
            </w:tcBorders>
            <w:shd w:val="clear" w:color="auto" w:fill="C6EFCE"/>
          </w:tcPr>
          <w:p w14:paraId="12A8B591"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tcPr>
          <w:p w14:paraId="6D4A4840" w14:textId="77777777" w:rsidR="00733DCA" w:rsidRDefault="00733DCA" w:rsidP="0001477B">
            <w:pPr>
              <w:jc w:val="center"/>
              <w:rPr>
                <w:rFonts w:ascii="Times New Roman" w:hAnsi="Times New Roman" w:cs="Times New Roman"/>
                <w:noProof/>
                <w:sz w:val="20"/>
                <w:szCs w:val="20"/>
              </w:rPr>
            </w:pPr>
            <w:r>
              <w:rPr>
                <w:noProof/>
                <w:color w:val="000000"/>
                <w:sz w:val="20"/>
              </w:rPr>
              <w:t>2022.</w:t>
            </w:r>
          </w:p>
        </w:tc>
        <w:tc>
          <w:tcPr>
            <w:tcW w:w="3515" w:type="dxa"/>
            <w:tcBorders>
              <w:top w:val="single" w:sz="4" w:space="0" w:color="auto"/>
              <w:left w:val="nil"/>
              <w:bottom w:val="single" w:sz="4" w:space="0" w:color="auto"/>
              <w:right w:val="single" w:sz="4" w:space="0" w:color="auto"/>
            </w:tcBorders>
            <w:shd w:val="clear" w:color="auto" w:fill="C6EFCE"/>
          </w:tcPr>
          <w:p w14:paraId="55C2B184" w14:textId="77777777" w:rsidR="00733DCA" w:rsidRDefault="00733DCA" w:rsidP="0001477B">
            <w:pPr>
              <w:rPr>
                <w:rFonts w:ascii="Times New Roman" w:hAnsi="Times New Roman" w:cs="Times New Roman"/>
                <w:noProof/>
                <w:sz w:val="20"/>
                <w:szCs w:val="20"/>
              </w:rPr>
            </w:pPr>
            <w:r>
              <w:rPr>
                <w:noProof/>
                <w:color w:val="000000"/>
                <w:sz w:val="20"/>
              </w:rPr>
              <w:t>Izmjenama Zakona o sustavu strateškog planiranja i upravljanja razvojem Republike Hrvatske i pripadajućih podzakonskih akata unaprijedit će se učinkovitost strateškog planiranja i profesionalizacija izrade strateškiih dokumenata. Uključivat će i temelj za opis poslova i katalog kompetencija državnih službenika u vezi sa strateškim planiranjem:</w:t>
            </w:r>
          </w:p>
        </w:tc>
      </w:tr>
      <w:tr w:rsidR="00215DFD" w14:paraId="6965797C" w14:textId="77777777" w:rsidTr="00C33FB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6F7B7328" w14:textId="77777777" w:rsidR="00733DCA" w:rsidRDefault="00733DCA" w:rsidP="0001477B">
            <w:pPr>
              <w:jc w:val="center"/>
              <w:rPr>
                <w:rFonts w:ascii="Times New Roman" w:hAnsi="Times New Roman" w:cs="Times New Roman"/>
                <w:noProof/>
                <w:sz w:val="20"/>
                <w:szCs w:val="20"/>
              </w:rPr>
            </w:pPr>
            <w:r>
              <w:rPr>
                <w:noProof/>
                <w:color w:val="000000"/>
                <w:sz w:val="20"/>
              </w:rPr>
              <w:t>151</w:t>
            </w:r>
          </w:p>
        </w:tc>
        <w:tc>
          <w:tcPr>
            <w:tcW w:w="993" w:type="dxa"/>
            <w:tcBorders>
              <w:top w:val="single" w:sz="4" w:space="0" w:color="auto"/>
              <w:left w:val="nil"/>
              <w:bottom w:val="single" w:sz="4" w:space="0" w:color="auto"/>
              <w:right w:val="single" w:sz="4" w:space="0" w:color="auto"/>
            </w:tcBorders>
            <w:shd w:val="clear" w:color="auto" w:fill="C6EFCE"/>
          </w:tcPr>
          <w:p w14:paraId="6DFDBD0A" w14:textId="77777777" w:rsidR="00733DCA" w:rsidRDefault="00733DCA" w:rsidP="0001477B">
            <w:pPr>
              <w:jc w:val="center"/>
              <w:rPr>
                <w:rFonts w:ascii="Times New Roman" w:hAnsi="Times New Roman" w:cs="Times New Roman"/>
                <w:noProof/>
                <w:sz w:val="20"/>
                <w:szCs w:val="20"/>
              </w:rPr>
            </w:pPr>
            <w:r>
              <w:rPr>
                <w:noProof/>
                <w:color w:val="000000"/>
                <w:sz w:val="20"/>
              </w:rPr>
              <w:t>C2.1. R1</w:t>
            </w:r>
          </w:p>
        </w:tc>
        <w:tc>
          <w:tcPr>
            <w:tcW w:w="992" w:type="dxa"/>
            <w:tcBorders>
              <w:top w:val="single" w:sz="4" w:space="0" w:color="auto"/>
              <w:left w:val="nil"/>
              <w:bottom w:val="single" w:sz="4" w:space="0" w:color="auto"/>
              <w:right w:val="single" w:sz="4" w:space="0" w:color="auto"/>
            </w:tcBorders>
            <w:shd w:val="clear" w:color="auto" w:fill="C6EFCE"/>
          </w:tcPr>
          <w:p w14:paraId="3A4A1E0C"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126" w:type="dxa"/>
            <w:tcBorders>
              <w:top w:val="single" w:sz="4" w:space="0" w:color="auto"/>
              <w:left w:val="nil"/>
              <w:bottom w:val="single" w:sz="4" w:space="0" w:color="auto"/>
              <w:right w:val="single" w:sz="4" w:space="0" w:color="auto"/>
            </w:tcBorders>
            <w:shd w:val="clear" w:color="auto" w:fill="C6EFCE"/>
          </w:tcPr>
          <w:p w14:paraId="486F7E1D" w14:textId="77777777" w:rsidR="00733DCA" w:rsidRDefault="00733DCA" w:rsidP="0001477B">
            <w:pPr>
              <w:rPr>
                <w:rFonts w:ascii="Times New Roman" w:hAnsi="Times New Roman" w:cs="Times New Roman"/>
                <w:noProof/>
                <w:sz w:val="20"/>
                <w:szCs w:val="20"/>
              </w:rPr>
            </w:pPr>
            <w:r>
              <w:rPr>
                <w:noProof/>
                <w:color w:val="000000"/>
                <w:sz w:val="20"/>
              </w:rPr>
              <w:t>Izmjene Zakona o procjeni učinka propisa</w:t>
            </w:r>
          </w:p>
        </w:tc>
        <w:tc>
          <w:tcPr>
            <w:tcW w:w="2300" w:type="dxa"/>
            <w:tcBorders>
              <w:top w:val="single" w:sz="4" w:space="0" w:color="auto"/>
              <w:left w:val="nil"/>
              <w:bottom w:val="single" w:sz="4" w:space="0" w:color="auto"/>
              <w:right w:val="single" w:sz="4" w:space="0" w:color="auto"/>
            </w:tcBorders>
            <w:shd w:val="clear" w:color="auto" w:fill="C6EFCE"/>
          </w:tcPr>
          <w:p w14:paraId="7845EA82" w14:textId="77777777" w:rsidR="00733DCA" w:rsidRDefault="00733DCA" w:rsidP="0001477B">
            <w:pPr>
              <w:rPr>
                <w:rFonts w:ascii="Times New Roman" w:hAnsi="Times New Roman" w:cs="Times New Roman"/>
                <w:noProof/>
                <w:sz w:val="20"/>
                <w:szCs w:val="20"/>
              </w:rPr>
            </w:pPr>
            <w:r>
              <w:rPr>
                <w:noProof/>
                <w:color w:val="000000"/>
                <w:sz w:val="20"/>
              </w:rPr>
              <w:t xml:space="preserve">Stupanje na snagu izmjena Zakona o procjeni učinka propisa </w:t>
            </w:r>
          </w:p>
        </w:tc>
        <w:tc>
          <w:tcPr>
            <w:tcW w:w="847" w:type="dxa"/>
            <w:tcBorders>
              <w:top w:val="single" w:sz="4" w:space="0" w:color="auto"/>
              <w:left w:val="nil"/>
              <w:bottom w:val="single" w:sz="4" w:space="0" w:color="auto"/>
              <w:right w:val="single" w:sz="4" w:space="0" w:color="auto"/>
            </w:tcBorders>
            <w:shd w:val="clear" w:color="auto" w:fill="C6EFCE"/>
          </w:tcPr>
          <w:p w14:paraId="2D428479"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1134" w:type="dxa"/>
            <w:tcBorders>
              <w:top w:val="single" w:sz="4" w:space="0" w:color="auto"/>
              <w:left w:val="nil"/>
              <w:bottom w:val="single" w:sz="4" w:space="0" w:color="auto"/>
              <w:right w:val="single" w:sz="4" w:space="0" w:color="auto"/>
            </w:tcBorders>
            <w:shd w:val="clear" w:color="auto" w:fill="C6EFCE"/>
          </w:tcPr>
          <w:p w14:paraId="6BE0EA8C"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51" w:type="dxa"/>
            <w:tcBorders>
              <w:top w:val="single" w:sz="4" w:space="0" w:color="auto"/>
              <w:left w:val="nil"/>
              <w:bottom w:val="single" w:sz="4" w:space="0" w:color="auto"/>
              <w:right w:val="single" w:sz="4" w:space="0" w:color="auto"/>
            </w:tcBorders>
            <w:shd w:val="clear" w:color="auto" w:fill="C6EFCE"/>
          </w:tcPr>
          <w:p w14:paraId="2E92FFD6"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single" w:sz="4" w:space="0" w:color="auto"/>
              <w:left w:val="nil"/>
              <w:bottom w:val="single" w:sz="4" w:space="0" w:color="auto"/>
              <w:right w:val="single" w:sz="4" w:space="0" w:color="auto"/>
            </w:tcBorders>
            <w:shd w:val="clear" w:color="auto" w:fill="C6EFCE"/>
          </w:tcPr>
          <w:p w14:paraId="586D7BB3"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tcPr>
          <w:p w14:paraId="7B2F5C63" w14:textId="77777777" w:rsidR="00733DCA" w:rsidRDefault="00733DCA" w:rsidP="0001477B">
            <w:pPr>
              <w:jc w:val="center"/>
              <w:rPr>
                <w:rFonts w:ascii="Times New Roman" w:hAnsi="Times New Roman" w:cs="Times New Roman"/>
                <w:noProof/>
                <w:sz w:val="20"/>
                <w:szCs w:val="20"/>
              </w:rPr>
            </w:pPr>
            <w:r>
              <w:rPr>
                <w:noProof/>
                <w:color w:val="000000"/>
                <w:sz w:val="20"/>
              </w:rPr>
              <w:t>2023.</w:t>
            </w:r>
          </w:p>
        </w:tc>
        <w:tc>
          <w:tcPr>
            <w:tcW w:w="3515" w:type="dxa"/>
            <w:tcBorders>
              <w:top w:val="single" w:sz="4" w:space="0" w:color="auto"/>
              <w:left w:val="nil"/>
              <w:bottom w:val="single" w:sz="4" w:space="0" w:color="auto"/>
              <w:right w:val="single" w:sz="4" w:space="0" w:color="auto"/>
            </w:tcBorders>
            <w:shd w:val="clear" w:color="auto" w:fill="C6EFCE"/>
          </w:tcPr>
          <w:p w14:paraId="62F8446A" w14:textId="77777777" w:rsidR="00733DCA" w:rsidRDefault="00733DCA" w:rsidP="0001477B">
            <w:pPr>
              <w:rPr>
                <w:rFonts w:ascii="Times New Roman" w:hAnsi="Times New Roman" w:cs="Times New Roman"/>
                <w:noProof/>
                <w:sz w:val="20"/>
                <w:szCs w:val="20"/>
              </w:rPr>
            </w:pPr>
            <w:r>
              <w:rPr>
                <w:noProof/>
                <w:color w:val="000000"/>
                <w:sz w:val="20"/>
              </w:rPr>
              <w:t xml:space="preserve">Izmjenama Zakona o procjeni učinka propisa pojednostavnit će se postupci </w:t>
            </w:r>
            <w:r>
              <w:rPr>
                <w:i/>
                <w:noProof/>
                <w:color w:val="000000"/>
                <w:sz w:val="20"/>
              </w:rPr>
              <w:t xml:space="preserve">ex post </w:t>
            </w:r>
            <w:r>
              <w:rPr>
                <w:noProof/>
                <w:color w:val="000000"/>
                <w:sz w:val="20"/>
              </w:rPr>
              <w:t xml:space="preserve">procjene učinaka propisa, uključujući metodologiju i procedure, na temelju preporuka iz Instrumenta financijske pomoći za projekt u vezi s </w:t>
            </w:r>
            <w:r>
              <w:rPr>
                <w:i/>
                <w:noProof/>
                <w:color w:val="000000"/>
                <w:sz w:val="20"/>
              </w:rPr>
              <w:t>ex post</w:t>
            </w:r>
            <w:r>
              <w:rPr>
                <w:noProof/>
                <w:color w:val="000000"/>
                <w:sz w:val="20"/>
              </w:rPr>
              <w:t xml:space="preserve"> procjenom učinaka propisa. Izmjene će uključivati i izmjene opisa poslova i kataloga kompetencija državnih službenika u vezi s procjenom učinka radi profesionalizacije koordinacije te izrade i praćenja učinaka regulative u javnoj upravi.</w:t>
            </w:r>
          </w:p>
        </w:tc>
      </w:tr>
      <w:tr w:rsidR="00215DFD" w14:paraId="7775C026" w14:textId="77777777" w:rsidTr="00C33FB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74F28839" w14:textId="77777777" w:rsidR="00733DCA" w:rsidRDefault="00733DCA" w:rsidP="0001477B">
            <w:pPr>
              <w:jc w:val="center"/>
              <w:rPr>
                <w:rFonts w:ascii="Times New Roman" w:hAnsi="Times New Roman" w:cs="Times New Roman"/>
                <w:noProof/>
                <w:sz w:val="20"/>
                <w:szCs w:val="20"/>
              </w:rPr>
            </w:pPr>
            <w:r>
              <w:rPr>
                <w:noProof/>
                <w:color w:val="000000"/>
                <w:sz w:val="20"/>
              </w:rPr>
              <w:t>152</w:t>
            </w:r>
          </w:p>
        </w:tc>
        <w:tc>
          <w:tcPr>
            <w:tcW w:w="993" w:type="dxa"/>
            <w:tcBorders>
              <w:top w:val="single" w:sz="4" w:space="0" w:color="auto"/>
              <w:left w:val="nil"/>
              <w:bottom w:val="single" w:sz="4" w:space="0" w:color="auto"/>
              <w:right w:val="single" w:sz="4" w:space="0" w:color="auto"/>
            </w:tcBorders>
            <w:shd w:val="clear" w:color="auto" w:fill="C6EFCE"/>
          </w:tcPr>
          <w:p w14:paraId="1760EE6B" w14:textId="77777777" w:rsidR="00733DCA" w:rsidRDefault="00733DCA" w:rsidP="0001477B">
            <w:pPr>
              <w:jc w:val="center"/>
              <w:rPr>
                <w:rFonts w:ascii="Times New Roman" w:hAnsi="Times New Roman" w:cs="Times New Roman"/>
                <w:noProof/>
                <w:sz w:val="20"/>
                <w:szCs w:val="20"/>
              </w:rPr>
            </w:pPr>
            <w:r>
              <w:rPr>
                <w:noProof/>
                <w:color w:val="000000"/>
                <w:sz w:val="20"/>
              </w:rPr>
              <w:t>C2.1. R1</w:t>
            </w:r>
          </w:p>
        </w:tc>
        <w:tc>
          <w:tcPr>
            <w:tcW w:w="992" w:type="dxa"/>
            <w:tcBorders>
              <w:top w:val="single" w:sz="4" w:space="0" w:color="auto"/>
              <w:left w:val="nil"/>
              <w:bottom w:val="single" w:sz="4" w:space="0" w:color="auto"/>
              <w:right w:val="single" w:sz="4" w:space="0" w:color="auto"/>
            </w:tcBorders>
            <w:shd w:val="clear" w:color="auto" w:fill="C6EFCE"/>
          </w:tcPr>
          <w:p w14:paraId="7CA72E26"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126" w:type="dxa"/>
            <w:tcBorders>
              <w:top w:val="single" w:sz="4" w:space="0" w:color="auto"/>
              <w:left w:val="nil"/>
              <w:bottom w:val="single" w:sz="4" w:space="0" w:color="auto"/>
              <w:right w:val="single" w:sz="4" w:space="0" w:color="auto"/>
            </w:tcBorders>
            <w:shd w:val="clear" w:color="auto" w:fill="C6EFCE"/>
          </w:tcPr>
          <w:p w14:paraId="34A2593F" w14:textId="77777777" w:rsidR="00733DCA" w:rsidRDefault="00733DCA" w:rsidP="0001477B">
            <w:pPr>
              <w:rPr>
                <w:rFonts w:ascii="Times New Roman" w:hAnsi="Times New Roman" w:cs="Times New Roman"/>
                <w:noProof/>
                <w:sz w:val="20"/>
                <w:szCs w:val="20"/>
              </w:rPr>
            </w:pPr>
            <w:r>
              <w:rPr>
                <w:noProof/>
                <w:color w:val="000000"/>
                <w:sz w:val="20"/>
              </w:rPr>
              <w:t>Digitalizacija i pojednostavnjenje postupaka radi smanjenja administrativnog opterećenja koje izravno utječe na građane</w:t>
            </w:r>
          </w:p>
        </w:tc>
        <w:tc>
          <w:tcPr>
            <w:tcW w:w="2300" w:type="dxa"/>
            <w:tcBorders>
              <w:top w:val="single" w:sz="4" w:space="0" w:color="auto"/>
              <w:left w:val="nil"/>
              <w:bottom w:val="single" w:sz="4" w:space="0" w:color="auto"/>
              <w:right w:val="single" w:sz="4" w:space="0" w:color="auto"/>
            </w:tcBorders>
            <w:shd w:val="clear" w:color="auto" w:fill="C6EFCE"/>
          </w:tcPr>
          <w:p w14:paraId="5346A006" w14:textId="77777777" w:rsidR="00733DCA" w:rsidRDefault="00733DCA" w:rsidP="0001477B">
            <w:pPr>
              <w:rPr>
                <w:rFonts w:ascii="Times New Roman" w:hAnsi="Times New Roman" w:cs="Times New Roman"/>
                <w:noProof/>
                <w:sz w:val="20"/>
                <w:szCs w:val="20"/>
              </w:rPr>
            </w:pPr>
            <w:r>
              <w:rPr>
                <w:noProof/>
                <w:color w:val="000000"/>
                <w:sz w:val="20"/>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5775F3B9" w14:textId="77777777" w:rsidR="00733DCA" w:rsidRDefault="00733DCA" w:rsidP="0001477B">
            <w:pPr>
              <w:jc w:val="center"/>
              <w:rPr>
                <w:rFonts w:ascii="Times New Roman" w:hAnsi="Times New Roman" w:cs="Times New Roman"/>
                <w:noProof/>
                <w:sz w:val="20"/>
                <w:szCs w:val="20"/>
              </w:rPr>
            </w:pPr>
            <w:r>
              <w:rPr>
                <w:noProof/>
                <w:color w:val="000000"/>
                <w:sz w:val="20"/>
              </w:rPr>
              <w:t>% (postotak)</w:t>
            </w:r>
          </w:p>
        </w:tc>
        <w:tc>
          <w:tcPr>
            <w:tcW w:w="1134" w:type="dxa"/>
            <w:tcBorders>
              <w:top w:val="single" w:sz="4" w:space="0" w:color="auto"/>
              <w:left w:val="nil"/>
              <w:bottom w:val="single" w:sz="4" w:space="0" w:color="auto"/>
              <w:right w:val="single" w:sz="4" w:space="0" w:color="auto"/>
            </w:tcBorders>
            <w:shd w:val="clear" w:color="auto" w:fill="C6EFCE"/>
          </w:tcPr>
          <w:p w14:paraId="6313EF79" w14:textId="77777777" w:rsidR="00733DCA" w:rsidRDefault="00733DCA" w:rsidP="0001477B">
            <w:pPr>
              <w:jc w:val="center"/>
              <w:rPr>
                <w:rFonts w:ascii="Times New Roman" w:hAnsi="Times New Roman" w:cs="Times New Roman"/>
                <w:noProof/>
                <w:sz w:val="20"/>
                <w:szCs w:val="20"/>
              </w:rPr>
            </w:pPr>
            <w:r>
              <w:rPr>
                <w:noProof/>
                <w:color w:val="000000"/>
                <w:sz w:val="20"/>
              </w:rPr>
              <w:t>0</w:t>
            </w:r>
          </w:p>
          <w:p w14:paraId="0ED6EB0C" w14:textId="77777777" w:rsidR="00733DCA" w:rsidRDefault="00733DCA" w:rsidP="0001477B">
            <w:pPr>
              <w:rPr>
                <w:rFonts w:ascii="Times New Roman" w:hAnsi="Times New Roman" w:cs="Times New Roman"/>
                <w:noProof/>
                <w:sz w:val="20"/>
                <w:szCs w:val="20"/>
              </w:rPr>
            </w:pPr>
          </w:p>
          <w:p w14:paraId="6603E906" w14:textId="77777777" w:rsidR="00733DCA" w:rsidRDefault="00733DCA" w:rsidP="0001477B">
            <w:pPr>
              <w:rPr>
                <w:rFonts w:ascii="Times New Roman" w:hAnsi="Times New Roman" w:cs="Times New Roman"/>
                <w:noProof/>
                <w:sz w:val="20"/>
                <w:szCs w:val="20"/>
              </w:rPr>
            </w:pPr>
          </w:p>
          <w:p w14:paraId="3F0F77D3" w14:textId="77777777" w:rsidR="00733DCA" w:rsidRDefault="00733DCA" w:rsidP="0001477B">
            <w:pPr>
              <w:rPr>
                <w:rFonts w:ascii="Times New Roman" w:hAnsi="Times New Roman" w:cs="Times New Roman"/>
                <w:noProof/>
                <w:sz w:val="20"/>
                <w:szCs w:val="20"/>
              </w:rPr>
            </w:pPr>
          </w:p>
        </w:tc>
        <w:tc>
          <w:tcPr>
            <w:tcW w:w="851" w:type="dxa"/>
            <w:tcBorders>
              <w:top w:val="single" w:sz="4" w:space="0" w:color="auto"/>
              <w:left w:val="nil"/>
              <w:bottom w:val="single" w:sz="4" w:space="0" w:color="auto"/>
              <w:right w:val="single" w:sz="4" w:space="0" w:color="auto"/>
            </w:tcBorders>
            <w:shd w:val="clear" w:color="auto" w:fill="C6EFCE"/>
          </w:tcPr>
          <w:p w14:paraId="4F74C207" w14:textId="77777777" w:rsidR="00733DCA" w:rsidRDefault="00733DCA" w:rsidP="0001477B">
            <w:pPr>
              <w:jc w:val="center"/>
              <w:rPr>
                <w:rFonts w:ascii="Times New Roman" w:hAnsi="Times New Roman" w:cs="Times New Roman"/>
                <w:noProof/>
                <w:sz w:val="20"/>
                <w:szCs w:val="20"/>
              </w:rPr>
            </w:pPr>
            <w:r>
              <w:rPr>
                <w:noProof/>
                <w:color w:val="000000"/>
                <w:sz w:val="20"/>
              </w:rPr>
              <w:t>20</w:t>
            </w:r>
          </w:p>
        </w:tc>
        <w:tc>
          <w:tcPr>
            <w:tcW w:w="567" w:type="dxa"/>
            <w:tcBorders>
              <w:top w:val="single" w:sz="4" w:space="0" w:color="auto"/>
              <w:left w:val="nil"/>
              <w:bottom w:val="single" w:sz="4" w:space="0" w:color="auto"/>
              <w:right w:val="single" w:sz="4" w:space="0" w:color="auto"/>
            </w:tcBorders>
            <w:shd w:val="clear" w:color="auto" w:fill="C6EFCE"/>
          </w:tcPr>
          <w:p w14:paraId="4D44615B"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tcPr>
          <w:p w14:paraId="5357BF97" w14:textId="77777777" w:rsidR="00733DCA" w:rsidRDefault="00733DCA" w:rsidP="0001477B">
            <w:pPr>
              <w:jc w:val="center"/>
              <w:rPr>
                <w:rFonts w:ascii="Times New Roman" w:hAnsi="Times New Roman" w:cs="Times New Roman"/>
                <w:noProof/>
                <w:sz w:val="20"/>
                <w:szCs w:val="20"/>
              </w:rPr>
            </w:pPr>
            <w:r>
              <w:rPr>
                <w:noProof/>
                <w:color w:val="000000"/>
                <w:sz w:val="20"/>
              </w:rPr>
              <w:t>2025.</w:t>
            </w:r>
          </w:p>
        </w:tc>
        <w:tc>
          <w:tcPr>
            <w:tcW w:w="3515" w:type="dxa"/>
            <w:tcBorders>
              <w:top w:val="single" w:sz="4" w:space="0" w:color="auto"/>
              <w:left w:val="nil"/>
              <w:bottom w:val="single" w:sz="4" w:space="0" w:color="auto"/>
              <w:right w:val="single" w:sz="4" w:space="0" w:color="auto"/>
            </w:tcBorders>
            <w:shd w:val="clear" w:color="auto" w:fill="C6EFCE"/>
          </w:tcPr>
          <w:p w14:paraId="685DF465" w14:textId="77777777" w:rsidR="00733DCA" w:rsidRDefault="00733DCA" w:rsidP="0001477B">
            <w:pPr>
              <w:rPr>
                <w:rFonts w:ascii="Times New Roman" w:hAnsi="Times New Roman" w:cs="Times New Roman"/>
                <w:noProof/>
                <w:sz w:val="20"/>
                <w:szCs w:val="20"/>
              </w:rPr>
            </w:pPr>
            <w:r>
              <w:rPr>
                <w:noProof/>
                <w:color w:val="000000"/>
                <w:sz w:val="20"/>
              </w:rPr>
              <w:t>Digitalizacija i/ili pojednostavnjenje postupaka radi postizanja 20 %-tnog smanjenja administrativnog opterećenja za građane u odnosu na dan 31. prosinca 2019., primjenom metodologije standardnog modela troškova (SCM) na one administrativne postupke koji izravno utječu na građane, a koji su utvrđeni u analizi provedenoj u skladu s C1.1.1. R1-I2.</w:t>
            </w:r>
          </w:p>
        </w:tc>
      </w:tr>
      <w:tr w:rsidR="00215DFD" w14:paraId="5039CA25" w14:textId="77777777" w:rsidTr="00C33FB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7B595C80" w14:textId="77777777" w:rsidR="00733DCA" w:rsidRDefault="00733DCA" w:rsidP="0001477B">
            <w:pPr>
              <w:jc w:val="center"/>
              <w:rPr>
                <w:rFonts w:ascii="Times New Roman" w:hAnsi="Times New Roman" w:cs="Times New Roman"/>
                <w:noProof/>
                <w:sz w:val="20"/>
                <w:szCs w:val="20"/>
              </w:rPr>
            </w:pPr>
            <w:r>
              <w:rPr>
                <w:noProof/>
                <w:color w:val="000000"/>
                <w:sz w:val="20"/>
              </w:rPr>
              <w:t>153</w:t>
            </w:r>
          </w:p>
        </w:tc>
        <w:tc>
          <w:tcPr>
            <w:tcW w:w="993" w:type="dxa"/>
            <w:tcBorders>
              <w:top w:val="single" w:sz="4" w:space="0" w:color="auto"/>
              <w:left w:val="nil"/>
              <w:bottom w:val="single" w:sz="4" w:space="0" w:color="auto"/>
              <w:right w:val="single" w:sz="4" w:space="0" w:color="auto"/>
            </w:tcBorders>
            <w:shd w:val="clear" w:color="auto" w:fill="C6EFCE"/>
          </w:tcPr>
          <w:p w14:paraId="2E3E8D84" w14:textId="77777777" w:rsidR="00733DCA" w:rsidRDefault="00733DCA" w:rsidP="0001477B">
            <w:pPr>
              <w:jc w:val="center"/>
              <w:rPr>
                <w:rFonts w:ascii="Times New Roman" w:hAnsi="Times New Roman" w:cs="Times New Roman"/>
                <w:noProof/>
                <w:sz w:val="20"/>
                <w:szCs w:val="20"/>
              </w:rPr>
            </w:pPr>
            <w:r>
              <w:rPr>
                <w:noProof/>
                <w:color w:val="000000"/>
                <w:sz w:val="20"/>
              </w:rPr>
              <w:t>C2.1. R1-I1</w:t>
            </w:r>
          </w:p>
        </w:tc>
        <w:tc>
          <w:tcPr>
            <w:tcW w:w="992" w:type="dxa"/>
            <w:tcBorders>
              <w:top w:val="single" w:sz="4" w:space="0" w:color="auto"/>
              <w:left w:val="nil"/>
              <w:bottom w:val="single" w:sz="4" w:space="0" w:color="auto"/>
              <w:right w:val="single" w:sz="4" w:space="0" w:color="auto"/>
            </w:tcBorders>
            <w:shd w:val="clear" w:color="auto" w:fill="C6EFCE"/>
          </w:tcPr>
          <w:p w14:paraId="30C7D3E6"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126" w:type="dxa"/>
            <w:tcBorders>
              <w:top w:val="single" w:sz="4" w:space="0" w:color="auto"/>
              <w:left w:val="nil"/>
              <w:bottom w:val="single" w:sz="4" w:space="0" w:color="auto"/>
              <w:right w:val="single" w:sz="4" w:space="0" w:color="auto"/>
            </w:tcBorders>
            <w:shd w:val="clear" w:color="auto" w:fill="C6EFCE"/>
          </w:tcPr>
          <w:p w14:paraId="7D18FB50" w14:textId="77777777" w:rsidR="00733DCA" w:rsidRDefault="00733DCA" w:rsidP="0001477B">
            <w:pPr>
              <w:rPr>
                <w:rFonts w:ascii="Times New Roman" w:hAnsi="Times New Roman" w:cs="Times New Roman"/>
                <w:noProof/>
                <w:sz w:val="20"/>
                <w:szCs w:val="20"/>
              </w:rPr>
            </w:pPr>
            <w:r>
              <w:rPr>
                <w:noProof/>
                <w:color w:val="000000"/>
                <w:sz w:val="20"/>
              </w:rPr>
              <w:t>Digitalizacija mapiranja svih poslovnih procesa u području strateškog planiranja i procjene učinka propisa</w:t>
            </w:r>
          </w:p>
        </w:tc>
        <w:tc>
          <w:tcPr>
            <w:tcW w:w="2300" w:type="dxa"/>
            <w:tcBorders>
              <w:top w:val="single" w:sz="4" w:space="0" w:color="auto"/>
              <w:left w:val="nil"/>
              <w:bottom w:val="single" w:sz="4" w:space="0" w:color="auto"/>
              <w:right w:val="single" w:sz="4" w:space="0" w:color="auto"/>
            </w:tcBorders>
            <w:shd w:val="clear" w:color="auto" w:fill="C6EFCE"/>
          </w:tcPr>
          <w:p w14:paraId="426E2752" w14:textId="77777777" w:rsidR="00733DCA" w:rsidRDefault="00733DCA" w:rsidP="0001477B">
            <w:pPr>
              <w:rPr>
                <w:rFonts w:ascii="Times New Roman" w:hAnsi="Times New Roman" w:cs="Times New Roman"/>
                <w:noProof/>
                <w:sz w:val="20"/>
                <w:szCs w:val="20"/>
              </w:rPr>
            </w:pPr>
            <w:r>
              <w:rPr>
                <w:noProof/>
                <w:color w:val="000000"/>
                <w:sz w:val="20"/>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16E746FD" w14:textId="77777777" w:rsidR="00733DCA" w:rsidRDefault="00733DCA" w:rsidP="0001477B">
            <w:pPr>
              <w:jc w:val="center"/>
              <w:rPr>
                <w:rFonts w:ascii="Times New Roman" w:hAnsi="Times New Roman" w:cs="Times New Roman"/>
                <w:noProof/>
                <w:sz w:val="20"/>
                <w:szCs w:val="20"/>
              </w:rPr>
            </w:pPr>
            <w:r>
              <w:rPr>
                <w:noProof/>
                <w:color w:val="000000"/>
                <w:sz w:val="20"/>
              </w:rPr>
              <w:t>% (postotak)</w:t>
            </w:r>
          </w:p>
        </w:tc>
        <w:tc>
          <w:tcPr>
            <w:tcW w:w="1134" w:type="dxa"/>
            <w:tcBorders>
              <w:top w:val="single" w:sz="4" w:space="0" w:color="auto"/>
              <w:left w:val="nil"/>
              <w:bottom w:val="single" w:sz="4" w:space="0" w:color="auto"/>
              <w:right w:val="single" w:sz="4" w:space="0" w:color="auto"/>
            </w:tcBorders>
            <w:shd w:val="clear" w:color="auto" w:fill="C6EFCE"/>
          </w:tcPr>
          <w:p w14:paraId="419B155A" w14:textId="77777777" w:rsidR="00733DCA" w:rsidRDefault="00733DCA" w:rsidP="0001477B">
            <w:pPr>
              <w:jc w:val="center"/>
              <w:rPr>
                <w:rFonts w:ascii="Times New Roman" w:hAnsi="Times New Roman" w:cs="Times New Roman"/>
                <w:noProof/>
                <w:sz w:val="20"/>
                <w:szCs w:val="20"/>
              </w:rPr>
            </w:pPr>
            <w:r>
              <w:rPr>
                <w:noProof/>
                <w:color w:val="000000"/>
                <w:sz w:val="20"/>
              </w:rPr>
              <w:t>0</w:t>
            </w:r>
          </w:p>
        </w:tc>
        <w:tc>
          <w:tcPr>
            <w:tcW w:w="851" w:type="dxa"/>
            <w:tcBorders>
              <w:top w:val="single" w:sz="4" w:space="0" w:color="auto"/>
              <w:left w:val="nil"/>
              <w:bottom w:val="single" w:sz="4" w:space="0" w:color="auto"/>
              <w:right w:val="single" w:sz="4" w:space="0" w:color="auto"/>
            </w:tcBorders>
            <w:shd w:val="clear" w:color="auto" w:fill="C6EFCE"/>
          </w:tcPr>
          <w:p w14:paraId="758EF56F" w14:textId="77777777" w:rsidR="00733DCA" w:rsidRDefault="00733DCA" w:rsidP="0001477B">
            <w:pPr>
              <w:jc w:val="center"/>
              <w:rPr>
                <w:rFonts w:ascii="Times New Roman" w:hAnsi="Times New Roman" w:cs="Times New Roman"/>
                <w:noProof/>
                <w:sz w:val="20"/>
                <w:szCs w:val="20"/>
              </w:rPr>
            </w:pPr>
            <w:r>
              <w:rPr>
                <w:noProof/>
                <w:color w:val="000000"/>
                <w:sz w:val="20"/>
              </w:rPr>
              <w:t>100</w:t>
            </w:r>
          </w:p>
        </w:tc>
        <w:tc>
          <w:tcPr>
            <w:tcW w:w="567" w:type="dxa"/>
            <w:tcBorders>
              <w:top w:val="single" w:sz="4" w:space="0" w:color="auto"/>
              <w:left w:val="nil"/>
              <w:bottom w:val="single" w:sz="4" w:space="0" w:color="auto"/>
              <w:right w:val="single" w:sz="4" w:space="0" w:color="auto"/>
            </w:tcBorders>
            <w:shd w:val="clear" w:color="auto" w:fill="C6EFCE"/>
          </w:tcPr>
          <w:p w14:paraId="086A9811"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tcPr>
          <w:p w14:paraId="7C5877A6" w14:textId="77777777" w:rsidR="00733DCA" w:rsidRDefault="00733DCA" w:rsidP="0001477B">
            <w:pPr>
              <w:jc w:val="center"/>
              <w:rPr>
                <w:rFonts w:ascii="Times New Roman" w:hAnsi="Times New Roman" w:cs="Times New Roman"/>
                <w:noProof/>
                <w:sz w:val="20"/>
                <w:szCs w:val="20"/>
              </w:rPr>
            </w:pPr>
            <w:r>
              <w:rPr>
                <w:noProof/>
                <w:color w:val="000000"/>
                <w:sz w:val="20"/>
              </w:rPr>
              <w:t>2025.</w:t>
            </w:r>
          </w:p>
        </w:tc>
        <w:tc>
          <w:tcPr>
            <w:tcW w:w="3515" w:type="dxa"/>
            <w:tcBorders>
              <w:top w:val="single" w:sz="4" w:space="0" w:color="auto"/>
              <w:left w:val="nil"/>
              <w:bottom w:val="single" w:sz="4" w:space="0" w:color="auto"/>
              <w:right w:val="single" w:sz="4" w:space="0" w:color="auto"/>
            </w:tcBorders>
            <w:shd w:val="clear" w:color="auto" w:fill="C6EFCE"/>
          </w:tcPr>
          <w:p w14:paraId="68F31356" w14:textId="77777777" w:rsidR="00733DCA" w:rsidRDefault="00733DCA" w:rsidP="0001477B">
            <w:pPr>
              <w:rPr>
                <w:rFonts w:ascii="Times New Roman" w:hAnsi="Times New Roman" w:cs="Times New Roman"/>
                <w:noProof/>
                <w:sz w:val="20"/>
                <w:szCs w:val="20"/>
              </w:rPr>
            </w:pPr>
            <w:r>
              <w:rPr>
                <w:noProof/>
                <w:color w:val="000000"/>
                <w:sz w:val="20"/>
              </w:rPr>
              <w:t>Svi poslovni procesi u području strateškog planiranja i procjene učinka propisa koji su mapirani u javnoj upravi digitalizirat će se i ugraditi u informatičku platformu. Primijenit će se na praćenje izrade strateških dokumenata, provedbu i evaluaciju javnih politika i procjenu učinka propisa. Informatički sustav uključivat će i upravljačku ploču s pregledom rezultata provedbe javnih politika, čime će se omogućiti transparentno praćenje i komunikacija s javnošću u stvarnom vremenu.</w:t>
            </w:r>
          </w:p>
        </w:tc>
      </w:tr>
      <w:tr w:rsidR="00215DFD" w14:paraId="0CF04DED" w14:textId="77777777" w:rsidTr="00C33FB0">
        <w:trPr>
          <w:trHeight w:val="300"/>
        </w:trPr>
        <w:tc>
          <w:tcPr>
            <w:tcW w:w="993" w:type="dxa"/>
            <w:tcBorders>
              <w:top w:val="nil"/>
              <w:left w:val="single" w:sz="4" w:space="0" w:color="auto"/>
              <w:bottom w:val="single" w:sz="4" w:space="0" w:color="auto"/>
              <w:right w:val="single" w:sz="4" w:space="0" w:color="auto"/>
            </w:tcBorders>
            <w:shd w:val="clear" w:color="auto" w:fill="C6EFCE"/>
          </w:tcPr>
          <w:p w14:paraId="02CC5C36" w14:textId="77777777" w:rsidR="00733DCA" w:rsidRDefault="00733DCA" w:rsidP="0001477B">
            <w:pPr>
              <w:jc w:val="center"/>
              <w:rPr>
                <w:noProof/>
                <w:color w:val="000000"/>
                <w:sz w:val="20"/>
                <w:szCs w:val="20"/>
              </w:rPr>
            </w:pPr>
            <w:r>
              <w:rPr>
                <w:noProof/>
                <w:color w:val="000000"/>
                <w:sz w:val="20"/>
              </w:rPr>
              <w:t>156</w:t>
            </w:r>
          </w:p>
        </w:tc>
        <w:tc>
          <w:tcPr>
            <w:tcW w:w="993" w:type="dxa"/>
            <w:tcBorders>
              <w:top w:val="nil"/>
              <w:left w:val="nil"/>
              <w:bottom w:val="single" w:sz="4" w:space="0" w:color="auto"/>
              <w:right w:val="single" w:sz="4" w:space="0" w:color="auto"/>
            </w:tcBorders>
            <w:shd w:val="clear" w:color="auto" w:fill="C6EFCE"/>
          </w:tcPr>
          <w:p w14:paraId="74FA470D" w14:textId="77777777" w:rsidR="00733DCA" w:rsidRDefault="00733DCA" w:rsidP="0001477B">
            <w:pPr>
              <w:jc w:val="center"/>
              <w:rPr>
                <w:noProof/>
                <w:color w:val="000000"/>
                <w:sz w:val="20"/>
                <w:szCs w:val="20"/>
              </w:rPr>
            </w:pPr>
            <w:r>
              <w:rPr>
                <w:noProof/>
                <w:color w:val="000000"/>
                <w:sz w:val="20"/>
              </w:rPr>
              <w:t>C2.1. R2</w:t>
            </w:r>
          </w:p>
        </w:tc>
        <w:tc>
          <w:tcPr>
            <w:tcW w:w="992" w:type="dxa"/>
            <w:tcBorders>
              <w:top w:val="nil"/>
              <w:left w:val="nil"/>
              <w:bottom w:val="single" w:sz="4" w:space="0" w:color="auto"/>
              <w:right w:val="single" w:sz="4" w:space="0" w:color="auto"/>
            </w:tcBorders>
            <w:shd w:val="clear" w:color="auto" w:fill="C6EFCE"/>
          </w:tcPr>
          <w:p w14:paraId="4084A9D9" w14:textId="77777777" w:rsidR="00733DCA" w:rsidRDefault="00733DCA" w:rsidP="0001477B">
            <w:pPr>
              <w:jc w:val="center"/>
              <w:rPr>
                <w:noProof/>
                <w:color w:val="000000"/>
                <w:sz w:val="20"/>
                <w:szCs w:val="20"/>
              </w:rPr>
            </w:pPr>
            <w:r>
              <w:rPr>
                <w:noProof/>
                <w:color w:val="000000"/>
                <w:sz w:val="20"/>
              </w:rPr>
              <w:t>Ključna etapa</w:t>
            </w:r>
          </w:p>
        </w:tc>
        <w:tc>
          <w:tcPr>
            <w:tcW w:w="2126" w:type="dxa"/>
            <w:tcBorders>
              <w:top w:val="nil"/>
              <w:left w:val="nil"/>
              <w:bottom w:val="single" w:sz="4" w:space="0" w:color="auto"/>
              <w:right w:val="single" w:sz="4" w:space="0" w:color="auto"/>
            </w:tcBorders>
            <w:shd w:val="clear" w:color="auto" w:fill="C6EFCE"/>
          </w:tcPr>
          <w:p w14:paraId="3C74B86F" w14:textId="77777777" w:rsidR="00733DCA" w:rsidRDefault="00733DCA" w:rsidP="0001477B">
            <w:pPr>
              <w:rPr>
                <w:noProof/>
                <w:color w:val="000000"/>
                <w:sz w:val="20"/>
                <w:szCs w:val="20"/>
              </w:rPr>
            </w:pPr>
            <w:r>
              <w:rPr>
                <w:noProof/>
                <w:color w:val="000000"/>
                <w:sz w:val="20"/>
              </w:rPr>
              <w:t>Izmjena Statuta ARPA-e radi izmjene njezinih ovlasti</w:t>
            </w:r>
          </w:p>
        </w:tc>
        <w:tc>
          <w:tcPr>
            <w:tcW w:w="2300" w:type="dxa"/>
            <w:tcBorders>
              <w:top w:val="nil"/>
              <w:left w:val="nil"/>
              <w:bottom w:val="single" w:sz="4" w:space="0" w:color="auto"/>
              <w:right w:val="single" w:sz="4" w:space="0" w:color="auto"/>
            </w:tcBorders>
            <w:shd w:val="clear" w:color="auto" w:fill="C6EFCE"/>
          </w:tcPr>
          <w:p w14:paraId="64D4428E" w14:textId="77777777" w:rsidR="00733DCA" w:rsidRDefault="00733DCA" w:rsidP="0001477B">
            <w:pPr>
              <w:rPr>
                <w:noProof/>
                <w:color w:val="000000"/>
                <w:sz w:val="20"/>
                <w:szCs w:val="20"/>
              </w:rPr>
            </w:pPr>
            <w:r>
              <w:rPr>
                <w:noProof/>
                <w:color w:val="000000"/>
                <w:sz w:val="20"/>
              </w:rPr>
              <w:t xml:space="preserve">Stupanje na snagu izmjena Statuta ARPA-e </w:t>
            </w:r>
          </w:p>
        </w:tc>
        <w:tc>
          <w:tcPr>
            <w:tcW w:w="847" w:type="dxa"/>
            <w:tcBorders>
              <w:top w:val="nil"/>
              <w:left w:val="nil"/>
              <w:bottom w:val="single" w:sz="4" w:space="0" w:color="auto"/>
              <w:right w:val="single" w:sz="4" w:space="0" w:color="auto"/>
            </w:tcBorders>
            <w:shd w:val="clear" w:color="auto" w:fill="C6EFCE"/>
          </w:tcPr>
          <w:p w14:paraId="3E0A1F52" w14:textId="77777777" w:rsidR="00733DCA" w:rsidRDefault="00733DCA" w:rsidP="0001477B">
            <w:pPr>
              <w:jc w:val="center"/>
              <w:rPr>
                <w:noProof/>
                <w:color w:val="000000"/>
                <w:sz w:val="20"/>
                <w:szCs w:val="20"/>
              </w:rPr>
            </w:pPr>
            <w:r>
              <w:rPr>
                <w:noProof/>
                <w:color w:val="000000"/>
                <w:sz w:val="20"/>
              </w:rPr>
              <w:t> </w:t>
            </w:r>
          </w:p>
        </w:tc>
        <w:tc>
          <w:tcPr>
            <w:tcW w:w="1134" w:type="dxa"/>
            <w:tcBorders>
              <w:top w:val="nil"/>
              <w:left w:val="nil"/>
              <w:bottom w:val="single" w:sz="4" w:space="0" w:color="auto"/>
              <w:right w:val="single" w:sz="4" w:space="0" w:color="auto"/>
            </w:tcBorders>
            <w:shd w:val="clear" w:color="auto" w:fill="C6EFCE"/>
          </w:tcPr>
          <w:p w14:paraId="25606F8C" w14:textId="77777777" w:rsidR="00733DCA" w:rsidRDefault="00733DCA" w:rsidP="0001477B">
            <w:pPr>
              <w:jc w:val="center"/>
              <w:rPr>
                <w:noProof/>
                <w:color w:val="000000"/>
                <w:sz w:val="20"/>
                <w:szCs w:val="20"/>
              </w:rPr>
            </w:pPr>
            <w:r>
              <w:rPr>
                <w:noProof/>
                <w:color w:val="000000"/>
                <w:sz w:val="20"/>
              </w:rPr>
              <w:t> </w:t>
            </w:r>
          </w:p>
        </w:tc>
        <w:tc>
          <w:tcPr>
            <w:tcW w:w="851" w:type="dxa"/>
            <w:tcBorders>
              <w:top w:val="nil"/>
              <w:left w:val="nil"/>
              <w:bottom w:val="single" w:sz="4" w:space="0" w:color="auto"/>
              <w:right w:val="single" w:sz="4" w:space="0" w:color="auto"/>
            </w:tcBorders>
            <w:shd w:val="clear" w:color="auto" w:fill="C6EFCE"/>
          </w:tcPr>
          <w:p w14:paraId="7FA410C4" w14:textId="77777777" w:rsidR="00733DCA" w:rsidRDefault="00733DCA" w:rsidP="0001477B">
            <w:pPr>
              <w:jc w:val="center"/>
              <w:rPr>
                <w:noProof/>
                <w:color w:val="000000"/>
                <w:sz w:val="20"/>
                <w:szCs w:val="20"/>
              </w:rPr>
            </w:pPr>
            <w:r>
              <w:rPr>
                <w:noProof/>
                <w:color w:val="000000"/>
                <w:sz w:val="20"/>
              </w:rPr>
              <w:t> </w:t>
            </w:r>
          </w:p>
        </w:tc>
        <w:tc>
          <w:tcPr>
            <w:tcW w:w="567" w:type="dxa"/>
            <w:tcBorders>
              <w:top w:val="nil"/>
              <w:left w:val="nil"/>
              <w:bottom w:val="single" w:sz="4" w:space="0" w:color="auto"/>
              <w:right w:val="single" w:sz="4" w:space="0" w:color="auto"/>
            </w:tcBorders>
            <w:shd w:val="clear" w:color="auto" w:fill="C6EFCE"/>
          </w:tcPr>
          <w:p w14:paraId="54243746" w14:textId="77777777" w:rsidR="00733DCA" w:rsidRDefault="00733DCA" w:rsidP="0001477B">
            <w:pPr>
              <w:jc w:val="center"/>
              <w:rPr>
                <w:noProof/>
                <w:color w:val="000000"/>
                <w:sz w:val="20"/>
                <w:szCs w:val="20"/>
              </w:rPr>
            </w:pPr>
            <w:r>
              <w:rPr>
                <w:noProof/>
                <w:color w:val="000000"/>
                <w:sz w:val="20"/>
              </w:rPr>
              <w:t>3.</w:t>
            </w:r>
          </w:p>
        </w:tc>
        <w:tc>
          <w:tcPr>
            <w:tcW w:w="709" w:type="dxa"/>
            <w:tcBorders>
              <w:top w:val="nil"/>
              <w:left w:val="nil"/>
              <w:bottom w:val="single" w:sz="4" w:space="0" w:color="auto"/>
              <w:right w:val="single" w:sz="4" w:space="0" w:color="auto"/>
            </w:tcBorders>
            <w:shd w:val="clear" w:color="auto" w:fill="C6EFCE"/>
          </w:tcPr>
          <w:p w14:paraId="0C694CE1" w14:textId="77777777" w:rsidR="00733DCA" w:rsidRDefault="00733DCA" w:rsidP="0001477B">
            <w:pPr>
              <w:jc w:val="center"/>
              <w:rPr>
                <w:noProof/>
                <w:color w:val="000000"/>
                <w:sz w:val="20"/>
                <w:szCs w:val="20"/>
              </w:rPr>
            </w:pPr>
            <w:r>
              <w:rPr>
                <w:noProof/>
                <w:color w:val="000000"/>
                <w:sz w:val="20"/>
              </w:rPr>
              <w:t>2021.</w:t>
            </w:r>
          </w:p>
        </w:tc>
        <w:tc>
          <w:tcPr>
            <w:tcW w:w="3515" w:type="dxa"/>
            <w:tcBorders>
              <w:top w:val="nil"/>
              <w:left w:val="nil"/>
              <w:bottom w:val="single" w:sz="4" w:space="0" w:color="auto"/>
              <w:right w:val="single" w:sz="4" w:space="0" w:color="auto"/>
            </w:tcBorders>
            <w:shd w:val="clear" w:color="auto" w:fill="C6EFCE"/>
          </w:tcPr>
          <w:p w14:paraId="3EB6FC0D" w14:textId="77777777" w:rsidR="00733DCA" w:rsidRDefault="00733DCA" w:rsidP="0001477B">
            <w:pPr>
              <w:rPr>
                <w:noProof/>
                <w:color w:val="000000"/>
                <w:sz w:val="20"/>
                <w:szCs w:val="20"/>
              </w:rPr>
            </w:pPr>
            <w:r>
              <w:rPr>
                <w:noProof/>
                <w:color w:val="000000"/>
                <w:sz w:val="20"/>
              </w:rPr>
              <w:t>Izmjenom Statuta Agencije za reviziju sustava provedbe programa Europske unije (ARPA) utvrdit će se ovlast ARPA-e za uspostavu i provedbu revizija sustava i kontrola povezanih s NPOO-om.</w:t>
            </w:r>
          </w:p>
        </w:tc>
      </w:tr>
      <w:tr w:rsidR="00215DFD" w14:paraId="425EAA1F" w14:textId="77777777" w:rsidTr="00C33FB0">
        <w:trPr>
          <w:trHeight w:val="300"/>
        </w:trPr>
        <w:tc>
          <w:tcPr>
            <w:tcW w:w="993" w:type="dxa"/>
            <w:tcBorders>
              <w:top w:val="nil"/>
              <w:left w:val="single" w:sz="4" w:space="0" w:color="auto"/>
              <w:bottom w:val="single" w:sz="4" w:space="0" w:color="auto"/>
              <w:right w:val="single" w:sz="4" w:space="0" w:color="auto"/>
            </w:tcBorders>
            <w:shd w:val="clear" w:color="auto" w:fill="C6EFCE"/>
          </w:tcPr>
          <w:p w14:paraId="79EA3058" w14:textId="77777777" w:rsidR="00733DCA" w:rsidRDefault="00733DCA" w:rsidP="0001477B">
            <w:pPr>
              <w:jc w:val="center"/>
              <w:rPr>
                <w:noProof/>
                <w:color w:val="000000"/>
                <w:sz w:val="20"/>
                <w:szCs w:val="20"/>
              </w:rPr>
            </w:pPr>
            <w:r>
              <w:rPr>
                <w:noProof/>
                <w:color w:val="000000"/>
                <w:sz w:val="20"/>
              </w:rPr>
              <w:t>157</w:t>
            </w:r>
          </w:p>
        </w:tc>
        <w:tc>
          <w:tcPr>
            <w:tcW w:w="993" w:type="dxa"/>
            <w:tcBorders>
              <w:top w:val="nil"/>
              <w:left w:val="nil"/>
              <w:bottom w:val="single" w:sz="4" w:space="0" w:color="auto"/>
              <w:right w:val="single" w:sz="4" w:space="0" w:color="auto"/>
            </w:tcBorders>
            <w:shd w:val="clear" w:color="auto" w:fill="C6EFCE"/>
          </w:tcPr>
          <w:p w14:paraId="284DA977" w14:textId="77777777" w:rsidR="00733DCA" w:rsidRDefault="00733DCA" w:rsidP="0001477B">
            <w:pPr>
              <w:jc w:val="center"/>
              <w:rPr>
                <w:noProof/>
                <w:color w:val="000000"/>
                <w:sz w:val="20"/>
                <w:szCs w:val="20"/>
              </w:rPr>
            </w:pPr>
            <w:r>
              <w:rPr>
                <w:noProof/>
                <w:color w:val="000000"/>
                <w:sz w:val="20"/>
              </w:rPr>
              <w:t>C2.1. R2</w:t>
            </w:r>
          </w:p>
        </w:tc>
        <w:tc>
          <w:tcPr>
            <w:tcW w:w="992" w:type="dxa"/>
            <w:tcBorders>
              <w:top w:val="nil"/>
              <w:left w:val="nil"/>
              <w:bottom w:val="single" w:sz="4" w:space="0" w:color="auto"/>
              <w:right w:val="single" w:sz="4" w:space="0" w:color="auto"/>
            </w:tcBorders>
            <w:shd w:val="clear" w:color="auto" w:fill="C6EFCE"/>
          </w:tcPr>
          <w:p w14:paraId="466AF9B2" w14:textId="77777777" w:rsidR="00733DCA" w:rsidRDefault="00733DCA" w:rsidP="0001477B">
            <w:pPr>
              <w:jc w:val="center"/>
              <w:rPr>
                <w:noProof/>
                <w:color w:val="000000"/>
                <w:sz w:val="20"/>
                <w:szCs w:val="20"/>
              </w:rPr>
            </w:pPr>
            <w:r>
              <w:rPr>
                <w:noProof/>
                <w:color w:val="000000"/>
                <w:sz w:val="20"/>
              </w:rPr>
              <w:t>Ključna etapa</w:t>
            </w:r>
          </w:p>
        </w:tc>
        <w:tc>
          <w:tcPr>
            <w:tcW w:w="2126" w:type="dxa"/>
            <w:tcBorders>
              <w:top w:val="nil"/>
              <w:left w:val="nil"/>
              <w:bottom w:val="single" w:sz="4" w:space="0" w:color="auto"/>
              <w:right w:val="single" w:sz="4" w:space="0" w:color="auto"/>
            </w:tcBorders>
            <w:shd w:val="clear" w:color="auto" w:fill="C6EFCE"/>
          </w:tcPr>
          <w:p w14:paraId="10F9F5BD" w14:textId="77777777" w:rsidR="00733DCA" w:rsidRDefault="00733DCA" w:rsidP="0001477B">
            <w:pPr>
              <w:rPr>
                <w:noProof/>
                <w:color w:val="000000"/>
                <w:sz w:val="20"/>
                <w:szCs w:val="20"/>
              </w:rPr>
            </w:pPr>
            <w:r>
              <w:rPr>
                <w:noProof/>
                <w:color w:val="000000"/>
                <w:sz w:val="20"/>
              </w:rPr>
              <w:t>Uspostava sustava provedbe i revizije NPOO-a</w:t>
            </w:r>
          </w:p>
        </w:tc>
        <w:tc>
          <w:tcPr>
            <w:tcW w:w="2300" w:type="dxa"/>
            <w:tcBorders>
              <w:top w:val="nil"/>
              <w:left w:val="nil"/>
              <w:bottom w:val="single" w:sz="4" w:space="0" w:color="auto"/>
              <w:right w:val="single" w:sz="4" w:space="0" w:color="auto"/>
            </w:tcBorders>
            <w:shd w:val="clear" w:color="auto" w:fill="C6EFCE"/>
          </w:tcPr>
          <w:p w14:paraId="6054FF7E" w14:textId="77777777" w:rsidR="00733DCA" w:rsidRDefault="00733DCA" w:rsidP="0001477B">
            <w:pPr>
              <w:rPr>
                <w:noProof/>
                <w:color w:val="000000"/>
                <w:sz w:val="20"/>
                <w:szCs w:val="20"/>
              </w:rPr>
            </w:pPr>
            <w:r>
              <w:rPr>
                <w:noProof/>
                <w:color w:val="000000"/>
                <w:sz w:val="20"/>
              </w:rPr>
              <w:t>Stupanje na snagu Vladine odluke o tijelima u sustavu provedbe NPOO-a, osnivanje koordinacijskog tijela u okviru MINFIN-a i ažuriranje postupaka koje primjenjuju provedbena tijela.</w:t>
            </w:r>
          </w:p>
        </w:tc>
        <w:tc>
          <w:tcPr>
            <w:tcW w:w="847" w:type="dxa"/>
            <w:tcBorders>
              <w:top w:val="nil"/>
              <w:left w:val="nil"/>
              <w:bottom w:val="single" w:sz="4" w:space="0" w:color="auto"/>
              <w:right w:val="single" w:sz="4" w:space="0" w:color="auto"/>
            </w:tcBorders>
            <w:shd w:val="clear" w:color="auto" w:fill="C6EFCE"/>
          </w:tcPr>
          <w:p w14:paraId="37DA6894" w14:textId="77777777" w:rsidR="00733DCA" w:rsidRDefault="00733DCA" w:rsidP="0001477B">
            <w:pPr>
              <w:jc w:val="center"/>
              <w:rPr>
                <w:noProof/>
                <w:color w:val="000000"/>
                <w:sz w:val="20"/>
                <w:szCs w:val="20"/>
              </w:rPr>
            </w:pPr>
            <w:r>
              <w:rPr>
                <w:noProof/>
                <w:color w:val="000000"/>
                <w:sz w:val="20"/>
              </w:rPr>
              <w:t> </w:t>
            </w:r>
          </w:p>
        </w:tc>
        <w:tc>
          <w:tcPr>
            <w:tcW w:w="1134" w:type="dxa"/>
            <w:tcBorders>
              <w:top w:val="nil"/>
              <w:left w:val="nil"/>
              <w:bottom w:val="single" w:sz="4" w:space="0" w:color="auto"/>
              <w:right w:val="single" w:sz="4" w:space="0" w:color="auto"/>
            </w:tcBorders>
            <w:shd w:val="clear" w:color="auto" w:fill="C6EFCE"/>
          </w:tcPr>
          <w:p w14:paraId="50EACD82" w14:textId="77777777" w:rsidR="00733DCA" w:rsidRDefault="00733DCA" w:rsidP="0001477B">
            <w:pPr>
              <w:jc w:val="center"/>
              <w:rPr>
                <w:noProof/>
                <w:color w:val="000000"/>
                <w:sz w:val="20"/>
                <w:szCs w:val="20"/>
              </w:rPr>
            </w:pPr>
            <w:r>
              <w:rPr>
                <w:noProof/>
                <w:color w:val="000000"/>
                <w:sz w:val="20"/>
              </w:rPr>
              <w:t> </w:t>
            </w:r>
          </w:p>
        </w:tc>
        <w:tc>
          <w:tcPr>
            <w:tcW w:w="851" w:type="dxa"/>
            <w:tcBorders>
              <w:top w:val="nil"/>
              <w:left w:val="nil"/>
              <w:bottom w:val="single" w:sz="4" w:space="0" w:color="auto"/>
              <w:right w:val="single" w:sz="4" w:space="0" w:color="auto"/>
            </w:tcBorders>
            <w:shd w:val="clear" w:color="auto" w:fill="C6EFCE"/>
          </w:tcPr>
          <w:p w14:paraId="5ADAC29A" w14:textId="77777777" w:rsidR="00733DCA" w:rsidRDefault="00733DCA" w:rsidP="0001477B">
            <w:pPr>
              <w:jc w:val="center"/>
              <w:rPr>
                <w:noProof/>
                <w:color w:val="000000"/>
                <w:sz w:val="20"/>
                <w:szCs w:val="20"/>
              </w:rPr>
            </w:pPr>
            <w:r>
              <w:rPr>
                <w:noProof/>
                <w:color w:val="000000"/>
                <w:sz w:val="20"/>
              </w:rPr>
              <w:t> </w:t>
            </w:r>
          </w:p>
        </w:tc>
        <w:tc>
          <w:tcPr>
            <w:tcW w:w="567" w:type="dxa"/>
            <w:tcBorders>
              <w:top w:val="nil"/>
              <w:left w:val="nil"/>
              <w:bottom w:val="single" w:sz="4" w:space="0" w:color="auto"/>
              <w:right w:val="single" w:sz="4" w:space="0" w:color="auto"/>
            </w:tcBorders>
            <w:shd w:val="clear" w:color="auto" w:fill="C6EFCE"/>
          </w:tcPr>
          <w:p w14:paraId="156867A3" w14:textId="77777777" w:rsidR="00733DCA" w:rsidRDefault="00733DCA" w:rsidP="0001477B">
            <w:pPr>
              <w:jc w:val="center"/>
              <w:rPr>
                <w:noProof/>
                <w:color w:val="000000"/>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tcPr>
          <w:p w14:paraId="615C9BF3" w14:textId="77777777" w:rsidR="00733DCA" w:rsidRDefault="00733DCA" w:rsidP="0001477B">
            <w:pPr>
              <w:jc w:val="center"/>
              <w:rPr>
                <w:noProof/>
                <w:color w:val="000000"/>
                <w:sz w:val="20"/>
                <w:szCs w:val="20"/>
              </w:rPr>
            </w:pPr>
            <w:r>
              <w:rPr>
                <w:noProof/>
                <w:color w:val="000000"/>
                <w:sz w:val="20"/>
              </w:rPr>
              <w:t>2021.</w:t>
            </w:r>
          </w:p>
        </w:tc>
        <w:tc>
          <w:tcPr>
            <w:tcW w:w="3515" w:type="dxa"/>
            <w:tcBorders>
              <w:top w:val="nil"/>
              <w:left w:val="nil"/>
              <w:bottom w:val="single" w:sz="4" w:space="0" w:color="auto"/>
              <w:right w:val="single" w:sz="4" w:space="0" w:color="auto"/>
            </w:tcBorders>
            <w:shd w:val="clear" w:color="auto" w:fill="C6EFCE"/>
          </w:tcPr>
          <w:p w14:paraId="38D79AE9" w14:textId="77777777" w:rsidR="00733DCA" w:rsidRDefault="00733DCA" w:rsidP="0001477B">
            <w:pPr>
              <w:rPr>
                <w:noProof/>
                <w:color w:val="000000"/>
                <w:sz w:val="20"/>
                <w:szCs w:val="20"/>
              </w:rPr>
            </w:pPr>
            <w:r>
              <w:rPr>
                <w:noProof/>
                <w:color w:val="000000"/>
                <w:sz w:val="20"/>
              </w:rPr>
              <w:t>Odlukom o tijelima u sustavu provedbe NPOO-a utvrdit će se nadležna tijela i odgovornosti za obavljanje poslova provedbe NPOO-a, uključujući središnje koordinacijsko tijelo u okviru MINFIN-a radi osiguranja provedbe i praćenja mjera iz NPOO-a, uključujući reforme, a Odbor za provedbu osigurat će usklađenost i dosljednost u korištenju sredstava Unije.</w:t>
            </w:r>
            <w:r>
              <w:rPr>
                <w:noProof/>
                <w:color w:val="000000"/>
                <w:sz w:val="20"/>
              </w:rPr>
              <w:br/>
              <w:t>Koordinacijsko tijelo za NPOO bit će osnovano i potpuno funkcionalno, u okviru MINFIN-a</w:t>
            </w:r>
            <w:r>
              <w:rPr>
                <w:noProof/>
                <w:color w:val="000000"/>
                <w:sz w:val="20"/>
              </w:rPr>
              <w:br/>
              <w:t>Svi postupci koje primjenjuju provedbena tijela NPOO-a ažurirani su i na snazi.</w:t>
            </w:r>
          </w:p>
        </w:tc>
      </w:tr>
      <w:tr w:rsidR="00215DFD" w14:paraId="07952E4A" w14:textId="77777777" w:rsidTr="00C33FB0">
        <w:trPr>
          <w:trHeight w:val="300"/>
        </w:trPr>
        <w:tc>
          <w:tcPr>
            <w:tcW w:w="993" w:type="dxa"/>
            <w:tcBorders>
              <w:top w:val="nil"/>
              <w:left w:val="single" w:sz="4" w:space="0" w:color="auto"/>
              <w:bottom w:val="single" w:sz="4" w:space="0" w:color="auto"/>
              <w:right w:val="single" w:sz="4" w:space="0" w:color="auto"/>
            </w:tcBorders>
            <w:shd w:val="clear" w:color="auto" w:fill="C6EFCE"/>
          </w:tcPr>
          <w:p w14:paraId="44B13A0F" w14:textId="77777777" w:rsidR="00733DCA" w:rsidRDefault="00733DCA" w:rsidP="0001477B">
            <w:pPr>
              <w:jc w:val="center"/>
              <w:rPr>
                <w:rFonts w:ascii="Times New Roman" w:hAnsi="Times New Roman" w:cs="Times New Roman"/>
                <w:noProof/>
                <w:sz w:val="20"/>
                <w:szCs w:val="20"/>
              </w:rPr>
            </w:pPr>
            <w:r>
              <w:rPr>
                <w:noProof/>
                <w:color w:val="000000"/>
                <w:sz w:val="20"/>
              </w:rPr>
              <w:t>158</w:t>
            </w:r>
          </w:p>
        </w:tc>
        <w:tc>
          <w:tcPr>
            <w:tcW w:w="993" w:type="dxa"/>
            <w:tcBorders>
              <w:top w:val="nil"/>
              <w:left w:val="nil"/>
              <w:bottom w:val="single" w:sz="4" w:space="0" w:color="auto"/>
              <w:right w:val="single" w:sz="4" w:space="0" w:color="auto"/>
            </w:tcBorders>
            <w:shd w:val="clear" w:color="auto" w:fill="C6EFCE"/>
          </w:tcPr>
          <w:p w14:paraId="5E0D2046" w14:textId="77777777" w:rsidR="00733DCA" w:rsidRDefault="00733DCA" w:rsidP="0001477B">
            <w:pPr>
              <w:jc w:val="center"/>
              <w:rPr>
                <w:rFonts w:ascii="Times New Roman" w:hAnsi="Times New Roman" w:cs="Times New Roman"/>
                <w:noProof/>
                <w:sz w:val="20"/>
                <w:szCs w:val="20"/>
              </w:rPr>
            </w:pPr>
            <w:r>
              <w:rPr>
                <w:noProof/>
                <w:color w:val="000000"/>
                <w:sz w:val="20"/>
              </w:rPr>
              <w:t>C2.1. R2</w:t>
            </w:r>
          </w:p>
        </w:tc>
        <w:tc>
          <w:tcPr>
            <w:tcW w:w="992" w:type="dxa"/>
            <w:tcBorders>
              <w:top w:val="nil"/>
              <w:left w:val="nil"/>
              <w:bottom w:val="single" w:sz="4" w:space="0" w:color="auto"/>
              <w:right w:val="single" w:sz="4" w:space="0" w:color="auto"/>
            </w:tcBorders>
            <w:shd w:val="clear" w:color="auto" w:fill="C6EFCE"/>
          </w:tcPr>
          <w:p w14:paraId="389BFA91"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126" w:type="dxa"/>
            <w:tcBorders>
              <w:top w:val="nil"/>
              <w:left w:val="nil"/>
              <w:bottom w:val="single" w:sz="4" w:space="0" w:color="auto"/>
              <w:right w:val="single" w:sz="4" w:space="0" w:color="auto"/>
            </w:tcBorders>
            <w:shd w:val="clear" w:color="auto" w:fill="C6EFCE"/>
          </w:tcPr>
          <w:p w14:paraId="52E85E0C" w14:textId="77777777" w:rsidR="00733DCA" w:rsidRDefault="00733DCA" w:rsidP="0001477B">
            <w:pPr>
              <w:rPr>
                <w:rFonts w:ascii="Times New Roman" w:hAnsi="Times New Roman" w:cs="Times New Roman"/>
                <w:noProof/>
                <w:sz w:val="20"/>
                <w:szCs w:val="20"/>
              </w:rPr>
            </w:pPr>
            <w:r>
              <w:rPr>
                <w:noProof/>
                <w:color w:val="000000"/>
                <w:sz w:val="20"/>
              </w:rPr>
              <w:t>Donošenje Zakona o institucionalnom okviru za fondove EU-a</w:t>
            </w:r>
          </w:p>
        </w:tc>
        <w:tc>
          <w:tcPr>
            <w:tcW w:w="2300" w:type="dxa"/>
            <w:tcBorders>
              <w:top w:val="nil"/>
              <w:left w:val="nil"/>
              <w:bottom w:val="single" w:sz="4" w:space="0" w:color="auto"/>
              <w:right w:val="single" w:sz="4" w:space="0" w:color="auto"/>
            </w:tcBorders>
            <w:shd w:val="clear" w:color="auto" w:fill="C6EFCE"/>
          </w:tcPr>
          <w:p w14:paraId="376CD63D" w14:textId="77777777" w:rsidR="00733DCA" w:rsidRDefault="00733DCA" w:rsidP="0001477B">
            <w:pPr>
              <w:rPr>
                <w:rFonts w:ascii="Times New Roman" w:hAnsi="Times New Roman" w:cs="Times New Roman"/>
                <w:noProof/>
                <w:sz w:val="20"/>
                <w:szCs w:val="20"/>
              </w:rPr>
            </w:pPr>
            <w:r>
              <w:rPr>
                <w:noProof/>
                <w:color w:val="000000"/>
                <w:sz w:val="20"/>
              </w:rPr>
              <w:t xml:space="preserve">Stupanje na snagu Zakona o institucionalnom okviru za fondove EU-a </w:t>
            </w:r>
          </w:p>
        </w:tc>
        <w:tc>
          <w:tcPr>
            <w:tcW w:w="847" w:type="dxa"/>
            <w:tcBorders>
              <w:top w:val="nil"/>
              <w:left w:val="nil"/>
              <w:bottom w:val="single" w:sz="4" w:space="0" w:color="auto"/>
              <w:right w:val="single" w:sz="4" w:space="0" w:color="auto"/>
            </w:tcBorders>
            <w:shd w:val="clear" w:color="auto" w:fill="C6EFCE"/>
          </w:tcPr>
          <w:p w14:paraId="6563C0DE"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1134" w:type="dxa"/>
            <w:tcBorders>
              <w:top w:val="nil"/>
              <w:left w:val="nil"/>
              <w:bottom w:val="single" w:sz="4" w:space="0" w:color="auto"/>
              <w:right w:val="single" w:sz="4" w:space="0" w:color="auto"/>
            </w:tcBorders>
            <w:shd w:val="clear" w:color="auto" w:fill="C6EFCE"/>
          </w:tcPr>
          <w:p w14:paraId="3EEAF544"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51" w:type="dxa"/>
            <w:tcBorders>
              <w:top w:val="nil"/>
              <w:left w:val="nil"/>
              <w:bottom w:val="single" w:sz="4" w:space="0" w:color="auto"/>
              <w:right w:val="single" w:sz="4" w:space="0" w:color="auto"/>
            </w:tcBorders>
            <w:shd w:val="clear" w:color="auto" w:fill="C6EFCE"/>
          </w:tcPr>
          <w:p w14:paraId="56D00BC4"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nil"/>
              <w:left w:val="nil"/>
              <w:bottom w:val="single" w:sz="4" w:space="0" w:color="auto"/>
              <w:right w:val="single" w:sz="4" w:space="0" w:color="auto"/>
            </w:tcBorders>
            <w:shd w:val="clear" w:color="auto" w:fill="C6EFCE"/>
          </w:tcPr>
          <w:p w14:paraId="066044C9"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tcPr>
          <w:p w14:paraId="363B79AF" w14:textId="77777777" w:rsidR="00733DCA" w:rsidRDefault="00733DCA" w:rsidP="0001477B">
            <w:pPr>
              <w:jc w:val="center"/>
              <w:rPr>
                <w:rFonts w:ascii="Times New Roman" w:hAnsi="Times New Roman" w:cs="Times New Roman"/>
                <w:noProof/>
                <w:sz w:val="20"/>
                <w:szCs w:val="20"/>
              </w:rPr>
            </w:pPr>
            <w:r>
              <w:rPr>
                <w:noProof/>
                <w:color w:val="000000"/>
                <w:sz w:val="20"/>
              </w:rPr>
              <w:t>2021.</w:t>
            </w:r>
          </w:p>
        </w:tc>
        <w:tc>
          <w:tcPr>
            <w:tcW w:w="3515" w:type="dxa"/>
            <w:tcBorders>
              <w:top w:val="nil"/>
              <w:left w:val="nil"/>
              <w:bottom w:val="single" w:sz="4" w:space="0" w:color="auto"/>
              <w:right w:val="single" w:sz="4" w:space="0" w:color="auto"/>
            </w:tcBorders>
            <w:shd w:val="clear" w:color="auto" w:fill="C6EFCE"/>
          </w:tcPr>
          <w:p w14:paraId="22B7FDED" w14:textId="77777777" w:rsidR="00733DCA" w:rsidRDefault="00733DCA" w:rsidP="0001477B">
            <w:pPr>
              <w:rPr>
                <w:rFonts w:ascii="Times New Roman" w:hAnsi="Times New Roman" w:cs="Times New Roman"/>
                <w:noProof/>
                <w:sz w:val="20"/>
                <w:szCs w:val="20"/>
              </w:rPr>
            </w:pPr>
            <w:r>
              <w:rPr>
                <w:noProof/>
                <w:color w:val="000000"/>
                <w:sz w:val="20"/>
              </w:rPr>
              <w:t>Zakonom se, uz uspostavu institucionalnog okvira i određivanje tijela, predviđa i okvir za aktivnosti jačanja kapaciteta, čija se daljnja razrada očekuje u okviru Plana za jačanje administrativnih kapaciteta. Taj se Plan izrađuje u okviru fondova ESI. Zakon prepoznaje potrebe daljnjeg jačanja kapaciteta korisnika za pripremu, prijavu i provedbu projekata, koji se provode u okviru (operativnih) programa financiranih fondovima EU-a.</w:t>
            </w:r>
          </w:p>
        </w:tc>
      </w:tr>
      <w:tr w:rsidR="00215DFD" w14:paraId="10270E5D" w14:textId="77777777" w:rsidTr="00C33FB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011D8169" w14:textId="77777777" w:rsidR="00733DCA" w:rsidRDefault="00733DCA" w:rsidP="0001477B">
            <w:pPr>
              <w:jc w:val="center"/>
              <w:rPr>
                <w:rFonts w:ascii="Times New Roman" w:hAnsi="Times New Roman" w:cs="Times New Roman"/>
                <w:noProof/>
                <w:sz w:val="20"/>
                <w:szCs w:val="20"/>
              </w:rPr>
            </w:pPr>
            <w:r>
              <w:rPr>
                <w:noProof/>
                <w:color w:val="000000"/>
                <w:sz w:val="20"/>
              </w:rPr>
              <w:t>159</w:t>
            </w:r>
          </w:p>
        </w:tc>
        <w:tc>
          <w:tcPr>
            <w:tcW w:w="993" w:type="dxa"/>
            <w:tcBorders>
              <w:top w:val="single" w:sz="4" w:space="0" w:color="auto"/>
              <w:left w:val="nil"/>
              <w:bottom w:val="single" w:sz="4" w:space="0" w:color="auto"/>
              <w:right w:val="single" w:sz="4" w:space="0" w:color="auto"/>
            </w:tcBorders>
            <w:shd w:val="clear" w:color="auto" w:fill="C6EFCE"/>
          </w:tcPr>
          <w:p w14:paraId="63FA5948" w14:textId="77777777" w:rsidR="00733DCA" w:rsidRDefault="00733DCA" w:rsidP="0001477B">
            <w:pPr>
              <w:jc w:val="center"/>
              <w:rPr>
                <w:rFonts w:ascii="Times New Roman" w:hAnsi="Times New Roman" w:cs="Times New Roman"/>
                <w:noProof/>
                <w:sz w:val="20"/>
                <w:szCs w:val="20"/>
              </w:rPr>
            </w:pPr>
            <w:r>
              <w:rPr>
                <w:noProof/>
                <w:color w:val="000000"/>
                <w:sz w:val="20"/>
              </w:rPr>
              <w:t>C2.1. R2</w:t>
            </w:r>
          </w:p>
        </w:tc>
        <w:tc>
          <w:tcPr>
            <w:tcW w:w="992" w:type="dxa"/>
            <w:tcBorders>
              <w:top w:val="single" w:sz="4" w:space="0" w:color="auto"/>
              <w:left w:val="nil"/>
              <w:bottom w:val="single" w:sz="4" w:space="0" w:color="auto"/>
              <w:right w:val="single" w:sz="4" w:space="0" w:color="auto"/>
            </w:tcBorders>
            <w:shd w:val="clear" w:color="auto" w:fill="C6EFCE"/>
          </w:tcPr>
          <w:p w14:paraId="16400B95"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126" w:type="dxa"/>
            <w:tcBorders>
              <w:top w:val="single" w:sz="4" w:space="0" w:color="auto"/>
              <w:left w:val="nil"/>
              <w:bottom w:val="single" w:sz="4" w:space="0" w:color="auto"/>
              <w:right w:val="single" w:sz="4" w:space="0" w:color="auto"/>
            </w:tcBorders>
            <w:shd w:val="clear" w:color="auto" w:fill="C6EFCE"/>
          </w:tcPr>
          <w:p w14:paraId="32090BB3" w14:textId="77777777" w:rsidR="00733DCA" w:rsidRDefault="00733DCA" w:rsidP="0001477B">
            <w:pPr>
              <w:rPr>
                <w:rFonts w:ascii="Times New Roman" w:hAnsi="Times New Roman" w:cs="Times New Roman"/>
                <w:noProof/>
                <w:sz w:val="20"/>
                <w:szCs w:val="20"/>
              </w:rPr>
            </w:pPr>
            <w:r>
              <w:rPr>
                <w:noProof/>
                <w:color w:val="000000"/>
                <w:sz w:val="20"/>
              </w:rPr>
              <w:t xml:space="preserve">Procjena administrativnih kapaciteta </w:t>
            </w:r>
          </w:p>
        </w:tc>
        <w:tc>
          <w:tcPr>
            <w:tcW w:w="2300" w:type="dxa"/>
            <w:tcBorders>
              <w:top w:val="single" w:sz="4" w:space="0" w:color="auto"/>
              <w:left w:val="nil"/>
              <w:bottom w:val="single" w:sz="4" w:space="0" w:color="auto"/>
              <w:right w:val="single" w:sz="4" w:space="0" w:color="auto"/>
            </w:tcBorders>
            <w:shd w:val="clear" w:color="auto" w:fill="C6EFCE"/>
          </w:tcPr>
          <w:p w14:paraId="2012B130" w14:textId="77777777" w:rsidR="00733DCA" w:rsidRDefault="00733DCA" w:rsidP="0001477B">
            <w:pPr>
              <w:rPr>
                <w:rFonts w:ascii="Times New Roman" w:hAnsi="Times New Roman" w:cs="Times New Roman"/>
                <w:noProof/>
                <w:sz w:val="20"/>
                <w:szCs w:val="20"/>
              </w:rPr>
            </w:pPr>
            <w:r>
              <w:rPr>
                <w:noProof/>
                <w:color w:val="000000"/>
                <w:sz w:val="20"/>
              </w:rPr>
              <w:t>Objavljena je analiza radnog opterećenja</w:t>
            </w:r>
          </w:p>
        </w:tc>
        <w:tc>
          <w:tcPr>
            <w:tcW w:w="847" w:type="dxa"/>
            <w:tcBorders>
              <w:top w:val="single" w:sz="4" w:space="0" w:color="auto"/>
              <w:left w:val="nil"/>
              <w:bottom w:val="single" w:sz="4" w:space="0" w:color="auto"/>
              <w:right w:val="single" w:sz="4" w:space="0" w:color="auto"/>
            </w:tcBorders>
            <w:shd w:val="clear" w:color="auto" w:fill="C6EFCE"/>
          </w:tcPr>
          <w:p w14:paraId="08244C24"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1134" w:type="dxa"/>
            <w:tcBorders>
              <w:top w:val="single" w:sz="4" w:space="0" w:color="auto"/>
              <w:left w:val="nil"/>
              <w:bottom w:val="single" w:sz="4" w:space="0" w:color="auto"/>
              <w:right w:val="single" w:sz="4" w:space="0" w:color="auto"/>
            </w:tcBorders>
            <w:shd w:val="clear" w:color="auto" w:fill="C6EFCE"/>
          </w:tcPr>
          <w:p w14:paraId="7389C26A"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51" w:type="dxa"/>
            <w:tcBorders>
              <w:top w:val="single" w:sz="4" w:space="0" w:color="auto"/>
              <w:left w:val="nil"/>
              <w:bottom w:val="single" w:sz="4" w:space="0" w:color="auto"/>
              <w:right w:val="single" w:sz="4" w:space="0" w:color="auto"/>
            </w:tcBorders>
            <w:shd w:val="clear" w:color="auto" w:fill="C6EFCE"/>
          </w:tcPr>
          <w:p w14:paraId="06F44556"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single" w:sz="4" w:space="0" w:color="auto"/>
              <w:left w:val="nil"/>
              <w:bottom w:val="single" w:sz="4" w:space="0" w:color="auto"/>
              <w:right w:val="single" w:sz="4" w:space="0" w:color="auto"/>
            </w:tcBorders>
            <w:shd w:val="clear" w:color="auto" w:fill="C6EFCE"/>
          </w:tcPr>
          <w:p w14:paraId="6414AC36"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tcPr>
          <w:p w14:paraId="081F87C3" w14:textId="77777777" w:rsidR="00733DCA" w:rsidRDefault="00733DCA" w:rsidP="0001477B">
            <w:pPr>
              <w:jc w:val="center"/>
              <w:rPr>
                <w:rFonts w:ascii="Times New Roman" w:hAnsi="Times New Roman" w:cs="Times New Roman"/>
                <w:noProof/>
                <w:sz w:val="20"/>
                <w:szCs w:val="20"/>
              </w:rPr>
            </w:pPr>
            <w:r>
              <w:rPr>
                <w:noProof/>
                <w:color w:val="000000"/>
                <w:sz w:val="20"/>
              </w:rPr>
              <w:t>2021.</w:t>
            </w:r>
          </w:p>
        </w:tc>
        <w:tc>
          <w:tcPr>
            <w:tcW w:w="3515" w:type="dxa"/>
            <w:tcBorders>
              <w:top w:val="single" w:sz="4" w:space="0" w:color="auto"/>
              <w:left w:val="nil"/>
              <w:bottom w:val="single" w:sz="4" w:space="0" w:color="auto"/>
              <w:right w:val="single" w:sz="4" w:space="0" w:color="auto"/>
            </w:tcBorders>
            <w:shd w:val="clear" w:color="auto" w:fill="C6EFCE"/>
          </w:tcPr>
          <w:p w14:paraId="3CA7E5C8" w14:textId="77777777" w:rsidR="00733DCA" w:rsidRDefault="00733DCA" w:rsidP="0001477B">
            <w:pPr>
              <w:rPr>
                <w:rFonts w:ascii="Times New Roman" w:hAnsi="Times New Roman" w:cs="Times New Roman"/>
                <w:noProof/>
                <w:sz w:val="20"/>
                <w:szCs w:val="20"/>
              </w:rPr>
            </w:pPr>
            <w:r>
              <w:rPr>
                <w:noProof/>
                <w:color w:val="000000"/>
                <w:sz w:val="20"/>
              </w:rPr>
              <w:t>Analiza radne opterećenosti provest će se za institucije uključene u pojedine sustave upravljanja i kontrole uzimajući u obzir i opterećenje koje proizlazi iz Mehanizma za oporavak i otpornost. Analiza će pružiti odgovarajuće informacije u smislu potreba administrativnih kapaciteta kako bi se oni pravovremeno postigli, među ostalim izradom preporuka za povećanje kapaciteta prema potrebi. Na temelju analiza i preporuka uključenim ustanovama bit će dodijeljeni potrebni resursi.</w:t>
            </w:r>
          </w:p>
        </w:tc>
      </w:tr>
      <w:tr w:rsidR="00215DFD" w14:paraId="5C51B757" w14:textId="77777777" w:rsidTr="00C33FB0">
        <w:trPr>
          <w:trHeight w:val="300"/>
        </w:trPr>
        <w:tc>
          <w:tcPr>
            <w:tcW w:w="993" w:type="dxa"/>
            <w:tcBorders>
              <w:top w:val="nil"/>
              <w:left w:val="single" w:sz="4" w:space="0" w:color="auto"/>
              <w:bottom w:val="single" w:sz="4" w:space="0" w:color="auto"/>
              <w:right w:val="single" w:sz="4" w:space="0" w:color="auto"/>
            </w:tcBorders>
            <w:shd w:val="clear" w:color="auto" w:fill="C6EFCE"/>
          </w:tcPr>
          <w:p w14:paraId="455EBE0E" w14:textId="77777777" w:rsidR="00733DCA" w:rsidRDefault="00733DCA" w:rsidP="0001477B">
            <w:pPr>
              <w:jc w:val="center"/>
              <w:rPr>
                <w:rFonts w:ascii="Times New Roman" w:hAnsi="Times New Roman" w:cs="Times New Roman"/>
                <w:noProof/>
                <w:sz w:val="20"/>
                <w:szCs w:val="20"/>
              </w:rPr>
            </w:pPr>
            <w:r>
              <w:rPr>
                <w:noProof/>
                <w:color w:val="000000"/>
                <w:sz w:val="20"/>
              </w:rPr>
              <w:t>160</w:t>
            </w:r>
          </w:p>
        </w:tc>
        <w:tc>
          <w:tcPr>
            <w:tcW w:w="993" w:type="dxa"/>
            <w:tcBorders>
              <w:top w:val="nil"/>
              <w:left w:val="nil"/>
              <w:bottom w:val="single" w:sz="4" w:space="0" w:color="auto"/>
              <w:right w:val="single" w:sz="4" w:space="0" w:color="auto"/>
            </w:tcBorders>
            <w:shd w:val="clear" w:color="auto" w:fill="C6EFCE"/>
          </w:tcPr>
          <w:p w14:paraId="5EAE08BC" w14:textId="77777777" w:rsidR="00733DCA" w:rsidRDefault="00733DCA" w:rsidP="0001477B">
            <w:pPr>
              <w:jc w:val="center"/>
              <w:rPr>
                <w:rFonts w:ascii="Times New Roman" w:hAnsi="Times New Roman" w:cs="Times New Roman"/>
                <w:noProof/>
                <w:sz w:val="20"/>
                <w:szCs w:val="20"/>
              </w:rPr>
            </w:pPr>
            <w:r>
              <w:rPr>
                <w:noProof/>
                <w:color w:val="000000"/>
                <w:sz w:val="20"/>
              </w:rPr>
              <w:t>C2.1. R2</w:t>
            </w:r>
          </w:p>
        </w:tc>
        <w:tc>
          <w:tcPr>
            <w:tcW w:w="992" w:type="dxa"/>
            <w:tcBorders>
              <w:top w:val="nil"/>
              <w:left w:val="nil"/>
              <w:bottom w:val="single" w:sz="4" w:space="0" w:color="auto"/>
              <w:right w:val="single" w:sz="4" w:space="0" w:color="auto"/>
            </w:tcBorders>
            <w:shd w:val="clear" w:color="auto" w:fill="C6EFCE"/>
          </w:tcPr>
          <w:p w14:paraId="5591F27B"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126" w:type="dxa"/>
            <w:tcBorders>
              <w:top w:val="nil"/>
              <w:left w:val="nil"/>
              <w:bottom w:val="single" w:sz="4" w:space="0" w:color="auto"/>
              <w:right w:val="single" w:sz="4" w:space="0" w:color="auto"/>
            </w:tcBorders>
            <w:shd w:val="clear" w:color="auto" w:fill="C6EFCE"/>
          </w:tcPr>
          <w:p w14:paraId="5B103EE2" w14:textId="77777777" w:rsidR="00733DCA" w:rsidRDefault="00733DCA" w:rsidP="0001477B">
            <w:pPr>
              <w:rPr>
                <w:rFonts w:ascii="Times New Roman" w:hAnsi="Times New Roman" w:cs="Times New Roman"/>
                <w:noProof/>
                <w:sz w:val="20"/>
                <w:szCs w:val="20"/>
              </w:rPr>
            </w:pPr>
            <w:r>
              <w:rPr>
                <w:noProof/>
                <w:color w:val="000000"/>
                <w:sz w:val="20"/>
              </w:rPr>
              <w:t>Nadogradnja IT sustava eFondovi: Repozitorijski sustav za reviziju i kontrolu: informacije za praćenje provedbe RRF-a</w:t>
            </w:r>
          </w:p>
        </w:tc>
        <w:tc>
          <w:tcPr>
            <w:tcW w:w="2300" w:type="dxa"/>
            <w:tcBorders>
              <w:top w:val="nil"/>
              <w:left w:val="nil"/>
              <w:bottom w:val="single" w:sz="4" w:space="0" w:color="auto"/>
              <w:right w:val="single" w:sz="4" w:space="0" w:color="auto"/>
            </w:tcBorders>
            <w:shd w:val="clear" w:color="auto" w:fill="C6EFCE"/>
          </w:tcPr>
          <w:p w14:paraId="19495B04" w14:textId="77777777" w:rsidR="00733DCA" w:rsidRDefault="00733DCA" w:rsidP="0001477B">
            <w:pPr>
              <w:rPr>
                <w:rFonts w:ascii="Times New Roman" w:hAnsi="Times New Roman" w:cs="Times New Roman"/>
                <w:noProof/>
                <w:sz w:val="20"/>
                <w:szCs w:val="20"/>
              </w:rPr>
            </w:pPr>
            <w:r>
              <w:rPr>
                <w:noProof/>
                <w:color w:val="000000"/>
                <w:sz w:val="20"/>
              </w:rPr>
              <w:t>Revizijsko izvješće kojim se potvrđuju funkcionalnosti repozitorijskog sustava</w:t>
            </w:r>
          </w:p>
        </w:tc>
        <w:tc>
          <w:tcPr>
            <w:tcW w:w="847" w:type="dxa"/>
            <w:tcBorders>
              <w:top w:val="nil"/>
              <w:left w:val="nil"/>
              <w:bottom w:val="single" w:sz="4" w:space="0" w:color="auto"/>
              <w:right w:val="single" w:sz="4" w:space="0" w:color="auto"/>
            </w:tcBorders>
            <w:shd w:val="clear" w:color="auto" w:fill="C6EFCE"/>
          </w:tcPr>
          <w:p w14:paraId="2E35660C"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1134" w:type="dxa"/>
            <w:tcBorders>
              <w:top w:val="nil"/>
              <w:left w:val="nil"/>
              <w:bottom w:val="single" w:sz="4" w:space="0" w:color="auto"/>
              <w:right w:val="single" w:sz="4" w:space="0" w:color="auto"/>
            </w:tcBorders>
            <w:shd w:val="clear" w:color="auto" w:fill="C6EFCE"/>
          </w:tcPr>
          <w:p w14:paraId="519899AC"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51" w:type="dxa"/>
            <w:tcBorders>
              <w:top w:val="nil"/>
              <w:left w:val="nil"/>
              <w:bottom w:val="single" w:sz="4" w:space="0" w:color="auto"/>
              <w:right w:val="single" w:sz="4" w:space="0" w:color="auto"/>
            </w:tcBorders>
            <w:shd w:val="clear" w:color="auto" w:fill="C6EFCE"/>
          </w:tcPr>
          <w:p w14:paraId="664C47FB"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nil"/>
              <w:left w:val="nil"/>
              <w:bottom w:val="single" w:sz="4" w:space="0" w:color="auto"/>
              <w:right w:val="single" w:sz="4" w:space="0" w:color="auto"/>
            </w:tcBorders>
            <w:shd w:val="clear" w:color="auto" w:fill="C6EFCE"/>
          </w:tcPr>
          <w:p w14:paraId="177242A0" w14:textId="77777777" w:rsidR="00733DCA" w:rsidRDefault="00733DCA" w:rsidP="0001477B">
            <w:pPr>
              <w:jc w:val="center"/>
              <w:rPr>
                <w:rFonts w:ascii="Times New Roman" w:hAnsi="Times New Roman" w:cs="Times New Roman"/>
                <w:noProof/>
                <w:sz w:val="20"/>
                <w:szCs w:val="20"/>
              </w:rPr>
            </w:pPr>
            <w:r>
              <w:rPr>
                <w:noProof/>
                <w:color w:val="000000"/>
                <w:sz w:val="20"/>
              </w:rPr>
              <w:t>1.</w:t>
            </w:r>
          </w:p>
        </w:tc>
        <w:tc>
          <w:tcPr>
            <w:tcW w:w="709" w:type="dxa"/>
            <w:tcBorders>
              <w:top w:val="nil"/>
              <w:left w:val="nil"/>
              <w:bottom w:val="single" w:sz="4" w:space="0" w:color="auto"/>
              <w:right w:val="single" w:sz="4" w:space="0" w:color="auto"/>
            </w:tcBorders>
            <w:shd w:val="clear" w:color="auto" w:fill="C6EFCE"/>
          </w:tcPr>
          <w:p w14:paraId="1572B0D2" w14:textId="77777777" w:rsidR="00733DCA" w:rsidRDefault="00733DCA" w:rsidP="0001477B">
            <w:pPr>
              <w:jc w:val="center"/>
              <w:rPr>
                <w:rFonts w:ascii="Times New Roman" w:hAnsi="Times New Roman" w:cs="Times New Roman"/>
                <w:noProof/>
                <w:sz w:val="20"/>
                <w:szCs w:val="20"/>
              </w:rPr>
            </w:pPr>
            <w:r>
              <w:rPr>
                <w:noProof/>
                <w:color w:val="000000"/>
                <w:sz w:val="20"/>
              </w:rPr>
              <w:t>2022.</w:t>
            </w:r>
          </w:p>
        </w:tc>
        <w:tc>
          <w:tcPr>
            <w:tcW w:w="3515" w:type="dxa"/>
            <w:tcBorders>
              <w:top w:val="nil"/>
              <w:left w:val="nil"/>
              <w:bottom w:val="single" w:sz="4" w:space="0" w:color="auto"/>
              <w:right w:val="single" w:sz="4" w:space="0" w:color="auto"/>
            </w:tcBorders>
            <w:shd w:val="clear" w:color="auto" w:fill="C6EFCE"/>
          </w:tcPr>
          <w:p w14:paraId="6BF620B5" w14:textId="77777777" w:rsidR="00733DCA" w:rsidRDefault="00733DCA" w:rsidP="0001477B">
            <w:pPr>
              <w:rPr>
                <w:rFonts w:ascii="Times New Roman" w:hAnsi="Times New Roman" w:cs="Times New Roman"/>
                <w:noProof/>
                <w:sz w:val="20"/>
                <w:szCs w:val="20"/>
              </w:rPr>
            </w:pPr>
            <w:r>
              <w:rPr>
                <w:noProof/>
                <w:color w:val="000000"/>
                <w:sz w:val="20"/>
              </w:rPr>
              <w:t xml:space="preserve">Repozitorijski sustav za praćenje provedbe RRF-a uspostavljen je i u funkciji. </w:t>
            </w:r>
            <w:r>
              <w:rPr>
                <w:noProof/>
                <w:color w:val="000000"/>
                <w:sz w:val="20"/>
              </w:rPr>
              <w:br/>
              <w:t>Sustav uključuje barem sljedeće funkcije:</w:t>
            </w:r>
            <w:r>
              <w:rPr>
                <w:noProof/>
                <w:color w:val="000000"/>
                <w:sz w:val="20"/>
              </w:rPr>
              <w:br/>
              <w:t>(a) prikupljanje podataka i praćenje realizacije ključnih etapa i ciljnih vrijednosti;</w:t>
            </w:r>
            <w:r>
              <w:rPr>
                <w:noProof/>
                <w:color w:val="000000"/>
                <w:sz w:val="20"/>
              </w:rPr>
              <w:br/>
              <w:t xml:space="preserve">(b) prikupljanje i pohrana podataka i osiguravanje pristupa podacima propisanima člankom 22. stavkom 2. točkom (d) podtočkama od i. do iii. Uredbe o mehanizmu za oporavak i otpornost.  </w:t>
            </w:r>
          </w:p>
        </w:tc>
      </w:tr>
      <w:tr w:rsidR="00215DFD" w14:paraId="1E4E9518" w14:textId="77777777" w:rsidTr="00C33FB0">
        <w:trPr>
          <w:trHeight w:val="300"/>
        </w:trPr>
        <w:tc>
          <w:tcPr>
            <w:tcW w:w="993" w:type="dxa"/>
            <w:tcBorders>
              <w:top w:val="nil"/>
              <w:left w:val="single" w:sz="4" w:space="0" w:color="auto"/>
              <w:bottom w:val="single" w:sz="4" w:space="0" w:color="auto"/>
              <w:right w:val="single" w:sz="4" w:space="0" w:color="auto"/>
            </w:tcBorders>
            <w:shd w:val="clear" w:color="auto" w:fill="C6EFCE"/>
          </w:tcPr>
          <w:p w14:paraId="45F35A8C" w14:textId="77777777" w:rsidR="00733DCA" w:rsidRDefault="00733DCA" w:rsidP="0001477B">
            <w:pPr>
              <w:jc w:val="center"/>
              <w:rPr>
                <w:rFonts w:ascii="Times New Roman" w:hAnsi="Times New Roman" w:cs="Times New Roman"/>
                <w:noProof/>
                <w:sz w:val="20"/>
                <w:szCs w:val="20"/>
              </w:rPr>
            </w:pPr>
            <w:r>
              <w:rPr>
                <w:noProof/>
                <w:color w:val="000000"/>
                <w:sz w:val="20"/>
              </w:rPr>
              <w:t>161</w:t>
            </w:r>
          </w:p>
        </w:tc>
        <w:tc>
          <w:tcPr>
            <w:tcW w:w="993" w:type="dxa"/>
            <w:tcBorders>
              <w:top w:val="nil"/>
              <w:left w:val="nil"/>
              <w:bottom w:val="single" w:sz="4" w:space="0" w:color="auto"/>
              <w:right w:val="single" w:sz="4" w:space="0" w:color="auto"/>
            </w:tcBorders>
            <w:shd w:val="clear" w:color="auto" w:fill="C6EFCE"/>
          </w:tcPr>
          <w:p w14:paraId="23E593D0" w14:textId="77777777" w:rsidR="00733DCA" w:rsidRDefault="00733DCA" w:rsidP="0001477B">
            <w:pPr>
              <w:jc w:val="center"/>
              <w:rPr>
                <w:rFonts w:ascii="Times New Roman" w:hAnsi="Times New Roman" w:cs="Times New Roman"/>
                <w:noProof/>
                <w:sz w:val="20"/>
                <w:szCs w:val="20"/>
              </w:rPr>
            </w:pPr>
            <w:r>
              <w:rPr>
                <w:noProof/>
                <w:color w:val="000000"/>
                <w:sz w:val="20"/>
              </w:rPr>
              <w:t>C2.1. R2-I1</w:t>
            </w:r>
          </w:p>
        </w:tc>
        <w:tc>
          <w:tcPr>
            <w:tcW w:w="992" w:type="dxa"/>
            <w:tcBorders>
              <w:top w:val="nil"/>
              <w:left w:val="nil"/>
              <w:bottom w:val="single" w:sz="4" w:space="0" w:color="auto"/>
              <w:right w:val="single" w:sz="4" w:space="0" w:color="auto"/>
            </w:tcBorders>
            <w:shd w:val="clear" w:color="auto" w:fill="C6EFCE"/>
          </w:tcPr>
          <w:p w14:paraId="39645C11"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126" w:type="dxa"/>
            <w:tcBorders>
              <w:top w:val="nil"/>
              <w:left w:val="nil"/>
              <w:bottom w:val="single" w:sz="4" w:space="0" w:color="auto"/>
              <w:right w:val="single" w:sz="4" w:space="0" w:color="auto"/>
            </w:tcBorders>
            <w:shd w:val="clear" w:color="auto" w:fill="C6EFCE"/>
          </w:tcPr>
          <w:p w14:paraId="5A2CD948" w14:textId="77777777" w:rsidR="00733DCA" w:rsidRDefault="00733DCA" w:rsidP="0001477B">
            <w:pPr>
              <w:rPr>
                <w:rFonts w:ascii="Times New Roman" w:hAnsi="Times New Roman" w:cs="Times New Roman"/>
                <w:noProof/>
                <w:sz w:val="20"/>
                <w:szCs w:val="20"/>
              </w:rPr>
            </w:pPr>
            <w:r>
              <w:rPr>
                <w:noProof/>
                <w:color w:val="000000"/>
                <w:sz w:val="20"/>
              </w:rPr>
              <w:t>Izrada projektno-tehničke dokumentacije za projekte u području zelene i digitalne tranzicije</w:t>
            </w:r>
          </w:p>
        </w:tc>
        <w:tc>
          <w:tcPr>
            <w:tcW w:w="2300" w:type="dxa"/>
            <w:tcBorders>
              <w:top w:val="nil"/>
              <w:left w:val="nil"/>
              <w:bottom w:val="single" w:sz="4" w:space="0" w:color="auto"/>
              <w:right w:val="single" w:sz="4" w:space="0" w:color="auto"/>
            </w:tcBorders>
            <w:shd w:val="clear" w:color="auto" w:fill="C6EFCE"/>
          </w:tcPr>
          <w:p w14:paraId="05988896" w14:textId="77777777" w:rsidR="00733DCA" w:rsidRDefault="00733DCA" w:rsidP="0001477B">
            <w:pPr>
              <w:rPr>
                <w:rFonts w:ascii="Times New Roman" w:hAnsi="Times New Roman" w:cs="Times New Roman"/>
                <w:noProof/>
                <w:sz w:val="20"/>
                <w:szCs w:val="20"/>
              </w:rPr>
            </w:pPr>
            <w:r>
              <w:rPr>
                <w:noProof/>
                <w:color w:val="000000"/>
                <w:sz w:val="20"/>
              </w:rPr>
              <w:t xml:space="preserve"> </w:t>
            </w:r>
          </w:p>
        </w:tc>
        <w:tc>
          <w:tcPr>
            <w:tcW w:w="847" w:type="dxa"/>
            <w:tcBorders>
              <w:top w:val="nil"/>
              <w:left w:val="nil"/>
              <w:bottom w:val="single" w:sz="4" w:space="0" w:color="auto"/>
              <w:right w:val="single" w:sz="4" w:space="0" w:color="auto"/>
            </w:tcBorders>
            <w:shd w:val="clear" w:color="auto" w:fill="C6EFCE"/>
          </w:tcPr>
          <w:p w14:paraId="47BC8569" w14:textId="77777777" w:rsidR="00733DCA" w:rsidRDefault="00733DCA" w:rsidP="0001477B">
            <w:pPr>
              <w:jc w:val="center"/>
              <w:rPr>
                <w:rFonts w:ascii="Times New Roman" w:hAnsi="Times New Roman" w:cs="Times New Roman"/>
                <w:noProof/>
                <w:sz w:val="20"/>
                <w:szCs w:val="20"/>
              </w:rPr>
            </w:pPr>
            <w:r>
              <w:rPr>
                <w:noProof/>
                <w:color w:val="000000"/>
                <w:sz w:val="20"/>
              </w:rPr>
              <w:t>Broj (iznos)</w:t>
            </w:r>
          </w:p>
        </w:tc>
        <w:tc>
          <w:tcPr>
            <w:tcW w:w="1134" w:type="dxa"/>
            <w:tcBorders>
              <w:top w:val="nil"/>
              <w:left w:val="nil"/>
              <w:bottom w:val="single" w:sz="4" w:space="0" w:color="auto"/>
              <w:right w:val="single" w:sz="4" w:space="0" w:color="auto"/>
            </w:tcBorders>
            <w:shd w:val="clear" w:color="auto" w:fill="C6EFCE"/>
          </w:tcPr>
          <w:p w14:paraId="2656D959" w14:textId="77777777" w:rsidR="00733DCA" w:rsidRDefault="00733DCA" w:rsidP="0001477B">
            <w:pPr>
              <w:jc w:val="center"/>
              <w:rPr>
                <w:rFonts w:ascii="Times New Roman" w:hAnsi="Times New Roman" w:cs="Times New Roman"/>
                <w:noProof/>
                <w:sz w:val="20"/>
                <w:szCs w:val="20"/>
              </w:rPr>
            </w:pPr>
            <w:r>
              <w:rPr>
                <w:noProof/>
                <w:color w:val="000000"/>
                <w:sz w:val="20"/>
              </w:rPr>
              <w:t>0</w:t>
            </w:r>
          </w:p>
        </w:tc>
        <w:tc>
          <w:tcPr>
            <w:tcW w:w="851" w:type="dxa"/>
            <w:tcBorders>
              <w:top w:val="nil"/>
              <w:left w:val="nil"/>
              <w:bottom w:val="single" w:sz="4" w:space="0" w:color="auto"/>
              <w:right w:val="single" w:sz="4" w:space="0" w:color="auto"/>
            </w:tcBorders>
            <w:shd w:val="clear" w:color="auto" w:fill="C6EFCE"/>
          </w:tcPr>
          <w:p w14:paraId="6CDCFAC1" w14:textId="77777777" w:rsidR="00733DCA" w:rsidRDefault="00733DCA" w:rsidP="0001477B">
            <w:pPr>
              <w:jc w:val="center"/>
              <w:rPr>
                <w:rFonts w:ascii="Times New Roman" w:hAnsi="Times New Roman" w:cs="Times New Roman"/>
                <w:noProof/>
                <w:sz w:val="20"/>
                <w:szCs w:val="20"/>
              </w:rPr>
            </w:pPr>
            <w:r>
              <w:rPr>
                <w:noProof/>
                <w:color w:val="000000"/>
                <w:sz w:val="20"/>
              </w:rPr>
              <w:t>6 370 695</w:t>
            </w:r>
          </w:p>
        </w:tc>
        <w:tc>
          <w:tcPr>
            <w:tcW w:w="567" w:type="dxa"/>
            <w:tcBorders>
              <w:top w:val="nil"/>
              <w:left w:val="nil"/>
              <w:bottom w:val="single" w:sz="4" w:space="0" w:color="auto"/>
              <w:right w:val="single" w:sz="4" w:space="0" w:color="auto"/>
            </w:tcBorders>
            <w:shd w:val="clear" w:color="auto" w:fill="C6EFCE"/>
          </w:tcPr>
          <w:p w14:paraId="748CACA1"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tcPr>
          <w:p w14:paraId="53C799B1" w14:textId="77777777" w:rsidR="00733DCA" w:rsidRDefault="00733DCA" w:rsidP="0001477B">
            <w:pPr>
              <w:jc w:val="center"/>
              <w:rPr>
                <w:rFonts w:ascii="Times New Roman" w:hAnsi="Times New Roman" w:cs="Times New Roman"/>
                <w:noProof/>
                <w:sz w:val="20"/>
                <w:szCs w:val="20"/>
              </w:rPr>
            </w:pPr>
            <w:r>
              <w:rPr>
                <w:noProof/>
                <w:color w:val="000000"/>
                <w:sz w:val="20"/>
              </w:rPr>
              <w:t>2022.</w:t>
            </w:r>
          </w:p>
        </w:tc>
        <w:tc>
          <w:tcPr>
            <w:tcW w:w="3515" w:type="dxa"/>
            <w:tcBorders>
              <w:top w:val="nil"/>
              <w:left w:val="nil"/>
              <w:bottom w:val="single" w:sz="4" w:space="0" w:color="auto"/>
              <w:right w:val="single" w:sz="4" w:space="0" w:color="auto"/>
            </w:tcBorders>
            <w:shd w:val="clear" w:color="auto" w:fill="C6EFCE"/>
          </w:tcPr>
          <w:p w14:paraId="2B600939" w14:textId="77777777" w:rsidR="00733DCA" w:rsidRDefault="00733DCA" w:rsidP="0001477B">
            <w:pPr>
              <w:rPr>
                <w:rFonts w:ascii="Times New Roman" w:hAnsi="Times New Roman" w:cs="Times New Roman"/>
                <w:noProof/>
                <w:sz w:val="20"/>
                <w:szCs w:val="20"/>
              </w:rPr>
            </w:pPr>
            <w:r>
              <w:rPr>
                <w:noProof/>
                <w:color w:val="000000"/>
                <w:sz w:val="20"/>
              </w:rPr>
              <w:t>Dodijelit će se 6 370 695 EUR, temeljem odluka o financiranju za razvoj projektno-tehničke dokumentacije koju izrađuju ministarstva, nacionalne agencije i lokalna i regionalna tijela radi pružanja potpore zelenoj i digitalnoj tranziciji.</w:t>
            </w:r>
          </w:p>
        </w:tc>
      </w:tr>
      <w:tr w:rsidR="00215DFD" w14:paraId="6C60EF4E" w14:textId="77777777" w:rsidTr="00C33FB0">
        <w:trPr>
          <w:trHeight w:val="300"/>
        </w:trPr>
        <w:tc>
          <w:tcPr>
            <w:tcW w:w="993" w:type="dxa"/>
            <w:tcBorders>
              <w:top w:val="nil"/>
              <w:left w:val="single" w:sz="4" w:space="0" w:color="auto"/>
              <w:bottom w:val="single" w:sz="4" w:space="0" w:color="auto"/>
              <w:right w:val="single" w:sz="4" w:space="0" w:color="auto"/>
            </w:tcBorders>
            <w:shd w:val="clear" w:color="auto" w:fill="C6EFCE"/>
          </w:tcPr>
          <w:p w14:paraId="47BA74D6" w14:textId="77777777" w:rsidR="00733DCA" w:rsidRDefault="00733DCA" w:rsidP="0001477B">
            <w:pPr>
              <w:jc w:val="center"/>
              <w:rPr>
                <w:rFonts w:ascii="Times New Roman" w:hAnsi="Times New Roman" w:cs="Times New Roman"/>
                <w:noProof/>
                <w:sz w:val="20"/>
                <w:szCs w:val="20"/>
              </w:rPr>
            </w:pPr>
            <w:r>
              <w:rPr>
                <w:noProof/>
                <w:color w:val="000000"/>
                <w:sz w:val="20"/>
              </w:rPr>
              <w:t>162</w:t>
            </w:r>
          </w:p>
        </w:tc>
        <w:tc>
          <w:tcPr>
            <w:tcW w:w="993" w:type="dxa"/>
            <w:tcBorders>
              <w:top w:val="nil"/>
              <w:left w:val="nil"/>
              <w:bottom w:val="single" w:sz="4" w:space="0" w:color="auto"/>
              <w:right w:val="single" w:sz="4" w:space="0" w:color="auto"/>
            </w:tcBorders>
            <w:shd w:val="clear" w:color="auto" w:fill="C6EFCE"/>
          </w:tcPr>
          <w:p w14:paraId="57211BA5" w14:textId="77777777" w:rsidR="00733DCA" w:rsidRDefault="00733DCA" w:rsidP="0001477B">
            <w:pPr>
              <w:jc w:val="center"/>
              <w:rPr>
                <w:rFonts w:ascii="Times New Roman" w:hAnsi="Times New Roman" w:cs="Times New Roman"/>
                <w:noProof/>
                <w:sz w:val="20"/>
                <w:szCs w:val="20"/>
              </w:rPr>
            </w:pPr>
            <w:r>
              <w:rPr>
                <w:noProof/>
                <w:color w:val="000000"/>
                <w:sz w:val="20"/>
              </w:rPr>
              <w:t>C2.1. R2-I1</w:t>
            </w:r>
          </w:p>
        </w:tc>
        <w:tc>
          <w:tcPr>
            <w:tcW w:w="992" w:type="dxa"/>
            <w:tcBorders>
              <w:top w:val="nil"/>
              <w:left w:val="nil"/>
              <w:bottom w:val="single" w:sz="4" w:space="0" w:color="auto"/>
              <w:right w:val="single" w:sz="4" w:space="0" w:color="auto"/>
            </w:tcBorders>
            <w:shd w:val="clear" w:color="auto" w:fill="C6EFCE"/>
          </w:tcPr>
          <w:p w14:paraId="2C2E63FB"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126" w:type="dxa"/>
            <w:tcBorders>
              <w:top w:val="nil"/>
              <w:left w:val="nil"/>
              <w:bottom w:val="single" w:sz="4" w:space="0" w:color="auto"/>
              <w:right w:val="single" w:sz="4" w:space="0" w:color="auto"/>
            </w:tcBorders>
            <w:shd w:val="clear" w:color="auto" w:fill="C6EFCE"/>
          </w:tcPr>
          <w:p w14:paraId="0ABE6243" w14:textId="77777777" w:rsidR="00733DCA" w:rsidRDefault="00733DCA" w:rsidP="0001477B">
            <w:pPr>
              <w:rPr>
                <w:rFonts w:ascii="Times New Roman" w:hAnsi="Times New Roman" w:cs="Times New Roman"/>
                <w:noProof/>
                <w:sz w:val="20"/>
                <w:szCs w:val="20"/>
              </w:rPr>
            </w:pPr>
            <w:r>
              <w:rPr>
                <w:noProof/>
                <w:color w:val="000000"/>
                <w:sz w:val="20"/>
              </w:rPr>
              <w:t>Izrada projektno-tehničke dokumentacije za projekte u području zelene i digitalne tranzicije</w:t>
            </w:r>
          </w:p>
        </w:tc>
        <w:tc>
          <w:tcPr>
            <w:tcW w:w="2300" w:type="dxa"/>
            <w:tcBorders>
              <w:top w:val="nil"/>
              <w:left w:val="nil"/>
              <w:bottom w:val="single" w:sz="4" w:space="0" w:color="auto"/>
              <w:right w:val="single" w:sz="4" w:space="0" w:color="auto"/>
            </w:tcBorders>
            <w:shd w:val="clear" w:color="auto" w:fill="C6EFCE"/>
          </w:tcPr>
          <w:p w14:paraId="44CC6228" w14:textId="77777777" w:rsidR="00733DCA" w:rsidRDefault="00733DCA" w:rsidP="0001477B">
            <w:pPr>
              <w:rPr>
                <w:rFonts w:ascii="Times New Roman" w:hAnsi="Times New Roman" w:cs="Times New Roman"/>
                <w:noProof/>
                <w:sz w:val="20"/>
                <w:szCs w:val="20"/>
              </w:rPr>
            </w:pPr>
            <w:r>
              <w:rPr>
                <w:noProof/>
                <w:color w:val="000000"/>
                <w:sz w:val="20"/>
              </w:rPr>
              <w:t> </w:t>
            </w:r>
          </w:p>
        </w:tc>
        <w:tc>
          <w:tcPr>
            <w:tcW w:w="847" w:type="dxa"/>
            <w:tcBorders>
              <w:top w:val="nil"/>
              <w:left w:val="nil"/>
              <w:bottom w:val="single" w:sz="4" w:space="0" w:color="auto"/>
              <w:right w:val="single" w:sz="4" w:space="0" w:color="auto"/>
            </w:tcBorders>
            <w:shd w:val="clear" w:color="auto" w:fill="C6EFCE"/>
          </w:tcPr>
          <w:p w14:paraId="6FDE6CC0" w14:textId="77777777" w:rsidR="00733DCA" w:rsidRDefault="00733DCA" w:rsidP="0001477B">
            <w:pPr>
              <w:jc w:val="center"/>
              <w:rPr>
                <w:rFonts w:ascii="Times New Roman" w:hAnsi="Times New Roman" w:cs="Times New Roman"/>
                <w:noProof/>
                <w:sz w:val="20"/>
                <w:szCs w:val="20"/>
              </w:rPr>
            </w:pPr>
            <w:r>
              <w:rPr>
                <w:noProof/>
                <w:color w:val="000000"/>
                <w:sz w:val="20"/>
              </w:rPr>
              <w:t>Broj</w:t>
            </w:r>
          </w:p>
        </w:tc>
        <w:tc>
          <w:tcPr>
            <w:tcW w:w="1134" w:type="dxa"/>
            <w:tcBorders>
              <w:top w:val="nil"/>
              <w:left w:val="nil"/>
              <w:bottom w:val="single" w:sz="4" w:space="0" w:color="auto"/>
              <w:right w:val="single" w:sz="4" w:space="0" w:color="auto"/>
            </w:tcBorders>
            <w:shd w:val="clear" w:color="auto" w:fill="C6EFCE"/>
          </w:tcPr>
          <w:p w14:paraId="42FEE1E2" w14:textId="77777777" w:rsidR="00733DCA" w:rsidRDefault="00733DCA" w:rsidP="0001477B">
            <w:pPr>
              <w:jc w:val="center"/>
              <w:rPr>
                <w:rFonts w:ascii="Times New Roman" w:hAnsi="Times New Roman" w:cs="Times New Roman"/>
                <w:noProof/>
                <w:sz w:val="20"/>
                <w:szCs w:val="20"/>
              </w:rPr>
            </w:pPr>
            <w:r>
              <w:rPr>
                <w:noProof/>
                <w:color w:val="000000"/>
                <w:sz w:val="20"/>
              </w:rPr>
              <w:t>0</w:t>
            </w:r>
          </w:p>
        </w:tc>
        <w:tc>
          <w:tcPr>
            <w:tcW w:w="851" w:type="dxa"/>
            <w:tcBorders>
              <w:top w:val="nil"/>
              <w:left w:val="nil"/>
              <w:bottom w:val="single" w:sz="4" w:space="0" w:color="auto"/>
              <w:right w:val="single" w:sz="4" w:space="0" w:color="auto"/>
            </w:tcBorders>
            <w:shd w:val="clear" w:color="auto" w:fill="C6EFCE"/>
          </w:tcPr>
          <w:p w14:paraId="472C76BD" w14:textId="77777777" w:rsidR="00733DCA" w:rsidRDefault="00733DCA" w:rsidP="0001477B">
            <w:pPr>
              <w:jc w:val="center"/>
              <w:rPr>
                <w:rFonts w:ascii="Times New Roman" w:hAnsi="Times New Roman" w:cs="Times New Roman"/>
                <w:noProof/>
                <w:sz w:val="20"/>
                <w:szCs w:val="20"/>
              </w:rPr>
            </w:pPr>
            <w:r>
              <w:rPr>
                <w:noProof/>
                <w:color w:val="000000"/>
                <w:sz w:val="20"/>
              </w:rPr>
              <w:t>100</w:t>
            </w:r>
          </w:p>
        </w:tc>
        <w:tc>
          <w:tcPr>
            <w:tcW w:w="567" w:type="dxa"/>
            <w:tcBorders>
              <w:top w:val="nil"/>
              <w:left w:val="nil"/>
              <w:bottom w:val="single" w:sz="4" w:space="0" w:color="auto"/>
              <w:right w:val="single" w:sz="4" w:space="0" w:color="auto"/>
            </w:tcBorders>
            <w:shd w:val="clear" w:color="auto" w:fill="C6EFCE"/>
          </w:tcPr>
          <w:p w14:paraId="0FD4101F"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tcPr>
          <w:p w14:paraId="557B3879" w14:textId="77777777" w:rsidR="00733DCA" w:rsidRDefault="00733DCA" w:rsidP="0001477B">
            <w:pPr>
              <w:jc w:val="center"/>
              <w:rPr>
                <w:rFonts w:ascii="Times New Roman" w:hAnsi="Times New Roman" w:cs="Times New Roman"/>
                <w:noProof/>
                <w:sz w:val="20"/>
                <w:szCs w:val="20"/>
              </w:rPr>
            </w:pPr>
            <w:r>
              <w:rPr>
                <w:noProof/>
                <w:color w:val="000000"/>
                <w:sz w:val="20"/>
              </w:rPr>
              <w:t>2025.</w:t>
            </w:r>
          </w:p>
        </w:tc>
        <w:tc>
          <w:tcPr>
            <w:tcW w:w="3515" w:type="dxa"/>
            <w:tcBorders>
              <w:top w:val="nil"/>
              <w:left w:val="nil"/>
              <w:bottom w:val="single" w:sz="4" w:space="0" w:color="auto"/>
              <w:right w:val="single" w:sz="4" w:space="0" w:color="auto"/>
            </w:tcBorders>
            <w:shd w:val="clear" w:color="auto" w:fill="C6EFCE"/>
          </w:tcPr>
          <w:p w14:paraId="7332512C" w14:textId="77777777" w:rsidR="00733DCA" w:rsidRDefault="00733DCA" w:rsidP="0001477B">
            <w:pPr>
              <w:rPr>
                <w:rFonts w:ascii="Times New Roman" w:hAnsi="Times New Roman" w:cs="Times New Roman"/>
                <w:noProof/>
                <w:sz w:val="20"/>
                <w:szCs w:val="20"/>
              </w:rPr>
            </w:pPr>
            <w:r>
              <w:rPr>
                <w:noProof/>
                <w:color w:val="000000"/>
                <w:sz w:val="20"/>
              </w:rPr>
              <w:t>Najmanje 100 projekata koje su pripremila ministarstva, nacionalne agencije te lokalne i regionalne vlasti za potporu zelenoj i digitalnoj tranziciji dobiva potporu za izradu tehničke dokumentacije projekta.</w:t>
            </w:r>
          </w:p>
        </w:tc>
      </w:tr>
    </w:tbl>
    <w:p w14:paraId="5DC979F2" w14:textId="77777777" w:rsidR="00733DCA" w:rsidRDefault="00733DCA">
      <w:pPr>
        <w:rPr>
          <w:noProof/>
        </w:rPr>
      </w:pPr>
    </w:p>
    <w:p w14:paraId="04D70B81" w14:textId="77777777" w:rsidR="00C33FB0" w:rsidRDefault="00C33FB0">
      <w:pPr>
        <w:rPr>
          <w:noProof/>
        </w:rPr>
      </w:pPr>
    </w:p>
    <w:p w14:paraId="4040797F" w14:textId="77777777" w:rsidR="00C33FB0" w:rsidRDefault="00C33FB0">
      <w:pPr>
        <w:rPr>
          <w:noProof/>
        </w:rPr>
      </w:pPr>
    </w:p>
    <w:p w14:paraId="15582770" w14:textId="77777777" w:rsidR="00733DCA" w:rsidRDefault="00733DCA">
      <w:pPr>
        <w:rPr>
          <w:noProof/>
        </w:rPr>
        <w:sectPr w:rsidR="00733DCA" w:rsidSect="00C75D46">
          <w:headerReference w:type="even" r:id="rId132"/>
          <w:headerReference w:type="default" r:id="rId133"/>
          <w:footerReference w:type="even" r:id="rId134"/>
          <w:footerReference w:type="default" r:id="rId135"/>
          <w:headerReference w:type="first" r:id="rId136"/>
          <w:footerReference w:type="first" r:id="rId137"/>
          <w:pgSz w:w="15840" w:h="12240" w:orient="landscape"/>
          <w:pgMar w:top="1440" w:right="1440" w:bottom="1440" w:left="1440" w:header="720" w:footer="720" w:gutter="0"/>
          <w:cols w:space="720"/>
          <w:docGrid w:linePitch="360"/>
        </w:sectPr>
      </w:pPr>
    </w:p>
    <w:p w14:paraId="71EDA417" w14:textId="77777777" w:rsidR="00733DCA" w:rsidRDefault="00733DCA" w:rsidP="0001477B">
      <w:pPr>
        <w:pStyle w:val="paragraph"/>
        <w:spacing w:before="0" w:beforeAutospacing="0" w:after="0" w:afterAutospacing="0"/>
        <w:ind w:left="705"/>
        <w:jc w:val="both"/>
        <w:textAlignment w:val="baseline"/>
        <w:rPr>
          <w:rFonts w:ascii="Segoe UI" w:hAnsi="Segoe UI" w:cs="Segoe UI"/>
          <w:noProof/>
          <w:sz w:val="18"/>
          <w:szCs w:val="18"/>
        </w:rPr>
      </w:pPr>
    </w:p>
    <w:p w14:paraId="44BCED3B"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H.3. </w:t>
      </w:r>
      <w:r>
        <w:rPr>
          <w:rStyle w:val="tabchar"/>
          <w:rFonts w:ascii="Calibri" w:hAnsi="Calibri"/>
          <w:noProof/>
        </w:rPr>
        <w:tab/>
      </w:r>
      <w:r>
        <w:rPr>
          <w:rStyle w:val="normaltextrun"/>
          <w:b/>
          <w:noProof/>
        </w:rPr>
        <w:t>Opis reformi i ulaganja za zajam </w:t>
      </w:r>
      <w:r>
        <w:rPr>
          <w:rStyle w:val="normaltextrun"/>
          <w:noProof/>
        </w:rPr>
        <w:t> </w:t>
      </w:r>
      <w:r>
        <w:rPr>
          <w:rStyle w:val="eop"/>
          <w:noProof/>
        </w:rPr>
        <w:t> </w:t>
      </w:r>
    </w:p>
    <w:p w14:paraId="1EE5D969" w14:textId="77777777" w:rsidR="00733DCA" w:rsidRDefault="00733DCA" w:rsidP="0001477B">
      <w:pPr>
        <w:pStyle w:val="paragraph"/>
        <w:spacing w:before="0" w:beforeAutospacing="0" w:after="0" w:afterAutospacing="0"/>
        <w:ind w:left="840"/>
        <w:jc w:val="both"/>
        <w:textAlignment w:val="baseline"/>
        <w:rPr>
          <w:rStyle w:val="eop"/>
          <w:noProof/>
          <w:color w:val="4F81BD"/>
        </w:rPr>
      </w:pPr>
      <w:r>
        <w:rPr>
          <w:rStyle w:val="normaltextrun"/>
          <w:noProof/>
          <w:color w:val="4F81BD"/>
        </w:rPr>
        <w:t> </w:t>
      </w:r>
    </w:p>
    <w:p w14:paraId="72D256FA" w14:textId="2D40A388" w:rsidR="00733DCA" w:rsidRDefault="00733DCA" w:rsidP="0001477B">
      <w:pPr>
        <w:keepNext/>
        <w:ind w:left="850"/>
        <w:jc w:val="both"/>
        <w:rPr>
          <w:noProof/>
        </w:rPr>
      </w:pPr>
      <w:r>
        <w:rPr>
          <w:rFonts w:ascii="Times New Roman" w:hAnsi="Times New Roman"/>
          <w:noProof/>
          <w:sz w:val="24"/>
          <w:u w:val="single"/>
        </w:rPr>
        <w:t xml:space="preserve">Ulaganje: C2.1. R1-I2 – Jačanje kapaciteta u području strateškog planiranja i bolje regulative. </w:t>
      </w:r>
    </w:p>
    <w:p w14:paraId="0A5F99C1" w14:textId="77777777" w:rsidR="00733DCA" w:rsidRDefault="00733DCA" w:rsidP="0001477B">
      <w:pPr>
        <w:pStyle w:val="Text1"/>
        <w:ind w:left="0"/>
        <w:rPr>
          <w:rStyle w:val="normaltextrun"/>
          <w:noProof/>
          <w:shd w:val="clear" w:color="auto" w:fill="FFFFFF"/>
        </w:rPr>
      </w:pPr>
      <w:r>
        <w:rPr>
          <w:rStyle w:val="normaltextrun"/>
          <w:noProof/>
          <w:shd w:val="clear" w:color="auto" w:fill="FFFFFF"/>
        </w:rPr>
        <w:t xml:space="preserve">Ulaganjem će se razviti obrazovni moduli i organizirati osposobljavanje kako bi se poboljšala uspješnost strateškog planiranja u državnim tijelima. Ulaganje uključuje kontinuirano jačanje kapaciteta provedbom edukacija za koje se da će rukovodećim i drugi službenici pomoći steći odgovarajuće znanje i vještine. Očekuje se da će ulaganje doprinijeti osiguravanju održivosti sustava strateškog planiranja i poboljšati kvaliteta izrade i provedbe javnih politika u Hrvatskoj. </w:t>
      </w:r>
    </w:p>
    <w:p w14:paraId="109A2801" w14:textId="77777777" w:rsidR="00733DCA" w:rsidRDefault="00733DCA" w:rsidP="0001477B">
      <w:pPr>
        <w:jc w:val="both"/>
        <w:rPr>
          <w:noProof/>
        </w:rPr>
      </w:pPr>
      <w:r>
        <w:rPr>
          <w:rFonts w:ascii="Times New Roman" w:hAnsi="Times New Roman"/>
          <w:noProof/>
          <w:sz w:val="24"/>
          <w:shd w:val="clear" w:color="auto" w:fill="FFFFFF"/>
        </w:rPr>
        <w:t>Ulaganje će biti dovršeno do 31. prosinca 2025.</w:t>
      </w:r>
    </w:p>
    <w:p w14:paraId="04FD6C42" w14:textId="77777777" w:rsidR="00733DCA" w:rsidRDefault="00733DCA">
      <w:pPr>
        <w:rPr>
          <w:noProof/>
        </w:rPr>
      </w:pPr>
      <w:r>
        <w:rPr>
          <w:noProof/>
        </w:rPr>
        <w:br w:type="page"/>
      </w:r>
    </w:p>
    <w:p w14:paraId="092ED4CE"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sectPr w:rsidR="00733DCA" w:rsidSect="0001477B">
          <w:headerReference w:type="even" r:id="rId138"/>
          <w:headerReference w:type="default" r:id="rId139"/>
          <w:footerReference w:type="even" r:id="rId140"/>
          <w:footerReference w:type="default" r:id="rId141"/>
          <w:headerReference w:type="first" r:id="rId142"/>
          <w:footerReference w:type="first" r:id="rId143"/>
          <w:pgSz w:w="12240" w:h="15840"/>
          <w:pgMar w:top="1440" w:right="1440" w:bottom="1440" w:left="1440" w:header="720" w:footer="720" w:gutter="0"/>
          <w:cols w:space="720"/>
          <w:docGrid w:linePitch="360"/>
        </w:sectPr>
      </w:pPr>
    </w:p>
    <w:p w14:paraId="0D43A085" w14:textId="3F3CBD1F" w:rsidR="00733DCA" w:rsidRDefault="00733DCA" w:rsidP="00C33FB0">
      <w:pPr>
        <w:spacing w:line="240" w:lineRule="auto"/>
        <w:ind w:left="840"/>
        <w:jc w:val="both"/>
        <w:textAlignment w:val="baseline"/>
        <w:rPr>
          <w:rFonts w:ascii="Times New Roman" w:eastAsia="Times New Roman" w:hAnsi="Times New Roman" w:cs="Times New Roman"/>
          <w:noProof/>
          <w:sz w:val="24"/>
          <w:szCs w:val="24"/>
        </w:rPr>
      </w:pPr>
      <w:r>
        <w:rPr>
          <w:rFonts w:ascii="Times New Roman" w:hAnsi="Times New Roman"/>
          <w:b/>
          <w:noProof/>
          <w:sz w:val="24"/>
        </w:rPr>
        <w:t xml:space="preserve">H.4. </w:t>
      </w:r>
      <w:r>
        <w:rPr>
          <w:rFonts w:ascii="Calibri" w:hAnsi="Calibri"/>
          <w:noProof/>
          <w:sz w:val="24"/>
        </w:rPr>
        <w:tab/>
      </w:r>
      <w:r>
        <w:rPr>
          <w:rFonts w:ascii="Times New Roman" w:hAnsi="Times New Roman"/>
          <w:b/>
          <w:noProof/>
          <w:sz w:val="24"/>
        </w:rPr>
        <w:t>Ključne etape, ciljne vrijednosti, pokazatelji i vremenski raspored za praćenje i provedbu za zajam </w:t>
      </w:r>
      <w:r>
        <w:rPr>
          <w:rFonts w:ascii="Times New Roman" w:hAnsi="Times New Roman"/>
          <w:noProof/>
          <w:sz w:val="24"/>
        </w:rPr>
        <w:t>  </w:t>
      </w:r>
    </w:p>
    <w:tbl>
      <w:tblPr>
        <w:tblW w:w="15027" w:type="dxa"/>
        <w:tblInd w:w="-885" w:type="dxa"/>
        <w:tblLayout w:type="fixed"/>
        <w:tblLook w:val="04A0" w:firstRow="1" w:lastRow="0" w:firstColumn="1" w:lastColumn="0" w:noHBand="0" w:noVBand="1"/>
      </w:tblPr>
      <w:tblGrid>
        <w:gridCol w:w="993"/>
        <w:gridCol w:w="993"/>
        <w:gridCol w:w="992"/>
        <w:gridCol w:w="2126"/>
        <w:gridCol w:w="2300"/>
        <w:gridCol w:w="847"/>
        <w:gridCol w:w="1134"/>
        <w:gridCol w:w="851"/>
        <w:gridCol w:w="567"/>
        <w:gridCol w:w="709"/>
        <w:gridCol w:w="3515"/>
      </w:tblGrid>
      <w:tr w:rsidR="00215DFD" w14:paraId="332F5D9A" w14:textId="77777777" w:rsidTr="003752C8">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81AE1D"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018F57"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E4B95F"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A85744"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2898CE"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832" w:type="dxa"/>
            <w:gridSpan w:val="3"/>
            <w:tcBorders>
              <w:top w:val="single" w:sz="4" w:space="0" w:color="auto"/>
              <w:left w:val="nil"/>
              <w:bottom w:val="single" w:sz="4" w:space="0" w:color="auto"/>
              <w:right w:val="single" w:sz="4" w:space="0" w:color="auto"/>
            </w:tcBorders>
            <w:shd w:val="clear" w:color="auto" w:fill="BDD7EE"/>
            <w:vAlign w:val="center"/>
            <w:hideMark/>
          </w:tcPr>
          <w:p w14:paraId="637AED27"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276" w:type="dxa"/>
            <w:gridSpan w:val="2"/>
            <w:tcBorders>
              <w:top w:val="single" w:sz="4" w:space="0" w:color="auto"/>
              <w:left w:val="nil"/>
              <w:bottom w:val="single" w:sz="4" w:space="0" w:color="auto"/>
              <w:right w:val="single" w:sz="4" w:space="0" w:color="auto"/>
            </w:tcBorders>
            <w:shd w:val="clear" w:color="auto" w:fill="BDD7EE"/>
            <w:vAlign w:val="center"/>
            <w:hideMark/>
          </w:tcPr>
          <w:p w14:paraId="7DE8D498"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30CCD8" w14:textId="77777777" w:rsidR="00C33FB0" w:rsidRDefault="00C33FB0" w:rsidP="003752C8">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4A024F" w14:paraId="6F7B52AE" w14:textId="77777777" w:rsidTr="003752C8">
        <w:trPr>
          <w:trHeight w:val="300"/>
        </w:trPr>
        <w:tc>
          <w:tcPr>
            <w:tcW w:w="993" w:type="dxa"/>
            <w:vMerge/>
            <w:tcBorders>
              <w:top w:val="single" w:sz="4" w:space="0" w:color="auto"/>
              <w:left w:val="single" w:sz="4" w:space="0" w:color="auto"/>
              <w:bottom w:val="single" w:sz="4" w:space="0" w:color="auto"/>
              <w:right w:val="single" w:sz="4" w:space="0" w:color="auto"/>
            </w:tcBorders>
            <w:hideMark/>
          </w:tcPr>
          <w:p w14:paraId="3B269C56" w14:textId="77777777" w:rsidR="00C33FB0" w:rsidRDefault="00C33FB0">
            <w:pPr>
              <w:spacing w:after="0"/>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53485C58" w14:textId="77777777" w:rsidR="00C33FB0" w:rsidRDefault="00C33FB0">
            <w:pPr>
              <w:spacing w:after="0"/>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1A0B724A" w14:textId="77777777" w:rsidR="00C33FB0" w:rsidRDefault="00C33FB0">
            <w:pPr>
              <w:spacing w:after="0"/>
              <w:jc w:val="center"/>
              <w:rPr>
                <w:rFonts w:ascii="Times New Roman" w:eastAsia="Times New Roman" w:hAnsi="Times New Roman" w:cs="Times New Roman"/>
                <w:b/>
                <w:noProof/>
                <w:lang w:eastAsia="en-GB"/>
              </w:rPr>
            </w:pPr>
          </w:p>
        </w:tc>
        <w:tc>
          <w:tcPr>
            <w:tcW w:w="2126" w:type="dxa"/>
            <w:vMerge/>
            <w:tcBorders>
              <w:top w:val="single" w:sz="4" w:space="0" w:color="auto"/>
              <w:left w:val="single" w:sz="4" w:space="0" w:color="auto"/>
              <w:bottom w:val="single" w:sz="4" w:space="0" w:color="auto"/>
              <w:right w:val="single" w:sz="4" w:space="0" w:color="auto"/>
            </w:tcBorders>
            <w:hideMark/>
          </w:tcPr>
          <w:p w14:paraId="442C3DF3" w14:textId="77777777" w:rsidR="00C33FB0" w:rsidRDefault="00C33FB0">
            <w:pPr>
              <w:spacing w:after="0"/>
              <w:rPr>
                <w:rFonts w:ascii="Times New Roman" w:eastAsia="Times New Roman" w:hAnsi="Times New Roman" w:cs="Times New Roman"/>
                <w:b/>
                <w:noProof/>
                <w:lang w:eastAsia="en-GB"/>
              </w:rPr>
            </w:pPr>
          </w:p>
        </w:tc>
        <w:tc>
          <w:tcPr>
            <w:tcW w:w="2300" w:type="dxa"/>
            <w:vMerge/>
            <w:tcBorders>
              <w:left w:val="single" w:sz="4" w:space="0" w:color="auto"/>
            </w:tcBorders>
            <w:hideMark/>
          </w:tcPr>
          <w:p w14:paraId="70516E8A" w14:textId="77777777" w:rsidR="00C33FB0" w:rsidRDefault="00C33FB0">
            <w:pPr>
              <w:spacing w:after="0"/>
              <w:rPr>
                <w:rFonts w:ascii="Times New Roman" w:eastAsia="Times New Roman" w:hAnsi="Times New Roman" w:cs="Times New Roman"/>
                <w:b/>
                <w:noProof/>
                <w:lang w:eastAsia="en-GB"/>
              </w:rPr>
            </w:pPr>
          </w:p>
        </w:tc>
        <w:tc>
          <w:tcPr>
            <w:tcW w:w="847" w:type="dxa"/>
            <w:tcBorders>
              <w:top w:val="single" w:sz="4" w:space="0" w:color="auto"/>
              <w:left w:val="single" w:sz="4" w:space="0" w:color="auto"/>
              <w:bottom w:val="single" w:sz="4" w:space="0" w:color="auto"/>
              <w:right w:val="single" w:sz="4" w:space="0" w:color="auto"/>
            </w:tcBorders>
            <w:shd w:val="clear" w:color="auto" w:fill="BDD7EE"/>
            <w:hideMark/>
          </w:tcPr>
          <w:p w14:paraId="7F0A871C" w14:textId="77777777" w:rsidR="00C33FB0" w:rsidRDefault="00C33FB0">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1134" w:type="dxa"/>
            <w:tcBorders>
              <w:top w:val="single" w:sz="4" w:space="0" w:color="auto"/>
              <w:left w:val="single" w:sz="4" w:space="0" w:color="auto"/>
              <w:bottom w:val="single" w:sz="4" w:space="0" w:color="auto"/>
              <w:right w:val="single" w:sz="4" w:space="0" w:color="auto"/>
            </w:tcBorders>
            <w:shd w:val="clear" w:color="auto" w:fill="BDD7EE"/>
            <w:hideMark/>
          </w:tcPr>
          <w:p w14:paraId="51EE3B6D" w14:textId="77777777" w:rsidR="00C33FB0" w:rsidRDefault="00C33FB0">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1" w:type="dxa"/>
            <w:tcBorders>
              <w:top w:val="single" w:sz="4" w:space="0" w:color="auto"/>
              <w:left w:val="single" w:sz="4" w:space="0" w:color="auto"/>
              <w:bottom w:val="single" w:sz="4" w:space="0" w:color="auto"/>
              <w:right w:val="single" w:sz="4" w:space="0" w:color="auto"/>
            </w:tcBorders>
            <w:shd w:val="clear" w:color="auto" w:fill="BDD7EE"/>
            <w:hideMark/>
          </w:tcPr>
          <w:p w14:paraId="3B6AA0FC" w14:textId="77777777" w:rsidR="00C33FB0" w:rsidRDefault="00C33FB0">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67" w:type="dxa"/>
            <w:tcBorders>
              <w:top w:val="single" w:sz="4" w:space="0" w:color="auto"/>
              <w:left w:val="single" w:sz="4" w:space="0" w:color="auto"/>
              <w:bottom w:val="single" w:sz="4" w:space="0" w:color="auto"/>
              <w:right w:val="single" w:sz="4" w:space="0" w:color="auto"/>
            </w:tcBorders>
            <w:shd w:val="clear" w:color="auto" w:fill="BDD7EE"/>
            <w:hideMark/>
          </w:tcPr>
          <w:p w14:paraId="04AEBBF7" w14:textId="77777777" w:rsidR="00C33FB0" w:rsidRDefault="00C33FB0">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single" w:sz="4" w:space="0" w:color="auto"/>
              <w:left w:val="single" w:sz="4" w:space="0" w:color="auto"/>
              <w:bottom w:val="single" w:sz="4" w:space="0" w:color="auto"/>
              <w:right w:val="single" w:sz="4" w:space="0" w:color="auto"/>
            </w:tcBorders>
            <w:shd w:val="clear" w:color="auto" w:fill="BDD7EE"/>
            <w:hideMark/>
          </w:tcPr>
          <w:p w14:paraId="3E6DB318" w14:textId="77777777" w:rsidR="00C33FB0" w:rsidRDefault="00C33FB0">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515" w:type="dxa"/>
            <w:vMerge/>
            <w:tcBorders>
              <w:top w:val="single" w:sz="4" w:space="0" w:color="auto"/>
              <w:bottom w:val="single" w:sz="4" w:space="0" w:color="auto"/>
              <w:right w:val="single" w:sz="4" w:space="0" w:color="auto"/>
            </w:tcBorders>
            <w:hideMark/>
          </w:tcPr>
          <w:p w14:paraId="117C7AAF" w14:textId="77777777" w:rsidR="00C33FB0" w:rsidRDefault="00C33FB0">
            <w:pPr>
              <w:spacing w:after="0"/>
              <w:rPr>
                <w:rFonts w:ascii="Times New Roman" w:eastAsia="Times New Roman" w:hAnsi="Times New Roman" w:cs="Times New Roman"/>
                <w:b/>
                <w:noProof/>
                <w:lang w:eastAsia="en-GB"/>
              </w:rPr>
            </w:pPr>
          </w:p>
        </w:tc>
      </w:tr>
      <w:tr w:rsidR="00215DFD" w:rsidRPr="00C33FB0" w14:paraId="5552A144" w14:textId="77777777" w:rsidTr="003752C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3D95F1DE" w14:textId="77777777" w:rsidR="00C33FB0" w:rsidRPr="00C33FB0" w:rsidRDefault="00C33FB0" w:rsidP="00C33FB0">
            <w:pPr>
              <w:jc w:val="center"/>
              <w:rPr>
                <w:noProof/>
                <w:color w:val="000000"/>
                <w:sz w:val="20"/>
                <w:szCs w:val="20"/>
              </w:rPr>
            </w:pPr>
            <w:r>
              <w:rPr>
                <w:noProof/>
                <w:color w:val="000000"/>
                <w:sz w:val="20"/>
              </w:rPr>
              <w:t>154</w:t>
            </w:r>
          </w:p>
        </w:tc>
        <w:tc>
          <w:tcPr>
            <w:tcW w:w="993" w:type="dxa"/>
            <w:tcBorders>
              <w:top w:val="single" w:sz="4" w:space="0" w:color="auto"/>
              <w:left w:val="nil"/>
              <w:bottom w:val="single" w:sz="4" w:space="0" w:color="auto"/>
              <w:right w:val="single" w:sz="4" w:space="0" w:color="auto"/>
            </w:tcBorders>
            <w:shd w:val="clear" w:color="auto" w:fill="C6EFCE"/>
          </w:tcPr>
          <w:p w14:paraId="3C6C9CBA" w14:textId="77777777" w:rsidR="00C33FB0" w:rsidRPr="00C33FB0" w:rsidRDefault="00C33FB0" w:rsidP="00C33FB0">
            <w:pPr>
              <w:jc w:val="center"/>
              <w:rPr>
                <w:noProof/>
                <w:color w:val="000000"/>
                <w:sz w:val="20"/>
                <w:szCs w:val="20"/>
              </w:rPr>
            </w:pPr>
            <w:r>
              <w:rPr>
                <w:noProof/>
                <w:color w:val="000000"/>
                <w:sz w:val="20"/>
              </w:rPr>
              <w:t>C2.1. R1-I2</w:t>
            </w:r>
          </w:p>
        </w:tc>
        <w:tc>
          <w:tcPr>
            <w:tcW w:w="992" w:type="dxa"/>
            <w:tcBorders>
              <w:top w:val="single" w:sz="4" w:space="0" w:color="auto"/>
              <w:left w:val="nil"/>
              <w:bottom w:val="single" w:sz="4" w:space="0" w:color="auto"/>
              <w:right w:val="single" w:sz="4" w:space="0" w:color="auto"/>
            </w:tcBorders>
            <w:shd w:val="clear" w:color="auto" w:fill="C6EFCE"/>
          </w:tcPr>
          <w:p w14:paraId="2DC56590" w14:textId="77777777" w:rsidR="00C33FB0" w:rsidRPr="00C33FB0" w:rsidRDefault="00C33FB0" w:rsidP="00C33FB0">
            <w:pPr>
              <w:jc w:val="center"/>
              <w:rPr>
                <w:noProof/>
                <w:color w:val="000000"/>
                <w:sz w:val="20"/>
                <w:szCs w:val="20"/>
              </w:rPr>
            </w:pPr>
            <w:r>
              <w:rPr>
                <w:noProof/>
                <w:color w:val="000000"/>
                <w:sz w:val="20"/>
              </w:rPr>
              <w:t>Ciljna vrijednost</w:t>
            </w:r>
          </w:p>
        </w:tc>
        <w:tc>
          <w:tcPr>
            <w:tcW w:w="2126" w:type="dxa"/>
            <w:tcBorders>
              <w:top w:val="single" w:sz="4" w:space="0" w:color="auto"/>
              <w:left w:val="nil"/>
              <w:bottom w:val="single" w:sz="4" w:space="0" w:color="auto"/>
              <w:right w:val="single" w:sz="4" w:space="0" w:color="auto"/>
            </w:tcBorders>
            <w:shd w:val="clear" w:color="auto" w:fill="C6EFCE"/>
          </w:tcPr>
          <w:p w14:paraId="08D5FE90" w14:textId="77777777" w:rsidR="00C33FB0" w:rsidRPr="00C33FB0" w:rsidRDefault="00C33FB0" w:rsidP="00C33FB0">
            <w:pPr>
              <w:rPr>
                <w:noProof/>
                <w:color w:val="000000"/>
                <w:sz w:val="20"/>
                <w:szCs w:val="20"/>
              </w:rPr>
            </w:pPr>
            <w:r>
              <w:rPr>
                <w:noProof/>
                <w:color w:val="000000"/>
                <w:sz w:val="20"/>
              </w:rPr>
              <w:t>Edukacijski moduli za strateško planiranje i procjenu učinka propisa na nacionalnoj, regionalnoj i lokalnoj razini</w:t>
            </w:r>
          </w:p>
        </w:tc>
        <w:tc>
          <w:tcPr>
            <w:tcW w:w="2300" w:type="dxa"/>
            <w:tcBorders>
              <w:top w:val="single" w:sz="4" w:space="0" w:color="auto"/>
              <w:left w:val="nil"/>
              <w:bottom w:val="single" w:sz="4" w:space="0" w:color="auto"/>
              <w:right w:val="single" w:sz="4" w:space="0" w:color="auto"/>
            </w:tcBorders>
            <w:shd w:val="clear" w:color="auto" w:fill="C6EFCE"/>
          </w:tcPr>
          <w:p w14:paraId="14938519" w14:textId="77777777" w:rsidR="00C33FB0" w:rsidRPr="00C33FB0" w:rsidRDefault="00C33FB0" w:rsidP="00C33FB0">
            <w:pPr>
              <w:rPr>
                <w:noProof/>
                <w:color w:val="000000"/>
                <w:sz w:val="20"/>
                <w:szCs w:val="20"/>
              </w:rPr>
            </w:pPr>
            <w:r>
              <w:rPr>
                <w:noProof/>
                <w:color w:val="000000"/>
                <w:sz w:val="20"/>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7A65DF0E" w14:textId="77777777" w:rsidR="00C33FB0" w:rsidRPr="00C33FB0" w:rsidRDefault="00C33FB0" w:rsidP="00C33FB0">
            <w:pPr>
              <w:jc w:val="center"/>
              <w:rPr>
                <w:noProof/>
                <w:color w:val="000000"/>
                <w:sz w:val="20"/>
                <w:szCs w:val="20"/>
              </w:rPr>
            </w:pPr>
            <w:r>
              <w:rPr>
                <w:noProof/>
                <w:color w:val="000000"/>
                <w:sz w:val="20"/>
              </w:rPr>
              <w:t>Broj</w:t>
            </w:r>
          </w:p>
        </w:tc>
        <w:tc>
          <w:tcPr>
            <w:tcW w:w="1134" w:type="dxa"/>
            <w:tcBorders>
              <w:top w:val="single" w:sz="4" w:space="0" w:color="auto"/>
              <w:left w:val="nil"/>
              <w:bottom w:val="single" w:sz="4" w:space="0" w:color="auto"/>
              <w:right w:val="single" w:sz="4" w:space="0" w:color="auto"/>
            </w:tcBorders>
            <w:shd w:val="clear" w:color="auto" w:fill="C6EFCE"/>
          </w:tcPr>
          <w:p w14:paraId="312B0729" w14:textId="77777777" w:rsidR="00C33FB0" w:rsidRPr="00C33FB0" w:rsidRDefault="00C33FB0" w:rsidP="00C33FB0">
            <w:pPr>
              <w:jc w:val="center"/>
              <w:rPr>
                <w:noProof/>
                <w:color w:val="000000"/>
                <w:sz w:val="20"/>
                <w:szCs w:val="20"/>
              </w:rPr>
            </w:pPr>
            <w:r>
              <w:rPr>
                <w:noProof/>
                <w:color w:val="000000"/>
                <w:sz w:val="20"/>
              </w:rPr>
              <w:t>0</w:t>
            </w:r>
          </w:p>
        </w:tc>
        <w:tc>
          <w:tcPr>
            <w:tcW w:w="851" w:type="dxa"/>
            <w:tcBorders>
              <w:top w:val="single" w:sz="4" w:space="0" w:color="auto"/>
              <w:left w:val="nil"/>
              <w:bottom w:val="single" w:sz="4" w:space="0" w:color="auto"/>
              <w:right w:val="single" w:sz="4" w:space="0" w:color="auto"/>
            </w:tcBorders>
            <w:shd w:val="clear" w:color="auto" w:fill="C6EFCE"/>
          </w:tcPr>
          <w:p w14:paraId="5ABE7919" w14:textId="77777777" w:rsidR="00C33FB0" w:rsidRPr="00C33FB0" w:rsidRDefault="00C33FB0" w:rsidP="00C33FB0">
            <w:pPr>
              <w:jc w:val="center"/>
              <w:rPr>
                <w:noProof/>
                <w:color w:val="000000"/>
                <w:sz w:val="20"/>
                <w:szCs w:val="20"/>
              </w:rPr>
            </w:pPr>
            <w:r>
              <w:rPr>
                <w:noProof/>
                <w:color w:val="000000"/>
                <w:sz w:val="20"/>
              </w:rPr>
              <w:t>10</w:t>
            </w:r>
          </w:p>
        </w:tc>
        <w:tc>
          <w:tcPr>
            <w:tcW w:w="567" w:type="dxa"/>
            <w:tcBorders>
              <w:top w:val="single" w:sz="4" w:space="0" w:color="auto"/>
              <w:left w:val="nil"/>
              <w:bottom w:val="single" w:sz="4" w:space="0" w:color="auto"/>
              <w:right w:val="single" w:sz="4" w:space="0" w:color="auto"/>
            </w:tcBorders>
            <w:shd w:val="clear" w:color="auto" w:fill="C6EFCE"/>
          </w:tcPr>
          <w:p w14:paraId="58389FAE" w14:textId="77777777" w:rsidR="00C33FB0" w:rsidRPr="00C33FB0" w:rsidRDefault="00C33FB0" w:rsidP="00C33FB0">
            <w:pPr>
              <w:jc w:val="center"/>
              <w:rPr>
                <w:noProof/>
                <w:color w:val="000000"/>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tcPr>
          <w:p w14:paraId="0F52A9C2" w14:textId="77777777" w:rsidR="00C33FB0" w:rsidRPr="00C33FB0" w:rsidRDefault="00C33FB0" w:rsidP="00C33FB0">
            <w:pPr>
              <w:jc w:val="center"/>
              <w:rPr>
                <w:noProof/>
                <w:color w:val="000000"/>
                <w:sz w:val="20"/>
                <w:szCs w:val="20"/>
              </w:rPr>
            </w:pPr>
            <w:r>
              <w:rPr>
                <w:noProof/>
                <w:color w:val="000000"/>
                <w:sz w:val="20"/>
              </w:rPr>
              <w:t>2024.</w:t>
            </w:r>
          </w:p>
        </w:tc>
        <w:tc>
          <w:tcPr>
            <w:tcW w:w="3515" w:type="dxa"/>
            <w:tcBorders>
              <w:top w:val="single" w:sz="4" w:space="0" w:color="auto"/>
              <w:left w:val="nil"/>
              <w:bottom w:val="single" w:sz="4" w:space="0" w:color="auto"/>
              <w:right w:val="single" w:sz="4" w:space="0" w:color="auto"/>
            </w:tcBorders>
            <w:shd w:val="clear" w:color="auto" w:fill="C6EFCE"/>
          </w:tcPr>
          <w:p w14:paraId="71473F41" w14:textId="77777777" w:rsidR="00C33FB0" w:rsidRPr="00C33FB0" w:rsidRDefault="00C33FB0" w:rsidP="00C33FB0">
            <w:pPr>
              <w:rPr>
                <w:noProof/>
                <w:color w:val="000000"/>
                <w:sz w:val="20"/>
                <w:szCs w:val="20"/>
              </w:rPr>
            </w:pPr>
            <w:r>
              <w:rPr>
                <w:noProof/>
                <w:color w:val="000000"/>
                <w:sz w:val="20"/>
              </w:rPr>
              <w:t>Izradit će se 10 edukacijskih/obrazovnih modula za strateško planiranje i bolju regulativu kako bi se omogućila profesionalizacija rada, uključujući komponente e-učenja s tehničkom potporom Državne škole za javnu upravu (DŠJU). Moduli će biti razvijeni do kraja 2024.</w:t>
            </w:r>
          </w:p>
        </w:tc>
      </w:tr>
      <w:tr w:rsidR="00215DFD" w:rsidRPr="00C33FB0" w14:paraId="58F00FC5" w14:textId="77777777" w:rsidTr="00C33FB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5E0182E5" w14:textId="77777777" w:rsidR="00C33FB0" w:rsidRPr="00C33FB0" w:rsidRDefault="00C33FB0" w:rsidP="00C33FB0">
            <w:pPr>
              <w:jc w:val="center"/>
              <w:rPr>
                <w:noProof/>
                <w:color w:val="000000"/>
                <w:sz w:val="20"/>
                <w:szCs w:val="20"/>
              </w:rPr>
            </w:pPr>
            <w:r>
              <w:rPr>
                <w:noProof/>
                <w:color w:val="000000"/>
                <w:sz w:val="20"/>
              </w:rPr>
              <w:t>155</w:t>
            </w:r>
          </w:p>
        </w:tc>
        <w:tc>
          <w:tcPr>
            <w:tcW w:w="993" w:type="dxa"/>
            <w:tcBorders>
              <w:top w:val="single" w:sz="4" w:space="0" w:color="auto"/>
              <w:left w:val="nil"/>
              <w:bottom w:val="single" w:sz="4" w:space="0" w:color="auto"/>
              <w:right w:val="single" w:sz="4" w:space="0" w:color="auto"/>
            </w:tcBorders>
            <w:shd w:val="clear" w:color="auto" w:fill="C6EFCE"/>
          </w:tcPr>
          <w:p w14:paraId="7B07792F" w14:textId="77777777" w:rsidR="00C33FB0" w:rsidRPr="00C33FB0" w:rsidRDefault="00C33FB0" w:rsidP="00C33FB0">
            <w:pPr>
              <w:jc w:val="center"/>
              <w:rPr>
                <w:noProof/>
                <w:color w:val="000000"/>
                <w:sz w:val="20"/>
                <w:szCs w:val="20"/>
              </w:rPr>
            </w:pPr>
            <w:r>
              <w:rPr>
                <w:noProof/>
                <w:color w:val="000000"/>
                <w:sz w:val="20"/>
              </w:rPr>
              <w:t>C2.1. R1-I2</w:t>
            </w:r>
          </w:p>
        </w:tc>
        <w:tc>
          <w:tcPr>
            <w:tcW w:w="992" w:type="dxa"/>
            <w:tcBorders>
              <w:top w:val="single" w:sz="4" w:space="0" w:color="auto"/>
              <w:left w:val="nil"/>
              <w:bottom w:val="single" w:sz="4" w:space="0" w:color="auto"/>
              <w:right w:val="single" w:sz="4" w:space="0" w:color="auto"/>
            </w:tcBorders>
            <w:shd w:val="clear" w:color="auto" w:fill="C6EFCE"/>
          </w:tcPr>
          <w:p w14:paraId="68C0F2CA" w14:textId="77777777" w:rsidR="00C33FB0" w:rsidRPr="00C33FB0" w:rsidRDefault="00C33FB0" w:rsidP="00C33FB0">
            <w:pPr>
              <w:jc w:val="center"/>
              <w:rPr>
                <w:noProof/>
                <w:color w:val="000000"/>
                <w:sz w:val="20"/>
                <w:szCs w:val="20"/>
              </w:rPr>
            </w:pPr>
            <w:r>
              <w:rPr>
                <w:noProof/>
                <w:color w:val="000000"/>
                <w:sz w:val="20"/>
              </w:rPr>
              <w:t>Ciljna vrijednost</w:t>
            </w:r>
          </w:p>
        </w:tc>
        <w:tc>
          <w:tcPr>
            <w:tcW w:w="2126" w:type="dxa"/>
            <w:tcBorders>
              <w:top w:val="single" w:sz="4" w:space="0" w:color="auto"/>
              <w:left w:val="nil"/>
              <w:bottom w:val="single" w:sz="4" w:space="0" w:color="auto"/>
              <w:right w:val="single" w:sz="4" w:space="0" w:color="auto"/>
            </w:tcBorders>
            <w:shd w:val="clear" w:color="auto" w:fill="C6EFCE"/>
          </w:tcPr>
          <w:p w14:paraId="4D2F0CD1" w14:textId="77777777" w:rsidR="00C33FB0" w:rsidRPr="00C33FB0" w:rsidRDefault="00C33FB0" w:rsidP="00C33FB0">
            <w:pPr>
              <w:rPr>
                <w:noProof/>
                <w:color w:val="000000"/>
                <w:sz w:val="20"/>
                <w:szCs w:val="20"/>
              </w:rPr>
            </w:pPr>
            <w:r>
              <w:rPr>
                <w:noProof/>
                <w:color w:val="000000"/>
                <w:sz w:val="20"/>
              </w:rPr>
              <w:t xml:space="preserve">Edukacije službenika povezanih sa sustavom strateškog planiranja i provedbe učinaka propisa na nacionalnoj i regionalnoj razini </w:t>
            </w:r>
          </w:p>
        </w:tc>
        <w:tc>
          <w:tcPr>
            <w:tcW w:w="2300" w:type="dxa"/>
            <w:tcBorders>
              <w:top w:val="single" w:sz="4" w:space="0" w:color="auto"/>
              <w:left w:val="nil"/>
              <w:bottom w:val="single" w:sz="4" w:space="0" w:color="auto"/>
              <w:right w:val="single" w:sz="4" w:space="0" w:color="auto"/>
            </w:tcBorders>
            <w:shd w:val="clear" w:color="auto" w:fill="C6EFCE"/>
          </w:tcPr>
          <w:p w14:paraId="210B9B2C" w14:textId="77777777" w:rsidR="00C33FB0" w:rsidRPr="00C33FB0" w:rsidRDefault="00C33FB0" w:rsidP="00C33FB0">
            <w:pPr>
              <w:rPr>
                <w:noProof/>
                <w:color w:val="000000"/>
                <w:sz w:val="20"/>
                <w:szCs w:val="20"/>
              </w:rPr>
            </w:pPr>
            <w:r>
              <w:rPr>
                <w:noProof/>
                <w:color w:val="000000"/>
                <w:sz w:val="20"/>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554CBA61" w14:textId="77777777" w:rsidR="00C33FB0" w:rsidRPr="00C33FB0" w:rsidRDefault="00C33FB0" w:rsidP="00C33FB0">
            <w:pPr>
              <w:jc w:val="center"/>
              <w:rPr>
                <w:noProof/>
                <w:color w:val="000000"/>
                <w:sz w:val="20"/>
                <w:szCs w:val="20"/>
              </w:rPr>
            </w:pPr>
            <w:r>
              <w:rPr>
                <w:noProof/>
                <w:color w:val="000000"/>
                <w:sz w:val="20"/>
              </w:rPr>
              <w:t>Broj</w:t>
            </w:r>
          </w:p>
        </w:tc>
        <w:tc>
          <w:tcPr>
            <w:tcW w:w="1134" w:type="dxa"/>
            <w:tcBorders>
              <w:top w:val="single" w:sz="4" w:space="0" w:color="auto"/>
              <w:left w:val="nil"/>
              <w:bottom w:val="single" w:sz="4" w:space="0" w:color="auto"/>
              <w:right w:val="single" w:sz="4" w:space="0" w:color="auto"/>
            </w:tcBorders>
            <w:shd w:val="clear" w:color="auto" w:fill="C6EFCE"/>
          </w:tcPr>
          <w:p w14:paraId="7B96FB71" w14:textId="77777777" w:rsidR="00C33FB0" w:rsidRPr="00C33FB0" w:rsidRDefault="00C33FB0" w:rsidP="00C33FB0">
            <w:pPr>
              <w:jc w:val="center"/>
              <w:rPr>
                <w:noProof/>
                <w:color w:val="000000"/>
                <w:sz w:val="20"/>
                <w:szCs w:val="20"/>
              </w:rPr>
            </w:pPr>
            <w:r>
              <w:rPr>
                <w:noProof/>
                <w:color w:val="000000"/>
                <w:sz w:val="20"/>
              </w:rPr>
              <w:t>0</w:t>
            </w:r>
          </w:p>
        </w:tc>
        <w:tc>
          <w:tcPr>
            <w:tcW w:w="851" w:type="dxa"/>
            <w:tcBorders>
              <w:top w:val="single" w:sz="4" w:space="0" w:color="auto"/>
              <w:left w:val="nil"/>
              <w:bottom w:val="single" w:sz="4" w:space="0" w:color="auto"/>
              <w:right w:val="single" w:sz="4" w:space="0" w:color="auto"/>
            </w:tcBorders>
            <w:shd w:val="clear" w:color="auto" w:fill="C6EFCE"/>
          </w:tcPr>
          <w:p w14:paraId="6A3926F1" w14:textId="77777777" w:rsidR="00C33FB0" w:rsidRPr="00C33FB0" w:rsidRDefault="00C33FB0" w:rsidP="00C33FB0">
            <w:pPr>
              <w:jc w:val="center"/>
              <w:rPr>
                <w:noProof/>
                <w:color w:val="000000"/>
                <w:sz w:val="20"/>
                <w:szCs w:val="20"/>
              </w:rPr>
            </w:pPr>
            <w:r>
              <w:rPr>
                <w:noProof/>
                <w:color w:val="000000"/>
                <w:sz w:val="20"/>
              </w:rPr>
              <w:t>900</w:t>
            </w:r>
          </w:p>
        </w:tc>
        <w:tc>
          <w:tcPr>
            <w:tcW w:w="567" w:type="dxa"/>
            <w:tcBorders>
              <w:top w:val="single" w:sz="4" w:space="0" w:color="auto"/>
              <w:left w:val="nil"/>
              <w:bottom w:val="single" w:sz="4" w:space="0" w:color="auto"/>
              <w:right w:val="single" w:sz="4" w:space="0" w:color="auto"/>
            </w:tcBorders>
            <w:shd w:val="clear" w:color="auto" w:fill="C6EFCE"/>
          </w:tcPr>
          <w:p w14:paraId="2D97E65C" w14:textId="77777777" w:rsidR="00C33FB0" w:rsidRPr="00C33FB0" w:rsidRDefault="00C33FB0" w:rsidP="00C33FB0">
            <w:pPr>
              <w:jc w:val="center"/>
              <w:rPr>
                <w:noProof/>
                <w:color w:val="000000"/>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tcPr>
          <w:p w14:paraId="376D2619" w14:textId="77777777" w:rsidR="00C33FB0" w:rsidRPr="00C33FB0" w:rsidRDefault="00C33FB0" w:rsidP="00C33FB0">
            <w:pPr>
              <w:jc w:val="center"/>
              <w:rPr>
                <w:noProof/>
                <w:color w:val="000000"/>
                <w:sz w:val="20"/>
                <w:szCs w:val="20"/>
              </w:rPr>
            </w:pPr>
            <w:r>
              <w:rPr>
                <w:noProof/>
                <w:color w:val="000000"/>
                <w:sz w:val="20"/>
              </w:rPr>
              <w:t>2025.</w:t>
            </w:r>
          </w:p>
        </w:tc>
        <w:tc>
          <w:tcPr>
            <w:tcW w:w="3515" w:type="dxa"/>
            <w:tcBorders>
              <w:top w:val="single" w:sz="4" w:space="0" w:color="auto"/>
              <w:left w:val="nil"/>
              <w:bottom w:val="single" w:sz="4" w:space="0" w:color="auto"/>
              <w:right w:val="single" w:sz="4" w:space="0" w:color="auto"/>
            </w:tcBorders>
            <w:shd w:val="clear" w:color="auto" w:fill="C6EFCE"/>
          </w:tcPr>
          <w:p w14:paraId="715B5C47" w14:textId="77777777" w:rsidR="00C33FB0" w:rsidRPr="00C33FB0" w:rsidRDefault="00C33FB0" w:rsidP="00C33FB0">
            <w:pPr>
              <w:rPr>
                <w:noProof/>
                <w:color w:val="000000"/>
                <w:sz w:val="20"/>
                <w:szCs w:val="20"/>
              </w:rPr>
            </w:pPr>
            <w:r>
              <w:rPr>
                <w:noProof/>
                <w:color w:val="000000"/>
                <w:sz w:val="20"/>
              </w:rPr>
              <w:t xml:space="preserve">Edukaciju na temelju izrađenih modela pohađat će 900 službenika u sustavu strateškog planiranja i provedbe učinaka propisa na nacionalnoj i regionalnoj razini. </w:t>
            </w:r>
          </w:p>
        </w:tc>
      </w:tr>
    </w:tbl>
    <w:p w14:paraId="10EAA3A2" w14:textId="77777777" w:rsidR="00C33FB0" w:rsidRPr="00BC0323" w:rsidRDefault="00C33FB0" w:rsidP="00C33FB0">
      <w:pPr>
        <w:spacing w:line="240" w:lineRule="auto"/>
        <w:ind w:left="840"/>
        <w:jc w:val="both"/>
        <w:textAlignment w:val="baseline"/>
        <w:rPr>
          <w:rFonts w:ascii="Segoe UI" w:eastAsia="Times New Roman" w:hAnsi="Segoe UI" w:cs="Segoe UI"/>
          <w:noProof/>
          <w:sz w:val="18"/>
          <w:szCs w:val="18"/>
          <w:lang w:eastAsia="en-IE"/>
        </w:rPr>
      </w:pPr>
    </w:p>
    <w:p w14:paraId="15D042B2" w14:textId="77777777" w:rsidR="00C33FB0" w:rsidRPr="00BC0323" w:rsidRDefault="00C33FB0" w:rsidP="00C33FB0">
      <w:pPr>
        <w:spacing w:line="240" w:lineRule="auto"/>
        <w:ind w:left="840"/>
        <w:jc w:val="both"/>
        <w:textAlignment w:val="baseline"/>
        <w:rPr>
          <w:rFonts w:ascii="Segoe UI" w:eastAsia="Times New Roman" w:hAnsi="Segoe UI" w:cs="Segoe UI"/>
          <w:noProof/>
          <w:sz w:val="18"/>
          <w:szCs w:val="18"/>
          <w:lang w:eastAsia="en-IE"/>
        </w:rPr>
      </w:pPr>
    </w:p>
    <w:p w14:paraId="21BBEFE9" w14:textId="77777777" w:rsidR="00DA3BCA" w:rsidRPr="00BC0323" w:rsidRDefault="00DA3BCA" w:rsidP="00DA3BCA">
      <w:pPr>
        <w:keepNext/>
        <w:tabs>
          <w:tab w:val="left" w:pos="850"/>
        </w:tabs>
        <w:spacing w:after="200" w:line="276" w:lineRule="auto"/>
        <w:jc w:val="both"/>
        <w:outlineLvl w:val="0"/>
        <w:rPr>
          <w:rFonts w:ascii="Times New Roman" w:eastAsia="Calibri" w:hAnsi="Times New Roman" w:cs="Times New Roman"/>
          <w:b/>
          <w:bCs/>
          <w:smallCaps/>
          <w:noProof/>
          <w:sz w:val="24"/>
          <w:szCs w:val="24"/>
        </w:rPr>
        <w:sectPr w:rsidR="00DA3BCA" w:rsidRPr="00BC0323" w:rsidSect="0001477B">
          <w:headerReference w:type="even" r:id="rId144"/>
          <w:headerReference w:type="default" r:id="rId145"/>
          <w:footerReference w:type="even" r:id="rId146"/>
          <w:footerReference w:type="default" r:id="rId147"/>
          <w:headerReference w:type="first" r:id="rId148"/>
          <w:footerReference w:type="first" r:id="rId149"/>
          <w:pgSz w:w="15840" w:h="12240" w:orient="landscape"/>
          <w:pgMar w:top="1440" w:right="1440" w:bottom="1440" w:left="1440" w:header="708" w:footer="708" w:gutter="0"/>
          <w:cols w:space="708"/>
          <w:docGrid w:linePitch="360"/>
        </w:sectPr>
      </w:pPr>
    </w:p>
    <w:p w14:paraId="1034AEE6" w14:textId="77777777" w:rsidR="00733DCA" w:rsidRPr="006B6CA7" w:rsidRDefault="00733DCA" w:rsidP="00DA3BCA">
      <w:pPr>
        <w:keepNext/>
        <w:tabs>
          <w:tab w:val="left" w:pos="850"/>
        </w:tabs>
        <w:spacing w:after="200" w:line="276" w:lineRule="auto"/>
        <w:jc w:val="both"/>
        <w:outlineLvl w:val="0"/>
        <w:rPr>
          <w:rFonts w:ascii="Calibri" w:eastAsia="Calibri" w:hAnsi="Calibri" w:cs="Arial"/>
          <w:noProof/>
        </w:rPr>
      </w:pPr>
      <w:r>
        <w:rPr>
          <w:rFonts w:ascii="Times New Roman" w:hAnsi="Times New Roman"/>
          <w:b/>
          <w:smallCaps/>
          <w:noProof/>
          <w:sz w:val="24"/>
        </w:rPr>
        <w:t>H. KOMPONENTA 2.2.: DALJNJE UNAPREĐENJE UČINKOVITOSTI JAVNE UPRAVE</w:t>
      </w:r>
    </w:p>
    <w:p w14:paraId="50265BB6" w14:textId="77777777" w:rsidR="00733DCA" w:rsidRPr="006B6CA7" w:rsidRDefault="00733DCA" w:rsidP="0001477B">
      <w:p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 xml:space="preserve">Cilj je komponente modernizirati hrvatsku javnu upravu i usmjeriti je na korisnike poticanjem stvarnih i funkcionalnih spajanja jedinica lokalne uprave, povećanjem digitalizacije, interoperabilnosti i učinkovitosti dodjele resursa na lokalnoj razini te reformiranjem sustava naknada i upravljanja ljudskim resursima. </w:t>
      </w:r>
    </w:p>
    <w:p w14:paraId="6A992AC2" w14:textId="77777777" w:rsidR="00733DCA" w:rsidRPr="006B6CA7" w:rsidRDefault="00733DCA" w:rsidP="0001477B">
      <w:p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Glavni su ciljevi poboljšati sposobnost privlačenja i zadržavanja visokokvalitetnih i nadarenih kadrova u javnoj upravi te poboljšati kvalitetu javnih usluga u jedinicama lokalne i regionalne uprave, što je otežano slabim administrativnim i fiskalnim kapacitetima i nedostatkom transparentnosti.</w:t>
      </w:r>
    </w:p>
    <w:p w14:paraId="110A45EC" w14:textId="77777777" w:rsidR="00733DCA" w:rsidRPr="006B6CA7" w:rsidRDefault="00733DCA" w:rsidP="0001477B">
      <w:p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Komponenta uključuje glavne reforme s povezanim ulaganjima:</w:t>
      </w:r>
    </w:p>
    <w:p w14:paraId="5229225C" w14:textId="77777777" w:rsidR="00733DCA" w:rsidRPr="006B6CA7" w:rsidRDefault="00733DCA" w:rsidP="00733DCA">
      <w:pPr>
        <w:numPr>
          <w:ilvl w:val="0"/>
          <w:numId w:val="17"/>
        </w:num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 xml:space="preserve">unapređenje postupka zapošljavanja u državnoj službi osnaživanjem sustava prijema u državnu službu i daljnje poboljšanje kompetencija državnih službenika, </w:t>
      </w:r>
    </w:p>
    <w:p w14:paraId="0F180309" w14:textId="77777777" w:rsidR="00733DCA" w:rsidRPr="006B6CA7" w:rsidRDefault="00733DCA" w:rsidP="00733DCA">
      <w:pPr>
        <w:numPr>
          <w:ilvl w:val="0"/>
          <w:numId w:val="17"/>
        </w:num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uvođenje novih modela plaća i rada u državnoj službi, uključujući reformu sustava plaća u javnom sektoru i unapređenje sustava upravljanja ljudskim resursima te poticanje vertikalne i horizontalne mobilnosti,</w:t>
      </w:r>
    </w:p>
    <w:p w14:paraId="27391B0E" w14:textId="77777777" w:rsidR="00733DCA" w:rsidRPr="006B6CA7" w:rsidRDefault="00733DCA" w:rsidP="00733DCA">
      <w:pPr>
        <w:numPr>
          <w:ilvl w:val="0"/>
          <w:numId w:val="17"/>
        </w:num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 xml:space="preserve">digitalnu transformaciju konzervatorskih podloga i arhivskih zapisa, </w:t>
      </w:r>
    </w:p>
    <w:p w14:paraId="54CFB70F" w14:textId="77777777" w:rsidR="00733DCA" w:rsidRPr="006B6CA7" w:rsidRDefault="00733DCA" w:rsidP="00733DCA">
      <w:pPr>
        <w:numPr>
          <w:ilvl w:val="0"/>
          <w:numId w:val="17"/>
        </w:num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osiguravanje funkcionalne i održive lokalne uprave daljnjom optimizacijom i decentralizacijom jedinica lokalne samouprave pružanjem potpore funkcionalnom i stvarnom spajanju.</w:t>
      </w:r>
    </w:p>
    <w:p w14:paraId="3FAEA586" w14:textId="77777777" w:rsidR="00733DCA" w:rsidRPr="006B6CA7" w:rsidRDefault="00733DCA" w:rsidP="0001477B">
      <w:p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Komponentom će se doprinijeti ispunjenju preporuka za Hrvatsku o potrebi jačanja učinkovitosti javne uprave (1. preporuka za Hrvatsku iz 2019.) i unapređenju pružanja i kvalitete usluga u manjim jedinicama lokalne uprave (4. preporuka za Hrvatsku iz 2020.).</w:t>
      </w:r>
    </w:p>
    <w:p w14:paraId="2A10CED0" w14:textId="77777777" w:rsidR="00733DCA" w:rsidRPr="006B6CA7" w:rsidRDefault="00733DCA" w:rsidP="0001477B">
      <w:pPr>
        <w:spacing w:before="120" w:after="120" w:line="240" w:lineRule="auto"/>
        <w:jc w:val="both"/>
        <w:rPr>
          <w:rFonts w:ascii="Times New Roman" w:eastAsia="Cambria Math" w:hAnsi="Times New Roman" w:cs="Times New Roman"/>
          <w:noProof/>
          <w:sz w:val="24"/>
        </w:rPr>
      </w:pPr>
      <w:r>
        <w:rPr>
          <w:rFonts w:ascii="Times New Roman" w:hAnsi="Times New Roman"/>
          <w:noProof/>
          <w:sz w:val="24"/>
        </w:rPr>
        <w:t>Komponenta uključuje četiri reforme i sedam ulaganja.</w:t>
      </w:r>
    </w:p>
    <w:p w14:paraId="61DABFD4" w14:textId="77777777" w:rsidR="00733DCA" w:rsidRPr="006B6CA7" w:rsidRDefault="00733DCA" w:rsidP="0001477B">
      <w:pPr>
        <w:keepNext/>
        <w:tabs>
          <w:tab w:val="num" w:pos="850"/>
        </w:tabs>
        <w:spacing w:after="200" w:line="276" w:lineRule="auto"/>
        <w:ind w:left="851"/>
        <w:jc w:val="both"/>
        <w:outlineLvl w:val="1"/>
        <w:rPr>
          <w:rFonts w:ascii="Calibri" w:eastAsia="Calibri" w:hAnsi="Calibri" w:cs="Arial"/>
          <w:noProof/>
        </w:rPr>
      </w:pPr>
      <w:r>
        <w:rPr>
          <w:rFonts w:ascii="Times New Roman" w:hAnsi="Times New Roman"/>
          <w:b/>
          <w:noProof/>
          <w:sz w:val="24"/>
          <w:u w:val="single"/>
        </w:rPr>
        <w:t xml:space="preserve">H.1. </w:t>
      </w:r>
      <w:r>
        <w:rPr>
          <w:rFonts w:ascii="Times New Roman" w:hAnsi="Times New Roman"/>
          <w:b/>
          <w:noProof/>
          <w:sz w:val="24"/>
          <w:u w:val="single"/>
        </w:rPr>
        <w:tab/>
        <w:t>Opis reformi i ulaganja za programe bespovratne financijske potpore</w:t>
      </w:r>
    </w:p>
    <w:p w14:paraId="1FFDFFAF" w14:textId="77777777" w:rsidR="00733DCA" w:rsidRPr="006B6CA7" w:rsidRDefault="00733DCA" w:rsidP="0001477B">
      <w:pPr>
        <w:keepNext/>
        <w:tabs>
          <w:tab w:val="num" w:pos="850"/>
        </w:tabs>
        <w:spacing w:after="200" w:line="276" w:lineRule="auto"/>
        <w:ind w:left="851"/>
        <w:jc w:val="both"/>
        <w:outlineLvl w:val="2"/>
        <w:rPr>
          <w:rFonts w:ascii="Calibri" w:eastAsia="Calibri" w:hAnsi="Calibri" w:cs="Arial"/>
          <w:noProof/>
        </w:rPr>
      </w:pPr>
      <w:r>
        <w:rPr>
          <w:rFonts w:ascii="Times New Roman" w:hAnsi="Times New Roman"/>
          <w:noProof/>
          <w:sz w:val="24"/>
          <w:u w:val="single"/>
        </w:rPr>
        <w:t xml:space="preserve">Reforma C2.2. R1 – Unapređenje postupka zapošljavanja u državnoj službi </w:t>
      </w:r>
    </w:p>
    <w:p w14:paraId="6E46A3FA"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poboljšati sustav zapošljavanja u javnoj službi kako bi se osiguralo zapošljavanje visokokvalificiranih kadrova koji doprinose poboljšanju učinkovitosti javne uprave i omogućuju preusmjeravanje javne uprave na potrebe građana. Reforma uključuje izmjene zakonodavnog okvira. Uz provedbu reforme, nadležna tijela namjeravaju razviti informatičke alate, metodologije i sadržaje potrebne za provjeru kompetencija te provesti mjere izgradnje kapaciteta.</w:t>
      </w:r>
    </w:p>
    <w:p w14:paraId="270DB1FF"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Uvest će se centralizirani sustav selekcije državnih službenika na temelju prethodno utvrđenih planova, analizama radne opterećenosti i stvarnim potrebama državnih tijela za zapošljavanjem određenog profila službenika. U postupku zapošljavanja provodit će se internetsko testiranje kandidata te tako osigurati transparentni i objektivniji odabir kandidata. </w:t>
      </w:r>
    </w:p>
    <w:p w14:paraId="537246FF"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2023.</w:t>
      </w:r>
    </w:p>
    <w:p w14:paraId="621A89CA"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C2.2. R1.I1 – Centralizirani sustav selekcije</w:t>
      </w:r>
    </w:p>
    <w:p w14:paraId="2F24EC77"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uspostaviti objektivniji i transparentniji sustav zapošljavanja na temelju stvarnih utvrđenih potreba i financijskih sredstava. Time će se postići zapošljavanje najboljih i najkompetentnijih kandidata te posljedično doprinijeti poboljšanju učinkovitosti javne uprave.</w:t>
      </w:r>
    </w:p>
    <w:p w14:paraId="36906227"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sljedeće aktivnosti:</w:t>
      </w:r>
    </w:p>
    <w:p w14:paraId="5C125299" w14:textId="77777777" w:rsidR="00733DCA" w:rsidRPr="006B6CA7" w:rsidRDefault="00733DCA" w:rsidP="00733DCA">
      <w:pPr>
        <w:numPr>
          <w:ilvl w:val="0"/>
          <w:numId w:val="1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komparativnu analizu oblika centraliziranog sustava zapošljavanja u državama članicama EU-a te izradu prijedloga novog modela zapošljavanja,</w:t>
      </w:r>
    </w:p>
    <w:p w14:paraId="45F7AF05" w14:textId="77777777" w:rsidR="00733DCA" w:rsidRPr="006B6CA7" w:rsidRDefault="00733DCA" w:rsidP="00733DCA">
      <w:pPr>
        <w:numPr>
          <w:ilvl w:val="0"/>
          <w:numId w:val="1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izmjene zakonodavnog okvira, među ostalim Zakona o državnim službenicima i postupaka zapošljavanja državnih službenika u tijelima državne uprave, stručnim službama i uredima Vlade,</w:t>
      </w:r>
    </w:p>
    <w:p w14:paraId="4A021AD2" w14:textId="77777777" w:rsidR="00733DCA" w:rsidRPr="006B6CA7" w:rsidRDefault="00733DCA" w:rsidP="00733DCA">
      <w:pPr>
        <w:numPr>
          <w:ilvl w:val="0"/>
          <w:numId w:val="1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izradu standardiziranih testova i izobrazbe,</w:t>
      </w:r>
    </w:p>
    <w:p w14:paraId="4DCBD97B" w14:textId="77777777" w:rsidR="00733DCA" w:rsidRPr="006B6CA7" w:rsidRDefault="00733DCA" w:rsidP="00733DCA">
      <w:pPr>
        <w:numPr>
          <w:ilvl w:val="0"/>
          <w:numId w:val="1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izradu informatičke platforme, </w:t>
      </w:r>
    </w:p>
    <w:p w14:paraId="206332CE" w14:textId="77777777" w:rsidR="00733DCA" w:rsidRPr="006B6CA7" w:rsidRDefault="00733DCA" w:rsidP="00733DCA">
      <w:pPr>
        <w:numPr>
          <w:ilvl w:val="0"/>
          <w:numId w:val="16"/>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testiranje i provedbu informatičke platforme. </w:t>
      </w:r>
    </w:p>
    <w:p w14:paraId="18A0CAA0" w14:textId="77777777" w:rsidR="00733DCA" w:rsidRPr="006B6CA7" w:rsidRDefault="00733DCA" w:rsidP="0001477B">
      <w:pPr>
        <w:spacing w:after="200" w:line="276" w:lineRule="auto"/>
        <w:jc w:val="both"/>
        <w:rPr>
          <w:rFonts w:ascii="Calibri" w:eastAsia="Calibri" w:hAnsi="Calibri" w:cs="Arial"/>
          <w:noProof/>
        </w:rPr>
      </w:pPr>
      <w:r>
        <w:rPr>
          <w:rFonts w:ascii="Times New Roman" w:hAnsi="Times New Roman"/>
          <w:noProof/>
          <w:sz w:val="24"/>
        </w:rPr>
        <w:t>Mjera će biti dovršena do 31. prosinca 2024.</w:t>
      </w:r>
    </w:p>
    <w:p w14:paraId="6B8A2208" w14:textId="77777777" w:rsidR="00733DCA" w:rsidRPr="006B6CA7" w:rsidRDefault="00733DCA" w:rsidP="0001477B">
      <w:pPr>
        <w:keepNext/>
        <w:tabs>
          <w:tab w:val="num" w:pos="850"/>
        </w:tabs>
        <w:spacing w:after="200" w:line="276" w:lineRule="auto"/>
        <w:ind w:left="851"/>
        <w:jc w:val="both"/>
        <w:outlineLvl w:val="2"/>
        <w:rPr>
          <w:rFonts w:ascii="Calibri" w:eastAsia="Calibri" w:hAnsi="Calibri" w:cs="Arial"/>
          <w:noProof/>
        </w:rPr>
      </w:pPr>
      <w:r>
        <w:rPr>
          <w:rFonts w:ascii="Times New Roman" w:hAnsi="Times New Roman"/>
          <w:noProof/>
          <w:sz w:val="24"/>
          <w:u w:val="single"/>
        </w:rPr>
        <w:t>Ulaganje C2.2. R1-I2 – E-državni ispit</w:t>
      </w:r>
    </w:p>
    <w:p w14:paraId="2D4878CE"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uspostava novog sustava polaganja državnog ispita elektroničkim putem čime će se osigurati objektivniji, prikladniji i valjaniji način procjenjivanja znanja kandidata standardiziranim pisanim ispitivanjem. </w:t>
      </w:r>
    </w:p>
    <w:p w14:paraId="504F3FE4"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razvoj računalnog aplikacijskog sustava u okviru kojeg će se odvijati postupci razvoja ispitnih materijala za državni ispit, prijave na ispit, organizacija, provedba i polaganje državnog ispita. Uvjerenje o položenom ispitu izdavat će se elektronički. Sustav će obuhvaćati bazu ispitnih zadataka i materijala, bazu podataka o kandidatima te će omogućavati kreiranje izvještaja vezanih uz provedbu i rezultate ispitivanja. Takav će sustav omogućiti kontinuirano praćenje i unapređenje svih postupaka razvoja i provedbe državnih ispita. Ispitne prostorije u četiri ispitna centra u Zagrebu, Splitu, Rijeci i Osijeku bit će opremljene i stavljene na raspolaganje za potrebe tog e-državnog ispita i centraliziranog sustava selekcije (Ulaganje C2.2. R1-I1).</w:t>
      </w:r>
    </w:p>
    <w:p w14:paraId="0B52EB7E"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31. prosinca 2022.</w:t>
      </w:r>
    </w:p>
    <w:p w14:paraId="0720F633"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 xml:space="preserve">Reforma C2.2. R2 – Novi modeli plaća i rada u državnoj i javnim službama </w:t>
      </w:r>
    </w:p>
    <w:p w14:paraId="1691C990"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uvesti pravedan, transparentan, dosljedan, motivirajući i financijski održiv sustav određivanja plaća u državnoj upravi i javnim službama te standardiziran, digitaliziran i korisnički usmjeren sustava za upravljanje ljudskim resursima. Kako bi se odgovorilo na novu radno okruženje, uvest će se pametni model rada koji će službenicima pružiti potrebne alate i vještine za rad na daljinu. </w:t>
      </w:r>
    </w:p>
    <w:p w14:paraId="5F24261F" w14:textId="073EA9E9"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Na temelju analize situacije i usporedbe plaća u državnoj i javnim službama uvest će se novi sustav plaća te će se donijeti novi Zakon o plaćama u državnoj službi i novi Zakon o plaćama u javnim službama. Novi zakoni uključivat će odredbe o vrednovanju radnih mjesta u skladu s utvrđenim kriterijima i osiguravanje harmonizacije plaća u državnoj upravi i javnim službama. Novim modelom plaća uspostavit će se sustav nagrađivanja koji će se temeljiti na radnom učinku. Izmijenit će se propisi povezani s ocjenjivanjem i napredovanjem državnih službenika. Ocjena rada i učinkovitosti bit će temelj za karijerno napredovanje i promicanje.</w:t>
      </w:r>
    </w:p>
    <w:p w14:paraId="08D756B2"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bookmarkStart w:id="4" w:name="_Hlk148466901"/>
      <w:r>
        <w:rPr>
          <w:rFonts w:ascii="Times New Roman" w:hAnsi="Times New Roman"/>
          <w:noProof/>
          <w:sz w:val="24"/>
        </w:rPr>
        <w:t>Mjera će biti dovršena do 30. lipnja 2023.</w:t>
      </w:r>
    </w:p>
    <w:bookmarkEnd w:id="4"/>
    <w:p w14:paraId="48259F90"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C2.2. R2-I1 – Unapređenje sustava plaća u državnoj upravi i javnim službama</w:t>
      </w:r>
    </w:p>
    <w:p w14:paraId="66673A4A"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Ulaganjem će se uspostaviti novi sustav naknada u državnoj upravi i javnim službama, čime će se poduprijeti reforma u tom području. Osigurat će pravedniji sustav iz perspektive državnih službenika, postat će konkurentniji i fiskalno održiviji, u smislu zadržavanja ukupne mase za plaće u državnom proračunu te njezine racionalnije raspodjele. </w:t>
      </w:r>
    </w:p>
    <w:p w14:paraId="21342710"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Osnovat će se jedinstveno koordinacijsko tijelo Vlade zaduženo za međuinstitucijsku koordinaciju svih aktivnosti, u pratnji timova stručnjaka, uključujući predstavnike socijalnih partnera. Provest će se analiza postojećeg sustava plaća i pravnog okvira i komparativna analiza s usporedivim državama članicama. Na temelju tih analiza izradit će se novi prijedlog novog sustava plaća i pravnog okvira, u IT sustav upravljanja ljudskim resursima uključit će se devet novih funkcionalnosti te će se izraditi i provesti komunikacijska strategija. </w:t>
      </w:r>
    </w:p>
    <w:p w14:paraId="68CB6627"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2024.</w:t>
      </w:r>
    </w:p>
    <w:p w14:paraId="5E1AE219"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C2.2. R2-I2 – Uvođenje modela za hibridni pristup radnome mjestu – pametni model rada</w:t>
      </w:r>
    </w:p>
    <w:p w14:paraId="4860C38E" w14:textId="77777777" w:rsidR="00733DCA" w:rsidRPr="006B6CA7" w:rsidRDefault="00733DCA" w:rsidP="0001477B">
      <w:pPr>
        <w:tabs>
          <w:tab w:val="left" w:pos="2329"/>
        </w:tabs>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uvesti model koji će državnim službenicima omogućiti rad na daljinu radi pružanja kontinuirane i kvalitetne javne usluge dostupne svima te povećanja motivacije službenika. Uspostavit će se inovativan tijek rada koji će se temeljiti na elementu fleksibilnosti radnog vremena i mjesta rada u skladu s potrebama postupaka i planova javne uprave. Izmijenit će se zakonodavna rješenja koja se odnose na službeničke i radne odnose radi uvođenja hibridnog modela rada u javnoj upravi i pravosuđu (Zakon o radu, Zakon o državnim službenicima, Zakon o zaštiti na radu i podzakonski akti), koja će omogućiti neometani i kontinuirani rad zaposlenika.  </w:t>
      </w:r>
    </w:p>
    <w:p w14:paraId="433AFCB2"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Radi postizanja prethodno navedenih ciljeva, mjerom se predviđa sljedeće:</w:t>
      </w:r>
    </w:p>
    <w:p w14:paraId="48FD17E6" w14:textId="77777777" w:rsidR="00733DCA" w:rsidRPr="006B6CA7" w:rsidRDefault="00733DCA" w:rsidP="00733DCA">
      <w:pPr>
        <w:numPr>
          <w:ilvl w:val="0"/>
          <w:numId w:val="1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angažiranje vanjskih stručnjaka za utvrđivanje trenutačnog stanja u području uvjeta za rad na daljinu i izrada i provedba edukacija rukovodećeg kadra,</w:t>
      </w:r>
    </w:p>
    <w:p w14:paraId="308AA73A" w14:textId="77777777" w:rsidR="00733DCA" w:rsidRPr="006B6CA7" w:rsidRDefault="00733DCA" w:rsidP="00733DCA">
      <w:pPr>
        <w:numPr>
          <w:ilvl w:val="0"/>
          <w:numId w:val="1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izrada prijedloga modela hibridnog pristupa radnome mjestu s cjelovitim normativnim rješenjem za provedbu, od strane vanjskih stručnjaka,</w:t>
      </w:r>
    </w:p>
    <w:p w14:paraId="523E1949" w14:textId="77777777" w:rsidR="00733DCA" w:rsidRPr="006B6CA7" w:rsidRDefault="00733DCA" w:rsidP="00733DCA">
      <w:pPr>
        <w:numPr>
          <w:ilvl w:val="0"/>
          <w:numId w:val="1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izmjena zakonodavnog okvira i metodologija rada,</w:t>
      </w:r>
    </w:p>
    <w:p w14:paraId="335CEEB8" w14:textId="77777777" w:rsidR="00733DCA" w:rsidRPr="006B6CA7" w:rsidRDefault="00733DCA" w:rsidP="00733DCA">
      <w:pPr>
        <w:numPr>
          <w:ilvl w:val="0"/>
          <w:numId w:val="1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nabava informatičke tehnologije (prijenosna računala, tableti i pametni telefoni i potreban softver) u okviru transparentnih postupaka javne nabave, </w:t>
      </w:r>
    </w:p>
    <w:p w14:paraId="0F3EE396" w14:textId="77777777" w:rsidR="00733DCA" w:rsidRPr="006B6CA7" w:rsidRDefault="00733DCA" w:rsidP="00733DCA">
      <w:pPr>
        <w:numPr>
          <w:ilvl w:val="0"/>
          <w:numId w:val="1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edukacija zaposlenika.</w:t>
      </w:r>
    </w:p>
    <w:p w14:paraId="7AADA3B1"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rujna 2023.</w:t>
      </w:r>
    </w:p>
    <w:p w14:paraId="726DB1F6"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Reforma C2.2. R3 – Digitalna transformacija konzervatorskih podloga i arhivskih zapisa</w:t>
      </w:r>
    </w:p>
    <w:p w14:paraId="75512386"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unaprijediti upravljanje dokumentacijom u tijelima javne vlasti radi poboljšanja poslovnih procesa. Očekuje se da će mjera omogućiti učinkovitije pružanje usluga javne uprave primjenom provedenih rješenja informacijskih i komunikacijskih tehnologija (IKT) kojima će se osigurati interoperabilnost i razmjena podataka, smanjenje troškova, transparentnost poslovanja i zaštita prava građana.</w:t>
      </w:r>
    </w:p>
    <w:p w14:paraId="44CCC0F1"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Pored toga, planira se razviti i uvesti digitalna javna usluga koja će omogućiti pristup digitalnim konzervatorskim podlogama izrađenima za kulturno-povijesne cjeline. Nadalje, razvit će se potrebni standardi i kriteriji kako bi se poboljšala sveukupna učinkovitost javne uprave u tom kontekstu. Očekuje se da će se razvojem nacionalnog arhivskog informacijskog sustava, jačanjem infrastrukturnih i ljudskih kapaciteta u državnim arhivima i jačanjem kapaciteta za digitalizaciju analognog gradiva na papiru kod stvaratelja i vlasnika (posjednika) gradiva unaprijediti digitalne javne usluge, osigurati brži pristup dokumentaciji i bolje ostvarivanje prava korisnika i svih zainteresiranih građana.</w:t>
      </w:r>
    </w:p>
    <w:p w14:paraId="7E12C1BA"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2024.</w:t>
      </w:r>
    </w:p>
    <w:p w14:paraId="309EF727"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C2.2. R3-I1 – Uspostava digitalne infrastrukture i usluga javne uprave izradom sustava konzervatorskih podloga</w:t>
      </w:r>
    </w:p>
    <w:p w14:paraId="5D7C734D"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uspostaviti novu digitalnu javnu uslugu (e-konzervatorske podloge) povezanu s postojećim digitalnim javnim uslugama (kao što su e-građani i informacijski sustav fizičkog planiranja) kako bi se smanjile administrativne prepreke u postupku licenciranja u skladu sa Zakonom o zaštiti i očuvanju kulturnih dobara, potaklo brzo izdavanje građevinskih dozvola, osigurala transparentnost i ujednačili postupci za dobivanje relevantne dokumentacije u cijeloj zemlji. Službenici će moći brže obrađivati predmete, čime će se povećati učinkovitost javne uprave, a ulagači će se moći informirati o zahtjevima povezanima s kulturnom baštinom. Očekuje se da će se ulaganjem povećati pravna sigurnost povezana s očuvanjem kulturnih dobara, a javnosti omogućiti uvid u konzervatorske podloge.</w:t>
      </w:r>
    </w:p>
    <w:p w14:paraId="0A602C8A"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razvoj informatičkog sustava digitalne javne usluge te razvoj digitalnih konzervatorskih podloga. Definirat će se standardi, kriteriji i metodologija za razvoj konzervatorskih podloga. Objavit će se digitalizirane konzervatorske podloge, uključujući cjelovitu analizu stanja, vrednovanja i zaštitnih mjera kulturnih lokaliteta.</w:t>
      </w:r>
    </w:p>
    <w:p w14:paraId="26995C43"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Mjera će biti dovršena do 30. lipnja 2026.  </w:t>
      </w:r>
    </w:p>
    <w:p w14:paraId="64753DAB"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Ulaganje C2.2. R3-I2 – Unapređenje digitalne infrastrukture i usluga javnog sektora razvojem nacionalnog arhivskog informacijskog sustava i jačanjem nacionalne mreže arhiva</w:t>
      </w:r>
    </w:p>
    <w:p w14:paraId="00CBC655"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poboljšati upravljanje dokumentima koje izrađuju javna tijela i pravosudni sustav te njihovo arhiviranje povezivanjem postojećih usluga i osiguravanjem pristupa svim uključenim javnim tijelima, uz istodobno osiguravanje zaštite prava građana. Planirana ulaganja doprinijet će smanjenju troškova prostora, opreme i ljudi za ustanove koje stvaraju gradivo te jačanju njihovih kapaciteta za upravljanje dokumentacijom u digitalnom obliku. Hrvatska će izričito utvrditi potencijalne rizike i posebne mjere za jamčenje sigurnosti podataka, uključujući je li i u kojem slučaju predviđeno korištenje pružatelja usluga računalstva u oblaku iz trećih zemalja na koje se primjenjuju propisi o ekstrateritorijalnosti.</w:t>
      </w:r>
    </w:p>
    <w:p w14:paraId="24844C00"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razvoj nacionalnog arhivskog informacijskog sustava i uvođenje nove usluge „e-Arhiv“, u okviru državne informacijske infrastrukture, povezane s postojećim e-uslugama. Provedba se sastoji od sljedećih aktivnosti:</w:t>
      </w:r>
    </w:p>
    <w:p w14:paraId="02645A6C"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razvoj informatičkih sustava uključujući testiranje i migraciju podataka,</w:t>
      </w:r>
    </w:p>
    <w:p w14:paraId="5EED859C"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razvoj repozitorija za pohranu digitaliziranog gradiva,</w:t>
      </w:r>
    </w:p>
    <w:p w14:paraId="592BA5D9"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razvoj digitalne javne usluge za pristup i korištenje digitaliziranog gradiva,</w:t>
      </w:r>
    </w:p>
    <w:p w14:paraId="7A866BC4"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jačanje spremišnih kapaciteta u osam područnih državnih arhiva za preuzimanje trajnog gradiva na papiru,</w:t>
      </w:r>
    </w:p>
    <w:p w14:paraId="11E13AAA"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jačanje ljudskih kapaciteta održavanjem edukacija za zaposlenike u 19 državnih arhiva i 120 pravosudnih tijela kako bi se unaprijedilo upravljanje dokumentacijom u digitalnom okruženju,</w:t>
      </w:r>
    </w:p>
    <w:p w14:paraId="089433FF"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sređivanje i odabiranje gradiva na papiru u pravosudnim tijelima, </w:t>
      </w:r>
    </w:p>
    <w:p w14:paraId="389B85DE"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odlaganje gradiva pravosudnih tijela kojem su prošli rokovi čuvanja i koje se više ne koristi za redovno poslovanje, </w:t>
      </w:r>
    </w:p>
    <w:p w14:paraId="416B7362" w14:textId="77777777" w:rsidR="00733DCA" w:rsidRPr="006B6CA7" w:rsidRDefault="00733DCA" w:rsidP="00733DCA">
      <w:pPr>
        <w:numPr>
          <w:ilvl w:val="0"/>
          <w:numId w:val="1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digitalizacija odabranog gradiva na papiru koje ostaje u pravosudnim tijelima u skladu sa stručnim smjernicama za digitalizaciju arhivskog gradiva i važećim zakonodavstvom.</w:t>
      </w:r>
    </w:p>
    <w:p w14:paraId="5236595B"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2026.</w:t>
      </w:r>
    </w:p>
    <w:p w14:paraId="0A0EE156" w14:textId="77777777" w:rsidR="00733DCA" w:rsidRPr="006B6CA7" w:rsidRDefault="00733DCA" w:rsidP="0001477B">
      <w:pPr>
        <w:keepNext/>
        <w:numPr>
          <w:ilvl w:val="2"/>
          <w:numId w:val="0"/>
        </w:numPr>
        <w:spacing w:before="120" w:after="120" w:line="240" w:lineRule="auto"/>
        <w:ind w:left="851"/>
        <w:jc w:val="both"/>
        <w:outlineLvl w:val="2"/>
        <w:rPr>
          <w:rFonts w:ascii="Times New Roman" w:eastAsia="SimSun" w:hAnsi="Times New Roman" w:cs="Times New Roman"/>
          <w:bCs/>
          <w:i/>
          <w:noProof/>
          <w:sz w:val="24"/>
        </w:rPr>
      </w:pPr>
      <w:r>
        <w:rPr>
          <w:rFonts w:ascii="Times New Roman" w:hAnsi="Times New Roman"/>
          <w:noProof/>
          <w:sz w:val="24"/>
          <w:u w:val="single"/>
        </w:rPr>
        <w:t xml:space="preserve">Reforma C2.2. R4 – Funkcionalna i održiva lokalna uprava </w:t>
      </w:r>
    </w:p>
    <w:p w14:paraId="77E75B95"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uspostaviti visokokvalitetan i učinkovit sustav lokalne i regionalne vlasti poticanjem funkcionalne i stvarne integracije jedinica lokalne uprave. Očekuje se da će reforma doprinijeti poboljšanom, učinkovitom i transparentnom pružanju javnih usluga građanima te im pružiti jednake mogućnosti za zadovoljavanje svojih potreba i interesa, bez obzira na to gdje žive. </w:t>
      </w:r>
    </w:p>
    <w:p w14:paraId="01B15DF1"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Relevantni propis, Zakon o izvršenju proračuna Republike Hrvatske za 2022., izmijenit će se i uvest će se mehanizam financijske potpore za poticanje funkcionalnog i stvarnog spajanja. U državnom proračunu osigurat će se dostatna sredstva kako bi se financijski potaknulo stvarno spajanje najmanje 20 % i funkcionalno spajanje najmanje 40 % jedinica lokalne uprave. U razvojnoj fazi mehanizma utvrdit će se više mogućih modela financiranja zajedničkog obavljanja poslova uzimajući u obzir opseg usluga koje moraju pružati vlade lokalne i regionalne uprave kako je utvrđen zakonom i iskazane potrebe jedinica za zajedničkim obavljanjem poslova. Uspješan dovršetak postupka stvarnog ili funkcionalnog spajanja bit će preduvjet za dodjelu dodatnih sredstava ili sufinanciranja iz državnog proračuna. </w:t>
      </w:r>
      <w:r>
        <w:rPr>
          <w:rFonts w:ascii="Times New Roman" w:hAnsi="Times New Roman"/>
          <w:noProof/>
          <w:color w:val="000000"/>
          <w:sz w:val="24"/>
        </w:rPr>
        <w:t>Odlukom Vlade RH propisat će se kriteriji i visina poticaja, uz veće fiskalne poticaje za stvarna spajanja, dok će poticaji za funkcionalna spajanja ovisiti o broju i vrsti funkcija koje su predviđene za spajanje.</w:t>
      </w:r>
    </w:p>
    <w:p w14:paraId="0C6D8EF1" w14:textId="77777777" w:rsidR="00733DCA" w:rsidRPr="006B6CA7" w:rsidRDefault="00494B37" w:rsidP="0001477B">
      <w:pPr>
        <w:spacing w:before="120" w:after="120" w:line="240" w:lineRule="auto"/>
        <w:jc w:val="both"/>
        <w:rPr>
          <w:rFonts w:ascii="Times New Roman" w:eastAsia="Calibri" w:hAnsi="Times New Roman" w:cs="Times New Roman"/>
          <w:noProof/>
          <w:sz w:val="24"/>
          <w:szCs w:val="24"/>
        </w:rPr>
      </w:pPr>
      <w:sdt>
        <w:sdtPr>
          <w:rPr>
            <w:rFonts w:ascii="Times New Roman" w:eastAsia="Calibri" w:hAnsi="Times New Roman" w:cs="Times New Roman"/>
            <w:noProof/>
            <w:sz w:val="24"/>
          </w:rPr>
          <w:id w:val="999383225"/>
        </w:sdtPr>
        <w:sdtEndPr/>
        <w:sdtContent>
          <w:r w:rsidR="00071693">
            <w:rPr>
              <w:rFonts w:ascii="Times New Roman" w:hAnsi="Times New Roman"/>
              <w:noProof/>
              <w:sz w:val="24"/>
            </w:rPr>
            <w:t xml:space="preserve">Izmjene propisa povezanih s mehanizmom financijske potpore za lokalna i regionalna tijela, kojima se omogućava isplaćivanje financijskih poticaja za spajanje </w:t>
          </w:r>
        </w:sdtContent>
      </w:sdt>
    </w:p>
    <w:p w14:paraId="6211635B"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ožujka 2022.</w:t>
      </w:r>
    </w:p>
    <w:p w14:paraId="501D868B" w14:textId="77777777" w:rsidR="00733DCA" w:rsidRPr="006B6CA7" w:rsidRDefault="00733DCA" w:rsidP="0001477B">
      <w:pPr>
        <w:keepNext/>
        <w:numPr>
          <w:ilvl w:val="2"/>
          <w:numId w:val="0"/>
        </w:numPr>
        <w:spacing w:before="240" w:after="0"/>
        <w:ind w:left="851"/>
        <w:jc w:val="both"/>
        <w:outlineLvl w:val="2"/>
        <w:rPr>
          <w:rFonts w:ascii="Times New Roman" w:eastAsia="SimSun" w:hAnsi="Times New Roman" w:cs="Times New Roman"/>
          <w:bCs/>
          <w:noProof/>
          <w:sz w:val="24"/>
          <w:u w:val="single"/>
        </w:rPr>
      </w:pPr>
      <w:r>
        <w:rPr>
          <w:rFonts w:ascii="Times New Roman" w:hAnsi="Times New Roman"/>
          <w:noProof/>
          <w:sz w:val="24"/>
          <w:u w:val="single"/>
        </w:rPr>
        <w:t>Ulaganje C2.2. R4-I1 – Daljnja optimizacija i decentralizacija jedinica lokalne i regionalne uprave pružanjem potpore funkcionalnom i stvarnom spajanju</w:t>
      </w:r>
    </w:p>
    <w:p w14:paraId="17BF7404" w14:textId="77777777" w:rsidR="00733DCA" w:rsidRPr="006B6CA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Ulaganje uključuje nadogradnju IT sustava za pružanje potpore popratnoj reformi (C2.2. R4) i uspostavu visokokvalitetnog sustava za poticanje funkcionalnog i stvarnog spajanja jedinica lokalne uprave. Time će se povećati antropocentričnost i transparentnost u pružanju usluga građanima te ojačati administrativni kapaciteti za što učinkovitije obavljanje zadaća. Jedinice će se poticati na zajedničko izvršavanje pojedinih poslova (funkcionalno spajanje) ili na stvarno spajanje s drugim jedinicama lokalne samouprave, pružanjem odgovarajuće ekspertize i uspostavom sustava financijskih poticaja. </w:t>
      </w:r>
    </w:p>
    <w:p w14:paraId="26D2780D"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Prethodno naveden IT sustav, izrađen u okviru projekta „Optimizacija sustava lokalne i područne (regionalne) samouprave” nadogradit će se i staviti na raspolaganje jedinicama lokalne uprave. IT sustav omogućit će jedinicama da jasnije utvrde koje poslove bi bilo učinkovitije obavljati zajednički s drugom jedinicom/jedinicama lokalne uprave i koje su jedinice pogodni partneri za zajedničko obavljanje poslova. Podaci prikupljeni putem sustava poslužit će kao osnova za stvarno spajanje jedinica koje će za to izraziti interes. </w:t>
      </w:r>
    </w:p>
    <w:p w14:paraId="73543FD8"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Izradit će se upitnik samoprocjene, koji će jedinice lokalne uprave ispuniti radi dopune dostupnih podataka. Na temelju navedenih podataka izradit će se smjernice i preporuke za spajanja. Sustav će omogućiti sveobuhvatan pregled zadaća koje su pogodne za zajedničko izvršavanje te predlaganje modela spajanja, kao što je osnivanje zajedničkog upravnog tijela ili zajedničkih ustanova. Kad je riječ o stvarnim spajanjima, sustav će navesti potrebne korake i odabrati odgovarajuće partnerske jedinice. </w:t>
      </w:r>
    </w:p>
    <w:p w14:paraId="0222395C" w14:textId="77777777" w:rsidR="00733DCA" w:rsidRPr="006B6CA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Mjera će biti dovršena do 30. lipnja 2025.</w:t>
      </w:r>
    </w:p>
    <w:p w14:paraId="75FF2382" w14:textId="77777777" w:rsidR="00733DCA" w:rsidRDefault="00733DCA">
      <w:pPr>
        <w:rPr>
          <w:noProof/>
          <w:lang w:val="en-GB"/>
        </w:rPr>
        <w:sectPr w:rsidR="00733DCA" w:rsidSect="00DA3BCA">
          <w:headerReference w:type="even" r:id="rId150"/>
          <w:headerReference w:type="default" r:id="rId151"/>
          <w:footerReference w:type="even" r:id="rId152"/>
          <w:footerReference w:type="default" r:id="rId153"/>
          <w:headerReference w:type="first" r:id="rId154"/>
          <w:footerReference w:type="first" r:id="rId155"/>
          <w:pgSz w:w="12240" w:h="15840"/>
          <w:pgMar w:top="1440" w:right="1440" w:bottom="1440" w:left="1440" w:header="708" w:footer="708" w:gutter="0"/>
          <w:cols w:space="708"/>
          <w:docGrid w:linePitch="360"/>
        </w:sectPr>
      </w:pPr>
    </w:p>
    <w:p w14:paraId="58022F0F" w14:textId="77777777" w:rsidR="00733DCA" w:rsidRPr="006B6CA7" w:rsidRDefault="00733DCA" w:rsidP="0001477B">
      <w:pPr>
        <w:keepNext/>
        <w:tabs>
          <w:tab w:val="num" w:pos="850"/>
        </w:tabs>
        <w:spacing w:before="40" w:after="24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H.2. </w:t>
      </w:r>
      <w:r>
        <w:rPr>
          <w:rFonts w:ascii="Times New Roman" w:hAnsi="Times New Roman"/>
          <w:b/>
          <w:noProof/>
          <w:sz w:val="24"/>
          <w:u w:val="single"/>
        </w:rPr>
        <w:tab/>
        <w:t>Ključne etape, ciljne vrijednosti, pokazatelji i vremenski raspored za praćenje i provedbu programa bespovratne financijske potpore</w:t>
      </w:r>
    </w:p>
    <w:tbl>
      <w:tblPr>
        <w:tblW w:w="14981" w:type="dxa"/>
        <w:jc w:val="center"/>
        <w:tblCellMar>
          <w:top w:w="28" w:type="dxa"/>
          <w:left w:w="28" w:type="dxa"/>
          <w:bottom w:w="28" w:type="dxa"/>
          <w:right w:w="28" w:type="dxa"/>
        </w:tblCellMar>
        <w:tblLook w:val="04A0" w:firstRow="1" w:lastRow="0" w:firstColumn="1" w:lastColumn="0" w:noHBand="0" w:noVBand="1"/>
      </w:tblPr>
      <w:tblGrid>
        <w:gridCol w:w="810"/>
        <w:gridCol w:w="850"/>
        <w:gridCol w:w="871"/>
        <w:gridCol w:w="2098"/>
        <w:gridCol w:w="1801"/>
        <w:gridCol w:w="1168"/>
        <w:gridCol w:w="836"/>
        <w:gridCol w:w="850"/>
        <w:gridCol w:w="425"/>
        <w:gridCol w:w="992"/>
        <w:gridCol w:w="4395"/>
      </w:tblGrid>
      <w:tr w:rsidR="00173E61" w:rsidRPr="006B6CA7" w14:paraId="417CB01D" w14:textId="77777777" w:rsidTr="003752C8">
        <w:trPr>
          <w:trHeight w:val="927"/>
          <w:tblHeader/>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D43487"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F01653"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9574F4"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B45F6C"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BDA792"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ED27743"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417" w:type="dxa"/>
            <w:gridSpan w:val="2"/>
            <w:tcBorders>
              <w:top w:val="single" w:sz="4" w:space="0" w:color="auto"/>
              <w:left w:val="nil"/>
              <w:bottom w:val="single" w:sz="4" w:space="0" w:color="auto"/>
              <w:right w:val="single" w:sz="4" w:space="0" w:color="auto"/>
            </w:tcBorders>
            <w:shd w:val="clear" w:color="auto" w:fill="BDD7EE"/>
            <w:vAlign w:val="center"/>
            <w:hideMark/>
          </w:tcPr>
          <w:p w14:paraId="7B361C67"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EC9E2A"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A932DC" w:rsidRPr="006B6CA7" w14:paraId="0632649A" w14:textId="77777777" w:rsidTr="003752C8">
        <w:trPr>
          <w:trHeight w:val="418"/>
          <w:tblHeader/>
          <w:jc w:val="center"/>
        </w:trPr>
        <w:tc>
          <w:tcPr>
            <w:tcW w:w="810" w:type="dxa"/>
            <w:vMerge/>
            <w:tcBorders>
              <w:top w:val="single" w:sz="4" w:space="0" w:color="auto"/>
              <w:left w:val="single" w:sz="4" w:space="0" w:color="auto"/>
              <w:bottom w:val="single" w:sz="4" w:space="0" w:color="auto"/>
              <w:right w:val="single" w:sz="4" w:space="0" w:color="auto"/>
            </w:tcBorders>
            <w:hideMark/>
          </w:tcPr>
          <w:p w14:paraId="677D0FDD"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auto"/>
              <w:right w:val="single" w:sz="4" w:space="0" w:color="auto"/>
            </w:tcBorders>
            <w:hideMark/>
          </w:tcPr>
          <w:p w14:paraId="43D68E7E"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auto"/>
              <w:right w:val="single" w:sz="4" w:space="0" w:color="auto"/>
            </w:tcBorders>
            <w:hideMark/>
          </w:tcPr>
          <w:p w14:paraId="19253F42"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098" w:type="dxa"/>
            <w:vMerge/>
            <w:tcBorders>
              <w:top w:val="single" w:sz="4" w:space="0" w:color="auto"/>
              <w:left w:val="single" w:sz="4" w:space="0" w:color="auto"/>
              <w:bottom w:val="single" w:sz="4" w:space="0" w:color="auto"/>
              <w:right w:val="single" w:sz="4" w:space="0" w:color="auto"/>
            </w:tcBorders>
            <w:hideMark/>
          </w:tcPr>
          <w:p w14:paraId="44F88564"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717" w:type="dxa"/>
            <w:vMerge/>
            <w:tcBorders>
              <w:top w:val="single" w:sz="4" w:space="0" w:color="auto"/>
              <w:left w:val="single" w:sz="4" w:space="0" w:color="auto"/>
              <w:bottom w:val="single" w:sz="4" w:space="0" w:color="auto"/>
              <w:right w:val="single" w:sz="4" w:space="0" w:color="auto"/>
            </w:tcBorders>
            <w:hideMark/>
          </w:tcPr>
          <w:p w14:paraId="0D2232EF"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vAlign w:val="center"/>
            <w:hideMark/>
          </w:tcPr>
          <w:p w14:paraId="7408B9FC"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vAlign w:val="center"/>
            <w:hideMark/>
          </w:tcPr>
          <w:p w14:paraId="0DD3FD79"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vAlign w:val="center"/>
            <w:hideMark/>
          </w:tcPr>
          <w:p w14:paraId="18AFC76D"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vAlign w:val="center"/>
            <w:hideMark/>
          </w:tcPr>
          <w:p w14:paraId="2A826A7B"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992" w:type="dxa"/>
            <w:tcBorders>
              <w:top w:val="nil"/>
              <w:left w:val="nil"/>
              <w:bottom w:val="single" w:sz="4" w:space="0" w:color="auto"/>
              <w:right w:val="single" w:sz="4" w:space="0" w:color="auto"/>
            </w:tcBorders>
            <w:shd w:val="clear" w:color="auto" w:fill="BDD7EE"/>
            <w:vAlign w:val="center"/>
            <w:hideMark/>
          </w:tcPr>
          <w:p w14:paraId="683BA7E7" w14:textId="77777777" w:rsidR="00733DCA" w:rsidRPr="006B6CA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395" w:type="dxa"/>
            <w:vMerge/>
            <w:tcBorders>
              <w:top w:val="single" w:sz="4" w:space="0" w:color="auto"/>
              <w:bottom w:val="single" w:sz="4" w:space="0" w:color="auto"/>
              <w:right w:val="single" w:sz="4" w:space="0" w:color="auto"/>
            </w:tcBorders>
            <w:hideMark/>
          </w:tcPr>
          <w:p w14:paraId="53A54419" w14:textId="77777777" w:rsidR="00733DCA" w:rsidRPr="006B6CA7" w:rsidRDefault="00733DCA" w:rsidP="0001477B">
            <w:pPr>
              <w:spacing w:after="0" w:line="276" w:lineRule="auto"/>
              <w:rPr>
                <w:rFonts w:ascii="Times New Roman" w:eastAsia="Times New Roman" w:hAnsi="Times New Roman" w:cs="Times New Roman"/>
                <w:b/>
                <w:noProof/>
                <w:lang w:val="en-GB" w:eastAsia="en-GB"/>
              </w:rPr>
            </w:pPr>
          </w:p>
        </w:tc>
      </w:tr>
      <w:tr w:rsidR="00173E61" w:rsidRPr="006B6CA7" w14:paraId="65D3FB19" w14:textId="77777777" w:rsidTr="003752C8">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564A228A" w14:textId="77777777" w:rsidR="00733DCA" w:rsidRPr="006B6CA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163</w:t>
            </w:r>
          </w:p>
        </w:tc>
        <w:tc>
          <w:tcPr>
            <w:tcW w:w="850" w:type="dxa"/>
            <w:tcBorders>
              <w:top w:val="single" w:sz="4" w:space="0" w:color="auto"/>
              <w:left w:val="nil"/>
              <w:bottom w:val="single" w:sz="4" w:space="0" w:color="auto"/>
              <w:right w:val="single" w:sz="4" w:space="0" w:color="auto"/>
            </w:tcBorders>
            <w:shd w:val="clear" w:color="auto" w:fill="C6EFCE"/>
            <w:noWrap/>
          </w:tcPr>
          <w:p w14:paraId="751BE39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R1</w:t>
            </w:r>
          </w:p>
        </w:tc>
        <w:tc>
          <w:tcPr>
            <w:tcW w:w="850" w:type="dxa"/>
            <w:tcBorders>
              <w:top w:val="single" w:sz="4" w:space="0" w:color="auto"/>
              <w:left w:val="nil"/>
              <w:bottom w:val="single" w:sz="4" w:space="0" w:color="auto"/>
              <w:right w:val="single" w:sz="4" w:space="0" w:color="auto"/>
            </w:tcBorders>
            <w:shd w:val="clear" w:color="auto" w:fill="C6EFCE"/>
            <w:noWrap/>
          </w:tcPr>
          <w:p w14:paraId="49F81C49"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8" w:type="dxa"/>
            <w:tcBorders>
              <w:top w:val="single" w:sz="4" w:space="0" w:color="auto"/>
              <w:left w:val="nil"/>
              <w:bottom w:val="single" w:sz="4" w:space="0" w:color="auto"/>
              <w:right w:val="single" w:sz="4" w:space="0" w:color="auto"/>
            </w:tcBorders>
            <w:shd w:val="clear" w:color="auto" w:fill="C6EFCE"/>
            <w:noWrap/>
          </w:tcPr>
          <w:p w14:paraId="4E61E7F9" w14:textId="77777777" w:rsidR="00733DCA" w:rsidRPr="006B6CA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Izmijenjeni zakonodavni okvir radi centralizacije sustava selekcije u državnoj upravi, kojim se utvrđuju potrebne kvalifikacije državnih službenika i omogućava suvremeni postupak odabira</w:t>
            </w:r>
          </w:p>
        </w:tc>
        <w:tc>
          <w:tcPr>
            <w:tcW w:w="1717" w:type="dxa"/>
            <w:tcBorders>
              <w:top w:val="single" w:sz="4" w:space="0" w:color="auto"/>
              <w:left w:val="nil"/>
              <w:bottom w:val="single" w:sz="4" w:space="0" w:color="auto"/>
              <w:right w:val="single" w:sz="4" w:space="0" w:color="auto"/>
            </w:tcBorders>
            <w:shd w:val="clear" w:color="auto" w:fill="C6EFCE"/>
            <w:noWrap/>
          </w:tcPr>
          <w:p w14:paraId="1D0D11ED" w14:textId="77777777" w:rsidR="00733DCA" w:rsidRPr="006B6CA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izmijenjenog zakonodavnog okvira za centralizirani sustav selekcije državnih službenika </w:t>
            </w:r>
          </w:p>
        </w:tc>
        <w:tc>
          <w:tcPr>
            <w:tcW w:w="1168" w:type="dxa"/>
            <w:tcBorders>
              <w:top w:val="nil"/>
              <w:left w:val="nil"/>
              <w:bottom w:val="single" w:sz="4" w:space="0" w:color="auto"/>
              <w:right w:val="single" w:sz="4" w:space="0" w:color="auto"/>
            </w:tcBorders>
            <w:shd w:val="clear" w:color="auto" w:fill="C6EFCE"/>
            <w:noWrap/>
          </w:tcPr>
          <w:p w14:paraId="19757C1B" w14:textId="77777777" w:rsidR="00733DCA" w:rsidRPr="006B6CA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4B26C477"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294BECF6"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0CE6A23"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92" w:type="dxa"/>
            <w:tcBorders>
              <w:top w:val="nil"/>
              <w:left w:val="nil"/>
              <w:bottom w:val="single" w:sz="4" w:space="0" w:color="auto"/>
              <w:right w:val="single" w:sz="4" w:space="0" w:color="auto"/>
            </w:tcBorders>
            <w:shd w:val="clear" w:color="auto" w:fill="C6EFCE"/>
            <w:noWrap/>
          </w:tcPr>
          <w:p w14:paraId="69CAB992"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395" w:type="dxa"/>
            <w:tcBorders>
              <w:top w:val="single" w:sz="4" w:space="0" w:color="auto"/>
              <w:left w:val="nil"/>
              <w:bottom w:val="single" w:sz="4" w:space="0" w:color="auto"/>
              <w:right w:val="single" w:sz="4" w:space="0" w:color="auto"/>
            </w:tcBorders>
            <w:shd w:val="clear" w:color="auto" w:fill="C6EFCE"/>
            <w:noWrap/>
          </w:tcPr>
          <w:p w14:paraId="213E15B8" w14:textId="77777777" w:rsidR="00733DCA" w:rsidRPr="006B6CA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Revidirano zakonodavstvo uključuje barem sljedeće mjere:</w:t>
            </w:r>
            <w:r>
              <w:rPr>
                <w:rFonts w:ascii="Calibri" w:hAnsi="Calibri"/>
                <w:noProof/>
                <w:color w:val="000000"/>
                <w:sz w:val="20"/>
              </w:rPr>
              <w:br/>
              <w:t>– utvrđivanje profila poslova specifičnih za nacionalnu upravu kako bi se privukle potrebne kompetencije i vještine;</w:t>
            </w:r>
            <w:r>
              <w:rPr>
                <w:rFonts w:ascii="Calibri" w:hAnsi="Calibri"/>
                <w:noProof/>
                <w:color w:val="000000"/>
                <w:sz w:val="20"/>
              </w:rPr>
              <w:br/>
              <w:t>– stvaranje jedinstvene platforme za zapošljavanje kako bi se na jednoj platformi centralizirali postupci zapošljavanja za sve nacionalne uprave;</w:t>
            </w:r>
            <w:r>
              <w:rPr>
                <w:rFonts w:ascii="Calibri" w:hAnsi="Calibri"/>
                <w:noProof/>
                <w:color w:val="000000"/>
                <w:sz w:val="20"/>
              </w:rPr>
              <w:br/>
              <w:t xml:space="preserve">– prilagoditi postupak zapošljavanja za: i. prelazak sa sustava koji se temelji isključivo na znanju na sustav koji se prvenstveno temelji na kompetencijama i odgovarajućim vještinama; ii. ocjenu kompetencija za rad državnih službenika; iii. razlikovanje zapošljavanja na početnoj razini, koja bi se trebala temeljiti isključivo na kompetencijama, i zapošljavanja specijaliziranih profila, koje bi trebalo kombinirati kompetencije s relevantnim radnim iskustvom i dovesti do pristupa karijerama na višoj razini; </w:t>
            </w:r>
            <w:r>
              <w:rPr>
                <w:rFonts w:ascii="Calibri" w:hAnsi="Calibri"/>
                <w:noProof/>
                <w:color w:val="000000"/>
                <w:sz w:val="20"/>
              </w:rPr>
              <w:br/>
              <w:t>– jačati rad na postizanju rodne ravnoteže i jamčiti rodnu jednakost pri zapošljavanju, kao i promaknuću žena na više rukovodeće položaje.</w:t>
            </w:r>
          </w:p>
        </w:tc>
      </w:tr>
      <w:tr w:rsidR="00173E61" w:rsidRPr="006B6CA7" w14:paraId="2897E29D" w14:textId="77777777" w:rsidTr="00C33FB0">
        <w:trPr>
          <w:trHeight w:val="283"/>
          <w:jc w:val="center"/>
        </w:trPr>
        <w:tc>
          <w:tcPr>
            <w:tcW w:w="810" w:type="dxa"/>
            <w:tcBorders>
              <w:top w:val="nil"/>
              <w:left w:val="single" w:sz="4" w:space="0" w:color="auto"/>
              <w:bottom w:val="single" w:sz="4" w:space="0" w:color="auto"/>
              <w:right w:val="single" w:sz="4" w:space="0" w:color="auto"/>
            </w:tcBorders>
            <w:shd w:val="clear" w:color="auto" w:fill="C6EFCE"/>
            <w:noWrap/>
          </w:tcPr>
          <w:p w14:paraId="1054E452"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164</w:t>
            </w:r>
          </w:p>
        </w:tc>
        <w:tc>
          <w:tcPr>
            <w:tcW w:w="850" w:type="dxa"/>
            <w:tcBorders>
              <w:top w:val="nil"/>
              <w:left w:val="nil"/>
              <w:bottom w:val="single" w:sz="4" w:space="0" w:color="auto"/>
              <w:right w:val="single" w:sz="4" w:space="0" w:color="auto"/>
            </w:tcBorders>
            <w:shd w:val="clear" w:color="auto" w:fill="C6EFCE"/>
            <w:noWrap/>
          </w:tcPr>
          <w:p w14:paraId="23C7E965"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R1-I1</w:t>
            </w:r>
          </w:p>
        </w:tc>
        <w:tc>
          <w:tcPr>
            <w:tcW w:w="850" w:type="dxa"/>
            <w:tcBorders>
              <w:top w:val="nil"/>
              <w:left w:val="nil"/>
              <w:bottom w:val="single" w:sz="4" w:space="0" w:color="auto"/>
              <w:right w:val="single" w:sz="4" w:space="0" w:color="auto"/>
            </w:tcBorders>
            <w:shd w:val="clear" w:color="auto" w:fill="C6EFCE"/>
            <w:noWrap/>
          </w:tcPr>
          <w:p w14:paraId="475185B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8" w:type="dxa"/>
            <w:tcBorders>
              <w:top w:val="nil"/>
              <w:left w:val="nil"/>
              <w:bottom w:val="single" w:sz="4" w:space="0" w:color="auto"/>
              <w:right w:val="single" w:sz="4" w:space="0" w:color="auto"/>
            </w:tcBorders>
            <w:shd w:val="clear" w:color="auto" w:fill="C6EFCE"/>
            <w:noWrap/>
          </w:tcPr>
          <w:p w14:paraId="1D84400F"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Ukupno 100 % novih, stalno zaposlenih državnih službenika u državnim tijelima zapošljava se isključivo kroz novi, centralizirani, digitalizirani i standardizirani sustav odabira i zapošljavanja, dostupan putem novorazvijene IT platforme</w:t>
            </w:r>
          </w:p>
        </w:tc>
        <w:tc>
          <w:tcPr>
            <w:tcW w:w="1717" w:type="dxa"/>
            <w:tcBorders>
              <w:top w:val="nil"/>
              <w:left w:val="nil"/>
              <w:bottom w:val="single" w:sz="4" w:space="0" w:color="auto"/>
              <w:right w:val="single" w:sz="4" w:space="0" w:color="auto"/>
            </w:tcBorders>
            <w:shd w:val="clear" w:color="auto" w:fill="C6EFCE"/>
            <w:noWrap/>
          </w:tcPr>
          <w:p w14:paraId="759A5337"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nil"/>
              <w:left w:val="nil"/>
              <w:bottom w:val="single" w:sz="4" w:space="0" w:color="auto"/>
              <w:right w:val="single" w:sz="4" w:space="0" w:color="auto"/>
            </w:tcBorders>
            <w:shd w:val="clear" w:color="auto" w:fill="C6EFCE"/>
            <w:noWrap/>
          </w:tcPr>
          <w:p w14:paraId="3C77680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nil"/>
              <w:left w:val="nil"/>
              <w:bottom w:val="single" w:sz="4" w:space="0" w:color="auto"/>
              <w:right w:val="single" w:sz="4" w:space="0" w:color="auto"/>
            </w:tcBorders>
            <w:shd w:val="clear" w:color="auto" w:fill="C6EFCE"/>
            <w:noWrap/>
          </w:tcPr>
          <w:p w14:paraId="4BDEC8E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3CCE497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425" w:type="dxa"/>
            <w:tcBorders>
              <w:top w:val="nil"/>
              <w:left w:val="nil"/>
              <w:bottom w:val="single" w:sz="4" w:space="0" w:color="auto"/>
              <w:right w:val="single" w:sz="4" w:space="0" w:color="auto"/>
            </w:tcBorders>
            <w:shd w:val="clear" w:color="auto" w:fill="C6EFCE"/>
            <w:noWrap/>
          </w:tcPr>
          <w:p w14:paraId="50E63F1D"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92" w:type="dxa"/>
            <w:tcBorders>
              <w:top w:val="nil"/>
              <w:left w:val="nil"/>
              <w:bottom w:val="single" w:sz="4" w:space="0" w:color="auto"/>
              <w:right w:val="single" w:sz="4" w:space="0" w:color="auto"/>
            </w:tcBorders>
            <w:shd w:val="clear" w:color="auto" w:fill="C6EFCE"/>
            <w:noWrap/>
          </w:tcPr>
          <w:p w14:paraId="2C101B4C"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395" w:type="dxa"/>
            <w:tcBorders>
              <w:top w:val="nil"/>
              <w:left w:val="nil"/>
              <w:bottom w:val="single" w:sz="4" w:space="0" w:color="auto"/>
              <w:right w:val="single" w:sz="4" w:space="0" w:color="auto"/>
            </w:tcBorders>
            <w:shd w:val="clear" w:color="auto" w:fill="C6EFCE"/>
            <w:noWrap/>
          </w:tcPr>
          <w:p w14:paraId="00F3EB56"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Uvest će se centralizirani sustav selekcije državnih službenika koji će se provoditi na temelju prethodno utvrđenih planova prijema zasnovanih na analizama radne opterećenosti i stvarnim potrebama državnih tijela za zapošljavanjem određenog profila službenika. Sustavom će biti predviđeno da se u postupku zapošljavanja provodi internetsko testiranje kandidata te tako osigura transparentniji i objektivniji odabir kandidata.  </w:t>
            </w:r>
          </w:p>
        </w:tc>
      </w:tr>
      <w:tr w:rsidR="00173E61" w:rsidRPr="006B6CA7" w14:paraId="07BEA9D1" w14:textId="77777777" w:rsidTr="00C33FB0">
        <w:trPr>
          <w:trHeight w:val="283"/>
          <w:jc w:val="center"/>
        </w:trPr>
        <w:tc>
          <w:tcPr>
            <w:tcW w:w="810" w:type="dxa"/>
            <w:tcBorders>
              <w:top w:val="nil"/>
              <w:left w:val="single" w:sz="4" w:space="0" w:color="auto"/>
              <w:bottom w:val="single" w:sz="4" w:space="0" w:color="auto"/>
              <w:right w:val="single" w:sz="4" w:space="0" w:color="auto"/>
            </w:tcBorders>
            <w:shd w:val="clear" w:color="auto" w:fill="C6EFCE"/>
            <w:noWrap/>
          </w:tcPr>
          <w:p w14:paraId="65DD667E" w14:textId="77777777" w:rsidR="00733DCA" w:rsidRPr="006B6CA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165</w:t>
            </w:r>
          </w:p>
        </w:tc>
        <w:tc>
          <w:tcPr>
            <w:tcW w:w="850" w:type="dxa"/>
            <w:tcBorders>
              <w:top w:val="nil"/>
              <w:left w:val="nil"/>
              <w:bottom w:val="single" w:sz="4" w:space="0" w:color="auto"/>
              <w:right w:val="single" w:sz="4" w:space="0" w:color="auto"/>
            </w:tcBorders>
            <w:shd w:val="clear" w:color="auto" w:fill="C6EFCE"/>
            <w:noWrap/>
          </w:tcPr>
          <w:p w14:paraId="79B1E3B9"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R1-I2</w:t>
            </w:r>
          </w:p>
        </w:tc>
        <w:tc>
          <w:tcPr>
            <w:tcW w:w="850" w:type="dxa"/>
            <w:tcBorders>
              <w:top w:val="nil"/>
              <w:left w:val="nil"/>
              <w:bottom w:val="single" w:sz="4" w:space="0" w:color="auto"/>
              <w:right w:val="single" w:sz="4" w:space="0" w:color="auto"/>
            </w:tcBorders>
            <w:shd w:val="clear" w:color="auto" w:fill="C6EFCE"/>
            <w:noWrap/>
          </w:tcPr>
          <w:p w14:paraId="387A209A"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8" w:type="dxa"/>
            <w:tcBorders>
              <w:top w:val="nil"/>
              <w:left w:val="nil"/>
              <w:bottom w:val="single" w:sz="4" w:space="0" w:color="auto"/>
              <w:right w:val="single" w:sz="4" w:space="0" w:color="auto"/>
            </w:tcBorders>
            <w:shd w:val="clear" w:color="auto" w:fill="C6EFCE"/>
            <w:noWrap/>
          </w:tcPr>
          <w:p w14:paraId="4041791B" w14:textId="77777777" w:rsidR="00733DCA" w:rsidRPr="006B6CA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 xml:space="preserve">Ukupno 100 % službenika svih javnih institucija koji imaju obvezu polaganja državnog ispita digitalno polažu državni ispit na temelju novog modela ispita.  </w:t>
            </w:r>
          </w:p>
        </w:tc>
        <w:tc>
          <w:tcPr>
            <w:tcW w:w="1717" w:type="dxa"/>
            <w:tcBorders>
              <w:top w:val="nil"/>
              <w:left w:val="nil"/>
              <w:bottom w:val="single" w:sz="4" w:space="0" w:color="auto"/>
              <w:right w:val="single" w:sz="4" w:space="0" w:color="auto"/>
            </w:tcBorders>
            <w:shd w:val="clear" w:color="auto" w:fill="C6EFCE"/>
            <w:noWrap/>
          </w:tcPr>
          <w:p w14:paraId="2ACFCD63" w14:textId="77777777" w:rsidR="00733DCA" w:rsidRPr="006B6CA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nil"/>
              <w:left w:val="nil"/>
              <w:bottom w:val="single" w:sz="4" w:space="0" w:color="auto"/>
              <w:right w:val="single" w:sz="4" w:space="0" w:color="auto"/>
            </w:tcBorders>
            <w:shd w:val="clear" w:color="auto" w:fill="C6EFCE"/>
            <w:noWrap/>
          </w:tcPr>
          <w:p w14:paraId="01071ADF" w14:textId="77777777" w:rsidR="00733DCA" w:rsidRPr="006B6CA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nil"/>
              <w:left w:val="nil"/>
              <w:bottom w:val="single" w:sz="4" w:space="0" w:color="auto"/>
              <w:right w:val="single" w:sz="4" w:space="0" w:color="auto"/>
            </w:tcBorders>
            <w:shd w:val="clear" w:color="auto" w:fill="C6EFCE"/>
            <w:noWrap/>
          </w:tcPr>
          <w:p w14:paraId="089E9091"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461CBCF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425" w:type="dxa"/>
            <w:tcBorders>
              <w:top w:val="nil"/>
              <w:left w:val="nil"/>
              <w:bottom w:val="single" w:sz="4" w:space="0" w:color="auto"/>
              <w:right w:val="single" w:sz="4" w:space="0" w:color="auto"/>
            </w:tcBorders>
            <w:shd w:val="clear" w:color="auto" w:fill="C6EFCE"/>
            <w:noWrap/>
          </w:tcPr>
          <w:p w14:paraId="5789BD69"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92" w:type="dxa"/>
            <w:tcBorders>
              <w:top w:val="nil"/>
              <w:left w:val="nil"/>
              <w:bottom w:val="single" w:sz="4" w:space="0" w:color="auto"/>
              <w:right w:val="single" w:sz="4" w:space="0" w:color="auto"/>
            </w:tcBorders>
            <w:shd w:val="clear" w:color="auto" w:fill="C6EFCE"/>
            <w:noWrap/>
          </w:tcPr>
          <w:p w14:paraId="5A34425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395" w:type="dxa"/>
            <w:tcBorders>
              <w:top w:val="nil"/>
              <w:left w:val="nil"/>
              <w:bottom w:val="single" w:sz="4" w:space="0" w:color="auto"/>
              <w:right w:val="single" w:sz="4" w:space="0" w:color="auto"/>
            </w:tcBorders>
            <w:shd w:val="clear" w:color="auto" w:fill="C6EFCE"/>
            <w:noWrap/>
          </w:tcPr>
          <w:p w14:paraId="21E27567" w14:textId="77777777" w:rsidR="00733DCA" w:rsidRPr="006B6CA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Ukupno 100 % službenika svih javnih institucija koji imaju obvezu polaganja državnog ispita polažu državni ispit na temelju potpuno digitaliziranog modela. Postupak polaganja državnog ispita digitalizirat će se radi povećanja njegove transparentnosti, pristupačnosti (više lokacija u zemlji) i učinkovitosti.</w:t>
            </w:r>
          </w:p>
        </w:tc>
      </w:tr>
      <w:tr w:rsidR="00173E61" w:rsidRPr="006B6CA7" w14:paraId="05F94E28" w14:textId="77777777" w:rsidTr="00C33FB0">
        <w:trPr>
          <w:trHeight w:val="283"/>
          <w:jc w:val="center"/>
        </w:trPr>
        <w:tc>
          <w:tcPr>
            <w:tcW w:w="810" w:type="dxa"/>
            <w:tcBorders>
              <w:top w:val="nil"/>
              <w:left w:val="single" w:sz="4" w:space="0" w:color="auto"/>
              <w:bottom w:val="single" w:sz="4" w:space="0" w:color="auto"/>
              <w:right w:val="single" w:sz="4" w:space="0" w:color="auto"/>
            </w:tcBorders>
            <w:shd w:val="clear" w:color="auto" w:fill="C6EFCE"/>
            <w:noWrap/>
          </w:tcPr>
          <w:p w14:paraId="38856FA6"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166</w:t>
            </w:r>
          </w:p>
        </w:tc>
        <w:tc>
          <w:tcPr>
            <w:tcW w:w="850" w:type="dxa"/>
            <w:tcBorders>
              <w:top w:val="nil"/>
              <w:left w:val="nil"/>
              <w:bottom w:val="single" w:sz="4" w:space="0" w:color="auto"/>
              <w:right w:val="single" w:sz="4" w:space="0" w:color="auto"/>
            </w:tcBorders>
            <w:shd w:val="clear" w:color="auto" w:fill="C6EFCE"/>
            <w:noWrap/>
          </w:tcPr>
          <w:p w14:paraId="7218FA09"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R2</w:t>
            </w:r>
          </w:p>
        </w:tc>
        <w:tc>
          <w:tcPr>
            <w:tcW w:w="850" w:type="dxa"/>
            <w:tcBorders>
              <w:top w:val="nil"/>
              <w:left w:val="nil"/>
              <w:bottom w:val="single" w:sz="4" w:space="0" w:color="auto"/>
              <w:right w:val="single" w:sz="4" w:space="0" w:color="auto"/>
            </w:tcBorders>
            <w:shd w:val="clear" w:color="auto" w:fill="C6EFCE"/>
            <w:noWrap/>
          </w:tcPr>
          <w:p w14:paraId="433D1717"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8" w:type="dxa"/>
            <w:tcBorders>
              <w:top w:val="nil"/>
              <w:left w:val="nil"/>
              <w:bottom w:val="single" w:sz="4" w:space="0" w:color="auto"/>
              <w:right w:val="single" w:sz="4" w:space="0" w:color="auto"/>
            </w:tcBorders>
            <w:shd w:val="clear" w:color="auto" w:fill="C6EFCE"/>
            <w:noWrap/>
          </w:tcPr>
          <w:p w14:paraId="19ABB5E2"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Stupanje na snagu Zakona o plaćama u državnoj upravi i javnim službama te propisa za mobilnost</w:t>
            </w:r>
          </w:p>
        </w:tc>
        <w:tc>
          <w:tcPr>
            <w:tcW w:w="1717" w:type="dxa"/>
            <w:tcBorders>
              <w:top w:val="nil"/>
              <w:left w:val="nil"/>
              <w:bottom w:val="single" w:sz="4" w:space="0" w:color="auto"/>
              <w:right w:val="single" w:sz="4" w:space="0" w:color="auto"/>
            </w:tcBorders>
            <w:shd w:val="clear" w:color="auto" w:fill="C6EFCE"/>
            <w:noWrap/>
          </w:tcPr>
          <w:p w14:paraId="6B6D617C"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Zakona o plaćama u državnoj upravi i javnim službama te propisa za vertikalnu i horizontalnu mobilnost službenika u javnoj upravi</w:t>
            </w:r>
          </w:p>
        </w:tc>
        <w:tc>
          <w:tcPr>
            <w:tcW w:w="1168" w:type="dxa"/>
            <w:tcBorders>
              <w:top w:val="nil"/>
              <w:left w:val="nil"/>
              <w:bottom w:val="single" w:sz="4" w:space="0" w:color="auto"/>
              <w:right w:val="single" w:sz="4" w:space="0" w:color="auto"/>
            </w:tcBorders>
            <w:shd w:val="clear" w:color="auto" w:fill="C6EFCE"/>
            <w:noWrap/>
          </w:tcPr>
          <w:p w14:paraId="5E41CFB3"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1DC9F765"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6824B0B6"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29C19D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92" w:type="dxa"/>
            <w:tcBorders>
              <w:top w:val="nil"/>
              <w:left w:val="nil"/>
              <w:bottom w:val="single" w:sz="4" w:space="0" w:color="auto"/>
              <w:right w:val="single" w:sz="4" w:space="0" w:color="auto"/>
            </w:tcBorders>
            <w:shd w:val="clear" w:color="auto" w:fill="C6EFCE"/>
            <w:noWrap/>
          </w:tcPr>
          <w:p w14:paraId="19986A9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395" w:type="dxa"/>
            <w:tcBorders>
              <w:top w:val="nil"/>
              <w:left w:val="nil"/>
              <w:bottom w:val="single" w:sz="4" w:space="0" w:color="auto"/>
              <w:right w:val="single" w:sz="4" w:space="0" w:color="auto"/>
            </w:tcBorders>
            <w:shd w:val="clear" w:color="auto" w:fill="C6EFCE"/>
            <w:noWrap/>
          </w:tcPr>
          <w:p w14:paraId="073E8ECF"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Novim propisom o plaćama u državnoj upravi i javnim službama omogućit će se pravedna i transparentna procjena radnih mjesta u skladu s utvrđenim kriterijima te će se uskladiti razredi i bonusi u javnoj upravi, utvrditi koeficijenti složenosti poslova uz savjetovanje sa socijalnim partnerima te uvesti sustav nagrađivanja koji se temelji na radnom učinku. Uvest će se novi sustav plaća, a novi Zakon o plaćama u državnoj službi i novi Zakon o plaćama u javnim službama uključivat će odredbe o pravednom i transparentnom vrednovanju radnih mjesta u skladu s utvrđenim kriterijima, osiguravanju usklađenosti plaća u državnoj službi i javnim službama i uvođenju sustava nagrađivanja prema radnom učinku.</w:t>
            </w:r>
            <w:r>
              <w:rPr>
                <w:rFonts w:ascii="Calibri" w:hAnsi="Calibri"/>
                <w:noProof/>
                <w:color w:val="000000"/>
                <w:sz w:val="20"/>
              </w:rPr>
              <w:br/>
            </w:r>
            <w:r>
              <w:rPr>
                <w:rFonts w:ascii="Calibri" w:hAnsi="Calibri"/>
                <w:noProof/>
                <w:color w:val="000000"/>
                <w:sz w:val="20"/>
              </w:rPr>
              <w:br/>
              <w:t xml:space="preserve">Izmijenit će se zakonodavni okvir (Zakon o državnim službenicima i pripadajući podzakonski akti) za vertikalnu i horizontalnu mobilnost. To uključuje plan za karijeru koji omogućuje pristup srednjim i višim rukovodećim položajima te jačanje veze između napredovanja u karijeri i procjene radnog učinka. Osim toga, postavit će se preduvjeti za učinkovito tržište rada u javnoj upravi, uključujući (a) stvaranje transparentnog i ujednačenog sustava oglašavanja za sva slobodna radna mjesta u javnoj upravi (b) mogućnost prijave za bilo koji posao bilo gdje u javnoj upravi. </w:t>
            </w:r>
          </w:p>
        </w:tc>
      </w:tr>
      <w:tr w:rsidR="00173E61" w:rsidRPr="006B6CA7" w14:paraId="7E6B3AF4" w14:textId="77777777" w:rsidTr="00C33FB0">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4837F56D"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167</w:t>
            </w:r>
          </w:p>
        </w:tc>
        <w:tc>
          <w:tcPr>
            <w:tcW w:w="850" w:type="dxa"/>
            <w:tcBorders>
              <w:top w:val="single" w:sz="4" w:space="0" w:color="auto"/>
              <w:left w:val="nil"/>
              <w:bottom w:val="single" w:sz="4" w:space="0" w:color="auto"/>
              <w:right w:val="single" w:sz="4" w:space="0" w:color="auto"/>
            </w:tcBorders>
            <w:shd w:val="clear" w:color="auto" w:fill="C6EFCE"/>
            <w:noWrap/>
          </w:tcPr>
          <w:p w14:paraId="25CF2679"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R2-I1</w:t>
            </w:r>
          </w:p>
        </w:tc>
        <w:tc>
          <w:tcPr>
            <w:tcW w:w="850" w:type="dxa"/>
            <w:tcBorders>
              <w:top w:val="single" w:sz="4" w:space="0" w:color="auto"/>
              <w:left w:val="nil"/>
              <w:bottom w:val="single" w:sz="4" w:space="0" w:color="auto"/>
              <w:right w:val="single" w:sz="4" w:space="0" w:color="auto"/>
            </w:tcBorders>
            <w:shd w:val="clear" w:color="auto" w:fill="C6EFCE"/>
            <w:noWrap/>
          </w:tcPr>
          <w:p w14:paraId="1703BB90"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8" w:type="dxa"/>
            <w:tcBorders>
              <w:top w:val="single" w:sz="4" w:space="0" w:color="auto"/>
              <w:left w:val="nil"/>
              <w:bottom w:val="single" w:sz="4" w:space="0" w:color="auto"/>
              <w:right w:val="single" w:sz="4" w:space="0" w:color="auto"/>
            </w:tcBorders>
            <w:shd w:val="clear" w:color="auto" w:fill="C6EFCE"/>
            <w:noWrap/>
          </w:tcPr>
          <w:p w14:paraId="053F415B"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 za upravljanje ljudskim resursima, Registar zaposlenih u javnom sektoru (REGZAP) i Sustav za centralizirani obračun plaća (COP) dopunjuju se s devet novih funkcionalnosti radi digitalizacije svih povezanih postupaka te posljedičnog pojednostavnjenja i ubrzanja izmjene sustava plaća</w:t>
            </w:r>
          </w:p>
        </w:tc>
        <w:tc>
          <w:tcPr>
            <w:tcW w:w="1717" w:type="dxa"/>
            <w:tcBorders>
              <w:top w:val="single" w:sz="4" w:space="0" w:color="auto"/>
              <w:left w:val="nil"/>
              <w:bottom w:val="single" w:sz="4" w:space="0" w:color="auto"/>
              <w:right w:val="single" w:sz="4" w:space="0" w:color="auto"/>
            </w:tcBorders>
            <w:shd w:val="clear" w:color="auto" w:fill="C6EFCE"/>
            <w:noWrap/>
          </w:tcPr>
          <w:p w14:paraId="66BB02D1"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2F68060F"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44BD4A23"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2CD1EEA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w:t>
            </w:r>
          </w:p>
        </w:tc>
        <w:tc>
          <w:tcPr>
            <w:tcW w:w="425" w:type="dxa"/>
            <w:tcBorders>
              <w:top w:val="single" w:sz="4" w:space="0" w:color="auto"/>
              <w:left w:val="nil"/>
              <w:bottom w:val="single" w:sz="4" w:space="0" w:color="auto"/>
              <w:right w:val="single" w:sz="4" w:space="0" w:color="auto"/>
            </w:tcBorders>
            <w:shd w:val="clear" w:color="auto" w:fill="C6EFCE"/>
            <w:noWrap/>
          </w:tcPr>
          <w:p w14:paraId="0CBCDFD3"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92" w:type="dxa"/>
            <w:tcBorders>
              <w:top w:val="single" w:sz="4" w:space="0" w:color="auto"/>
              <w:left w:val="nil"/>
              <w:bottom w:val="single" w:sz="4" w:space="0" w:color="auto"/>
              <w:right w:val="single" w:sz="4" w:space="0" w:color="auto"/>
            </w:tcBorders>
            <w:shd w:val="clear" w:color="auto" w:fill="C6EFCE"/>
            <w:noWrap/>
          </w:tcPr>
          <w:p w14:paraId="44E357C0"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395" w:type="dxa"/>
            <w:tcBorders>
              <w:top w:val="single" w:sz="4" w:space="0" w:color="auto"/>
              <w:left w:val="nil"/>
              <w:bottom w:val="single" w:sz="4" w:space="0" w:color="auto"/>
              <w:right w:val="single" w:sz="4" w:space="0" w:color="auto"/>
            </w:tcBorders>
            <w:shd w:val="clear" w:color="auto" w:fill="C6EFCE"/>
            <w:noWrap/>
          </w:tcPr>
          <w:p w14:paraId="60AA4022"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Razvit će se i implementirati devet novih funkcionalnosti u REGZAP-COP-u (izrada akata o pravima i obvezama službenika, ocjenjivanje, evidencija rada, planiranje i razvoj karijere, interna burza rada te personalizirani pristup sustavu od strane službenika, službena putovanja) radi provedbe predloženih izmjena u sustavu plaća.</w:t>
            </w:r>
          </w:p>
        </w:tc>
      </w:tr>
      <w:tr w:rsidR="00173E61" w:rsidRPr="006B6CA7" w14:paraId="30EE6466" w14:textId="77777777" w:rsidTr="00C33FB0">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72C1A457"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168</w:t>
            </w:r>
          </w:p>
        </w:tc>
        <w:tc>
          <w:tcPr>
            <w:tcW w:w="850" w:type="dxa"/>
            <w:tcBorders>
              <w:top w:val="single" w:sz="4" w:space="0" w:color="auto"/>
              <w:left w:val="nil"/>
              <w:bottom w:val="single" w:sz="4" w:space="0" w:color="auto"/>
              <w:right w:val="single" w:sz="4" w:space="0" w:color="auto"/>
            </w:tcBorders>
            <w:shd w:val="clear" w:color="auto" w:fill="C6EFCE"/>
            <w:noWrap/>
          </w:tcPr>
          <w:p w14:paraId="09CA87A2"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R2-I2</w:t>
            </w:r>
          </w:p>
        </w:tc>
        <w:tc>
          <w:tcPr>
            <w:tcW w:w="850" w:type="dxa"/>
            <w:tcBorders>
              <w:top w:val="single" w:sz="4" w:space="0" w:color="auto"/>
              <w:left w:val="nil"/>
              <w:bottom w:val="single" w:sz="4" w:space="0" w:color="auto"/>
              <w:right w:val="single" w:sz="4" w:space="0" w:color="auto"/>
            </w:tcBorders>
            <w:shd w:val="clear" w:color="auto" w:fill="C6EFCE"/>
            <w:noWrap/>
          </w:tcPr>
          <w:p w14:paraId="39C2063A"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8" w:type="dxa"/>
            <w:tcBorders>
              <w:top w:val="single" w:sz="4" w:space="0" w:color="auto"/>
              <w:left w:val="nil"/>
              <w:bottom w:val="single" w:sz="4" w:space="0" w:color="auto"/>
              <w:right w:val="single" w:sz="4" w:space="0" w:color="auto"/>
            </w:tcBorders>
            <w:shd w:val="clear" w:color="auto" w:fill="C6EFCE"/>
            <w:noWrap/>
          </w:tcPr>
          <w:p w14:paraId="6375B7A2"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Najmanje 20 % državnih službenika primjenjuje pametni model rada </w:t>
            </w:r>
          </w:p>
        </w:tc>
        <w:tc>
          <w:tcPr>
            <w:tcW w:w="1717" w:type="dxa"/>
            <w:tcBorders>
              <w:top w:val="single" w:sz="4" w:space="0" w:color="auto"/>
              <w:left w:val="nil"/>
              <w:bottom w:val="single" w:sz="4" w:space="0" w:color="auto"/>
              <w:right w:val="single" w:sz="4" w:space="0" w:color="auto"/>
            </w:tcBorders>
            <w:shd w:val="clear" w:color="auto" w:fill="C6EFCE"/>
            <w:noWrap/>
          </w:tcPr>
          <w:p w14:paraId="3612B684"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06F0B8A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5BE98CB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29C7B6A6"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w:t>
            </w:r>
          </w:p>
        </w:tc>
        <w:tc>
          <w:tcPr>
            <w:tcW w:w="425" w:type="dxa"/>
            <w:tcBorders>
              <w:top w:val="single" w:sz="4" w:space="0" w:color="auto"/>
              <w:left w:val="nil"/>
              <w:bottom w:val="single" w:sz="4" w:space="0" w:color="auto"/>
              <w:right w:val="single" w:sz="4" w:space="0" w:color="auto"/>
            </w:tcBorders>
            <w:shd w:val="clear" w:color="auto" w:fill="C6EFCE"/>
            <w:noWrap/>
          </w:tcPr>
          <w:p w14:paraId="6DB6CF4D"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992" w:type="dxa"/>
            <w:tcBorders>
              <w:top w:val="single" w:sz="4" w:space="0" w:color="auto"/>
              <w:left w:val="nil"/>
              <w:bottom w:val="single" w:sz="4" w:space="0" w:color="auto"/>
              <w:right w:val="single" w:sz="4" w:space="0" w:color="auto"/>
            </w:tcBorders>
            <w:shd w:val="clear" w:color="auto" w:fill="C6EFCE"/>
            <w:noWrap/>
          </w:tcPr>
          <w:p w14:paraId="193BA460"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395" w:type="dxa"/>
            <w:tcBorders>
              <w:top w:val="single" w:sz="4" w:space="0" w:color="auto"/>
              <w:left w:val="nil"/>
              <w:bottom w:val="single" w:sz="4" w:space="0" w:color="auto"/>
              <w:right w:val="single" w:sz="4" w:space="0" w:color="auto"/>
            </w:tcBorders>
            <w:shd w:val="clear" w:color="auto" w:fill="C6EFCE"/>
            <w:noWrap/>
          </w:tcPr>
          <w:p w14:paraId="201DC3D4"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20 % državnih službenika radi prema pametnom modelu rada, koji omogućava rad na daljinu radi pružanja kontinuirane i kvalitetne javne usluge dostupne svima te povećanja motivacije službenika.  </w:t>
            </w:r>
          </w:p>
        </w:tc>
      </w:tr>
      <w:tr w:rsidR="00173E61" w:rsidRPr="006B6CA7" w14:paraId="3797A9F0" w14:textId="77777777" w:rsidTr="00C33FB0">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448E625D"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169</w:t>
            </w:r>
          </w:p>
        </w:tc>
        <w:tc>
          <w:tcPr>
            <w:tcW w:w="850" w:type="dxa"/>
            <w:tcBorders>
              <w:top w:val="single" w:sz="4" w:space="0" w:color="auto"/>
              <w:left w:val="nil"/>
              <w:bottom w:val="single" w:sz="4" w:space="0" w:color="auto"/>
              <w:right w:val="single" w:sz="4" w:space="0" w:color="auto"/>
            </w:tcBorders>
            <w:shd w:val="clear" w:color="auto" w:fill="C6EFCE"/>
            <w:noWrap/>
          </w:tcPr>
          <w:p w14:paraId="2560644D"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R2-I2</w:t>
            </w:r>
          </w:p>
        </w:tc>
        <w:tc>
          <w:tcPr>
            <w:tcW w:w="850" w:type="dxa"/>
            <w:tcBorders>
              <w:top w:val="single" w:sz="4" w:space="0" w:color="auto"/>
              <w:left w:val="nil"/>
              <w:bottom w:val="single" w:sz="4" w:space="0" w:color="auto"/>
              <w:right w:val="single" w:sz="4" w:space="0" w:color="auto"/>
            </w:tcBorders>
            <w:shd w:val="clear" w:color="auto" w:fill="C6EFCE"/>
            <w:noWrap/>
          </w:tcPr>
          <w:p w14:paraId="7DF4A1A1"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8" w:type="dxa"/>
            <w:tcBorders>
              <w:top w:val="single" w:sz="4" w:space="0" w:color="auto"/>
              <w:left w:val="nil"/>
              <w:bottom w:val="single" w:sz="4" w:space="0" w:color="auto"/>
              <w:right w:val="single" w:sz="4" w:space="0" w:color="auto"/>
            </w:tcBorders>
            <w:shd w:val="clear" w:color="auto" w:fill="C6EFCE"/>
            <w:noWrap/>
          </w:tcPr>
          <w:p w14:paraId="2CE99E84"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Najmanje 60 % državnih službenika educirano je za primjenu pametnog modela rada  </w:t>
            </w:r>
          </w:p>
        </w:tc>
        <w:tc>
          <w:tcPr>
            <w:tcW w:w="1717" w:type="dxa"/>
            <w:tcBorders>
              <w:top w:val="single" w:sz="4" w:space="0" w:color="auto"/>
              <w:left w:val="nil"/>
              <w:bottom w:val="single" w:sz="4" w:space="0" w:color="auto"/>
              <w:right w:val="single" w:sz="4" w:space="0" w:color="auto"/>
            </w:tcBorders>
            <w:shd w:val="clear" w:color="auto" w:fill="C6EFCE"/>
            <w:noWrap/>
          </w:tcPr>
          <w:p w14:paraId="1972FFB4"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6BC85662"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7FA6DE11"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3FA224B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60</w:t>
            </w:r>
          </w:p>
        </w:tc>
        <w:tc>
          <w:tcPr>
            <w:tcW w:w="425" w:type="dxa"/>
            <w:tcBorders>
              <w:top w:val="single" w:sz="4" w:space="0" w:color="auto"/>
              <w:left w:val="nil"/>
              <w:bottom w:val="single" w:sz="4" w:space="0" w:color="auto"/>
              <w:right w:val="single" w:sz="4" w:space="0" w:color="auto"/>
            </w:tcBorders>
            <w:shd w:val="clear" w:color="auto" w:fill="C6EFCE"/>
            <w:noWrap/>
          </w:tcPr>
          <w:p w14:paraId="4A685C86"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992" w:type="dxa"/>
            <w:tcBorders>
              <w:top w:val="single" w:sz="4" w:space="0" w:color="auto"/>
              <w:left w:val="nil"/>
              <w:bottom w:val="single" w:sz="4" w:space="0" w:color="auto"/>
              <w:right w:val="single" w:sz="4" w:space="0" w:color="auto"/>
            </w:tcBorders>
            <w:shd w:val="clear" w:color="auto" w:fill="C6EFCE"/>
            <w:noWrap/>
          </w:tcPr>
          <w:p w14:paraId="20B24FC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395" w:type="dxa"/>
            <w:tcBorders>
              <w:top w:val="single" w:sz="4" w:space="0" w:color="auto"/>
              <w:left w:val="nil"/>
              <w:bottom w:val="single" w:sz="4" w:space="0" w:color="auto"/>
              <w:right w:val="single" w:sz="4" w:space="0" w:color="auto"/>
            </w:tcBorders>
            <w:shd w:val="clear" w:color="auto" w:fill="C6EFCE"/>
            <w:noWrap/>
          </w:tcPr>
          <w:p w14:paraId="73AC647B"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60 % državnih službenika educirano je za primjenu pametnog modela rada i ima vještine potrebne za rad na daljinu radi pružanja kontinuirane i kvalitetne javne usluge dostupne svima te povećanja motivacije službenika.  </w:t>
            </w:r>
          </w:p>
        </w:tc>
      </w:tr>
      <w:tr w:rsidR="00173E61" w:rsidRPr="006B6CA7" w14:paraId="173E36F4" w14:textId="77777777" w:rsidTr="00C33FB0">
        <w:trPr>
          <w:trHeight w:val="283"/>
          <w:jc w:val="center"/>
        </w:trPr>
        <w:tc>
          <w:tcPr>
            <w:tcW w:w="810" w:type="dxa"/>
            <w:tcBorders>
              <w:top w:val="nil"/>
              <w:left w:val="single" w:sz="4" w:space="0" w:color="auto"/>
              <w:bottom w:val="single" w:sz="4" w:space="0" w:color="auto"/>
              <w:right w:val="single" w:sz="4" w:space="0" w:color="auto"/>
            </w:tcBorders>
            <w:shd w:val="clear" w:color="auto" w:fill="C6EFCE"/>
            <w:noWrap/>
          </w:tcPr>
          <w:p w14:paraId="505F1B5A"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170</w:t>
            </w:r>
          </w:p>
        </w:tc>
        <w:tc>
          <w:tcPr>
            <w:tcW w:w="850" w:type="dxa"/>
            <w:tcBorders>
              <w:top w:val="nil"/>
              <w:left w:val="nil"/>
              <w:bottom w:val="single" w:sz="4" w:space="0" w:color="auto"/>
              <w:right w:val="single" w:sz="4" w:space="0" w:color="auto"/>
            </w:tcBorders>
            <w:shd w:val="clear" w:color="auto" w:fill="C6EFCE"/>
            <w:noWrap/>
          </w:tcPr>
          <w:p w14:paraId="6BA92A41"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R3</w:t>
            </w:r>
          </w:p>
        </w:tc>
        <w:tc>
          <w:tcPr>
            <w:tcW w:w="850" w:type="dxa"/>
            <w:tcBorders>
              <w:top w:val="nil"/>
              <w:left w:val="nil"/>
              <w:bottom w:val="single" w:sz="4" w:space="0" w:color="auto"/>
              <w:right w:val="single" w:sz="4" w:space="0" w:color="auto"/>
            </w:tcBorders>
            <w:shd w:val="clear" w:color="auto" w:fill="C6EFCE"/>
            <w:noWrap/>
          </w:tcPr>
          <w:p w14:paraId="53C6E24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8" w:type="dxa"/>
            <w:tcBorders>
              <w:top w:val="nil"/>
              <w:left w:val="nil"/>
              <w:bottom w:val="single" w:sz="4" w:space="0" w:color="auto"/>
              <w:right w:val="single" w:sz="4" w:space="0" w:color="auto"/>
            </w:tcBorders>
            <w:shd w:val="clear" w:color="auto" w:fill="C6EFCE"/>
            <w:noWrap/>
          </w:tcPr>
          <w:p w14:paraId="0FE439A1"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Uvođenje usluge e-konzervatorskih podloga</w:t>
            </w:r>
          </w:p>
        </w:tc>
        <w:tc>
          <w:tcPr>
            <w:tcW w:w="1717" w:type="dxa"/>
            <w:tcBorders>
              <w:top w:val="nil"/>
              <w:left w:val="nil"/>
              <w:bottom w:val="single" w:sz="4" w:space="0" w:color="auto"/>
              <w:right w:val="single" w:sz="4" w:space="0" w:color="auto"/>
            </w:tcBorders>
            <w:shd w:val="clear" w:color="auto" w:fill="C6EFCE"/>
            <w:noWrap/>
          </w:tcPr>
          <w:p w14:paraId="41839BEC"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Digitalna javna usluga e-konzervatorskih podloga u potpunosti je funkcionalna i dostupna</w:t>
            </w:r>
          </w:p>
        </w:tc>
        <w:tc>
          <w:tcPr>
            <w:tcW w:w="1168" w:type="dxa"/>
            <w:tcBorders>
              <w:top w:val="nil"/>
              <w:left w:val="nil"/>
              <w:bottom w:val="single" w:sz="4" w:space="0" w:color="auto"/>
              <w:right w:val="single" w:sz="4" w:space="0" w:color="auto"/>
            </w:tcBorders>
            <w:shd w:val="clear" w:color="auto" w:fill="C6EFCE"/>
            <w:noWrap/>
          </w:tcPr>
          <w:p w14:paraId="71017CA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61191825"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1AC023E0"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582D1972"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92" w:type="dxa"/>
            <w:tcBorders>
              <w:top w:val="nil"/>
              <w:left w:val="nil"/>
              <w:bottom w:val="single" w:sz="4" w:space="0" w:color="auto"/>
              <w:right w:val="single" w:sz="4" w:space="0" w:color="auto"/>
            </w:tcBorders>
            <w:shd w:val="clear" w:color="auto" w:fill="C6EFCE"/>
            <w:noWrap/>
          </w:tcPr>
          <w:p w14:paraId="553618C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395" w:type="dxa"/>
            <w:tcBorders>
              <w:top w:val="nil"/>
              <w:left w:val="nil"/>
              <w:bottom w:val="single" w:sz="4" w:space="0" w:color="auto"/>
              <w:right w:val="single" w:sz="4" w:space="0" w:color="auto"/>
            </w:tcBorders>
            <w:shd w:val="clear" w:color="auto" w:fill="C6EFCE"/>
            <w:noWrap/>
          </w:tcPr>
          <w:p w14:paraId="17619FDA"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Uspostavom digitalne infrastrukture i usluga javne uprave razvoj sustava konzervatorskih podloga unapređuje se upravljanje dokumentacijom u tijelima javne vlasti i drugim stvarateljima gradiva kao ključna potporna funkcija svih poslovnih procesa. E-konzervatorske podloge omogućit će učinkovitije pružanje usluga javne uprave primjenom rješenja IKT-a kojima se osiguravaju interoperabilnost i razmjena podataka, smanjenje troškova, transparentnost poslovanja i zaštita prava građana.</w:t>
            </w:r>
            <w:r>
              <w:rPr>
                <w:rFonts w:ascii="Calibri" w:hAnsi="Calibri"/>
                <w:noProof/>
                <w:color w:val="000000"/>
                <w:sz w:val="20"/>
              </w:rPr>
              <w:br/>
              <w:t>Uspostavit će se digitalna javna usluga (e-konzervatorska podloga) povezana s postojećim digitalnim javnim uslugama, čime će se ukloniti administrativne prepreke u procesu ishođenja dozvola u skladu sa Zakonom o zaštiti i čuvanju kulturnih dobara.</w:t>
            </w:r>
          </w:p>
        </w:tc>
      </w:tr>
      <w:tr w:rsidR="00173E61" w:rsidRPr="006B6CA7" w14:paraId="68334748" w14:textId="77777777" w:rsidTr="00C33FB0">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48CEF06D"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171</w:t>
            </w:r>
          </w:p>
        </w:tc>
        <w:tc>
          <w:tcPr>
            <w:tcW w:w="850" w:type="dxa"/>
            <w:tcBorders>
              <w:top w:val="single" w:sz="4" w:space="0" w:color="auto"/>
              <w:left w:val="nil"/>
              <w:bottom w:val="single" w:sz="4" w:space="0" w:color="auto"/>
              <w:right w:val="single" w:sz="4" w:space="0" w:color="auto"/>
            </w:tcBorders>
            <w:shd w:val="clear" w:color="auto" w:fill="C6EFCE"/>
            <w:noWrap/>
          </w:tcPr>
          <w:p w14:paraId="45EA71D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R3</w:t>
            </w:r>
          </w:p>
        </w:tc>
        <w:tc>
          <w:tcPr>
            <w:tcW w:w="850" w:type="dxa"/>
            <w:tcBorders>
              <w:top w:val="single" w:sz="4" w:space="0" w:color="auto"/>
              <w:left w:val="nil"/>
              <w:bottom w:val="single" w:sz="4" w:space="0" w:color="auto"/>
              <w:right w:val="single" w:sz="4" w:space="0" w:color="auto"/>
            </w:tcBorders>
            <w:shd w:val="clear" w:color="auto" w:fill="C6EFCE"/>
            <w:noWrap/>
          </w:tcPr>
          <w:p w14:paraId="4E1F3D8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8" w:type="dxa"/>
            <w:tcBorders>
              <w:top w:val="single" w:sz="4" w:space="0" w:color="auto"/>
              <w:left w:val="nil"/>
              <w:bottom w:val="single" w:sz="4" w:space="0" w:color="auto"/>
              <w:right w:val="single" w:sz="4" w:space="0" w:color="auto"/>
            </w:tcBorders>
            <w:shd w:val="clear" w:color="auto" w:fill="C6EFCE"/>
            <w:noWrap/>
          </w:tcPr>
          <w:p w14:paraId="1F88ECEB"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nacionalnog arhivskog informacijskog sustava</w:t>
            </w:r>
          </w:p>
        </w:tc>
        <w:tc>
          <w:tcPr>
            <w:tcW w:w="1717" w:type="dxa"/>
            <w:tcBorders>
              <w:top w:val="single" w:sz="4" w:space="0" w:color="auto"/>
              <w:left w:val="nil"/>
              <w:bottom w:val="single" w:sz="4" w:space="0" w:color="auto"/>
              <w:right w:val="single" w:sz="4" w:space="0" w:color="auto"/>
            </w:tcBorders>
            <w:shd w:val="clear" w:color="auto" w:fill="C6EFCE"/>
            <w:noWrap/>
          </w:tcPr>
          <w:p w14:paraId="62F5AAAB"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Nacionalni arhivski informacijski sustav potpuno je funkcionalan i dostupan </w:t>
            </w:r>
          </w:p>
        </w:tc>
        <w:tc>
          <w:tcPr>
            <w:tcW w:w="1168" w:type="dxa"/>
            <w:tcBorders>
              <w:top w:val="single" w:sz="4" w:space="0" w:color="auto"/>
              <w:left w:val="nil"/>
              <w:bottom w:val="single" w:sz="4" w:space="0" w:color="auto"/>
              <w:right w:val="single" w:sz="4" w:space="0" w:color="auto"/>
            </w:tcBorders>
            <w:shd w:val="clear" w:color="auto" w:fill="C6EFCE"/>
            <w:noWrap/>
          </w:tcPr>
          <w:p w14:paraId="05A13DEA"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5D0DAA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0862002F"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32ADBCA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92" w:type="dxa"/>
            <w:tcBorders>
              <w:top w:val="single" w:sz="4" w:space="0" w:color="auto"/>
              <w:left w:val="nil"/>
              <w:bottom w:val="single" w:sz="4" w:space="0" w:color="auto"/>
              <w:right w:val="single" w:sz="4" w:space="0" w:color="auto"/>
            </w:tcBorders>
            <w:shd w:val="clear" w:color="auto" w:fill="C6EFCE"/>
            <w:noWrap/>
          </w:tcPr>
          <w:p w14:paraId="4E2C1C21"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395" w:type="dxa"/>
            <w:tcBorders>
              <w:top w:val="single" w:sz="4" w:space="0" w:color="auto"/>
              <w:left w:val="nil"/>
              <w:bottom w:val="single" w:sz="4" w:space="0" w:color="auto"/>
              <w:right w:val="single" w:sz="4" w:space="0" w:color="auto"/>
            </w:tcBorders>
            <w:shd w:val="clear" w:color="auto" w:fill="C6EFCE"/>
            <w:noWrap/>
          </w:tcPr>
          <w:p w14:paraId="0D3FEB51"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Uspostavit će se nacionalni arhivski informacijski sustav radi unapređenja upravljanja dokumentacijom od strane javnih tijela i drugih stvaratelja dokumentarnog gradiva, kao temeljne potporne funkcije svim poslovnim procesima. </w:t>
            </w:r>
          </w:p>
        </w:tc>
      </w:tr>
      <w:tr w:rsidR="00173E61" w:rsidRPr="006B6CA7" w14:paraId="5D5950B0" w14:textId="77777777" w:rsidTr="00C33FB0">
        <w:trPr>
          <w:trHeight w:val="283"/>
          <w:jc w:val="center"/>
        </w:trPr>
        <w:tc>
          <w:tcPr>
            <w:tcW w:w="810" w:type="dxa"/>
            <w:tcBorders>
              <w:top w:val="nil"/>
              <w:left w:val="single" w:sz="4" w:space="0" w:color="auto"/>
              <w:bottom w:val="single" w:sz="4" w:space="0" w:color="auto"/>
              <w:right w:val="single" w:sz="4" w:space="0" w:color="auto"/>
            </w:tcBorders>
            <w:shd w:val="clear" w:color="auto" w:fill="C6EFCE"/>
            <w:noWrap/>
          </w:tcPr>
          <w:p w14:paraId="12429297" w14:textId="77777777" w:rsidR="00733DCA" w:rsidRPr="006B6CA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172</w:t>
            </w:r>
          </w:p>
        </w:tc>
        <w:tc>
          <w:tcPr>
            <w:tcW w:w="850" w:type="dxa"/>
            <w:tcBorders>
              <w:top w:val="nil"/>
              <w:left w:val="nil"/>
              <w:bottom w:val="single" w:sz="4" w:space="0" w:color="auto"/>
              <w:right w:val="single" w:sz="4" w:space="0" w:color="auto"/>
            </w:tcBorders>
            <w:shd w:val="clear" w:color="auto" w:fill="C6EFCE"/>
            <w:noWrap/>
          </w:tcPr>
          <w:p w14:paraId="1EFE60E2"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R3-I1</w:t>
            </w:r>
          </w:p>
        </w:tc>
        <w:tc>
          <w:tcPr>
            <w:tcW w:w="850" w:type="dxa"/>
            <w:tcBorders>
              <w:top w:val="nil"/>
              <w:left w:val="nil"/>
              <w:bottom w:val="single" w:sz="4" w:space="0" w:color="auto"/>
              <w:right w:val="single" w:sz="4" w:space="0" w:color="auto"/>
            </w:tcBorders>
            <w:shd w:val="clear" w:color="auto" w:fill="C6EFCE"/>
            <w:noWrap/>
          </w:tcPr>
          <w:p w14:paraId="1FD7702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8" w:type="dxa"/>
            <w:tcBorders>
              <w:top w:val="nil"/>
              <w:left w:val="nil"/>
              <w:bottom w:val="single" w:sz="4" w:space="0" w:color="auto"/>
              <w:right w:val="single" w:sz="4" w:space="0" w:color="auto"/>
            </w:tcBorders>
            <w:shd w:val="clear" w:color="auto" w:fill="C6EFCE"/>
            <w:noWrap/>
          </w:tcPr>
          <w:p w14:paraId="26F66EE6"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Stvaranje 60 javno dostupnih konzervatorskih podloga za najsloženije kulturno-povijesne cjeline velike spomeničke vrijednosti </w:t>
            </w:r>
          </w:p>
        </w:tc>
        <w:tc>
          <w:tcPr>
            <w:tcW w:w="1717" w:type="dxa"/>
            <w:tcBorders>
              <w:top w:val="nil"/>
              <w:left w:val="nil"/>
              <w:bottom w:val="single" w:sz="4" w:space="0" w:color="auto"/>
              <w:right w:val="single" w:sz="4" w:space="0" w:color="auto"/>
            </w:tcBorders>
            <w:shd w:val="clear" w:color="auto" w:fill="C6EFCE"/>
            <w:noWrap/>
          </w:tcPr>
          <w:p w14:paraId="57092227"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nil"/>
              <w:left w:val="nil"/>
              <w:bottom w:val="single" w:sz="4" w:space="0" w:color="auto"/>
              <w:right w:val="single" w:sz="4" w:space="0" w:color="auto"/>
            </w:tcBorders>
            <w:shd w:val="clear" w:color="auto" w:fill="C6EFCE"/>
            <w:noWrap/>
          </w:tcPr>
          <w:p w14:paraId="14701FA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2C7A988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7639D3C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60</w:t>
            </w:r>
          </w:p>
        </w:tc>
        <w:tc>
          <w:tcPr>
            <w:tcW w:w="425" w:type="dxa"/>
            <w:tcBorders>
              <w:top w:val="nil"/>
              <w:left w:val="nil"/>
              <w:bottom w:val="single" w:sz="4" w:space="0" w:color="auto"/>
              <w:right w:val="single" w:sz="4" w:space="0" w:color="auto"/>
            </w:tcBorders>
            <w:shd w:val="clear" w:color="auto" w:fill="C6EFCE"/>
            <w:noWrap/>
          </w:tcPr>
          <w:p w14:paraId="237F1CC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92" w:type="dxa"/>
            <w:tcBorders>
              <w:top w:val="nil"/>
              <w:left w:val="nil"/>
              <w:bottom w:val="single" w:sz="4" w:space="0" w:color="auto"/>
              <w:right w:val="single" w:sz="4" w:space="0" w:color="auto"/>
            </w:tcBorders>
            <w:shd w:val="clear" w:color="auto" w:fill="C6EFCE"/>
            <w:noWrap/>
          </w:tcPr>
          <w:p w14:paraId="5E7F552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395" w:type="dxa"/>
            <w:tcBorders>
              <w:top w:val="nil"/>
              <w:left w:val="nil"/>
              <w:bottom w:val="single" w:sz="4" w:space="0" w:color="auto"/>
              <w:right w:val="single" w:sz="4" w:space="0" w:color="auto"/>
            </w:tcBorders>
            <w:shd w:val="clear" w:color="auto" w:fill="C6EFCE"/>
            <w:noWrap/>
          </w:tcPr>
          <w:p w14:paraId="55F2C416"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Ukupno 60 e-konzervatorskih podloga stvoreno je i stavljeno na raspolaganje javnosti. E-konzervatorska podloga digitalna je stručna dokumentacija koja obuhvaća grafički i tekstualni dio te identifikaciju, analizu stanja, valorizaciju i mjere očuvanja kulturno-povijesnih vrijednosti na definiranom geografskom području. Dokumenti prostornog uređenja, ovisno o vrsti i području, moraju sadržavati podatke iz konzervatorskih podloga uključujući mjere za zaštitu nepokretnih kulturnih dobara na tom području.</w:t>
            </w:r>
            <w:r>
              <w:rPr>
                <w:rFonts w:ascii="Calibri" w:hAnsi="Calibri"/>
                <w:noProof/>
                <w:color w:val="000000"/>
                <w:sz w:val="20"/>
              </w:rPr>
              <w:br/>
              <w:t>Razvit će se e-konzervatorske podloge za svaku od najsloženijih kulturno-povijesnih cjelina velike spomeničke vrijednosti koja ispunjuje kriterije ugroženosti i hitnosti za dovršetak s obzirom na planiranu izgradnju.</w:t>
            </w:r>
          </w:p>
        </w:tc>
      </w:tr>
      <w:tr w:rsidR="00173E61" w:rsidRPr="006B6CA7" w14:paraId="5C671FC5" w14:textId="77777777" w:rsidTr="00C33FB0">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467961D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173</w:t>
            </w:r>
          </w:p>
        </w:tc>
        <w:tc>
          <w:tcPr>
            <w:tcW w:w="850" w:type="dxa"/>
            <w:tcBorders>
              <w:top w:val="single" w:sz="4" w:space="0" w:color="auto"/>
              <w:left w:val="nil"/>
              <w:bottom w:val="single" w:sz="4" w:space="0" w:color="auto"/>
              <w:right w:val="single" w:sz="4" w:space="0" w:color="auto"/>
            </w:tcBorders>
            <w:shd w:val="clear" w:color="auto" w:fill="C6EFCE"/>
            <w:noWrap/>
          </w:tcPr>
          <w:p w14:paraId="39AADF7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R3-I2</w:t>
            </w:r>
          </w:p>
        </w:tc>
        <w:tc>
          <w:tcPr>
            <w:tcW w:w="850" w:type="dxa"/>
            <w:tcBorders>
              <w:top w:val="single" w:sz="4" w:space="0" w:color="auto"/>
              <w:left w:val="nil"/>
              <w:bottom w:val="single" w:sz="4" w:space="0" w:color="auto"/>
              <w:right w:val="single" w:sz="4" w:space="0" w:color="auto"/>
            </w:tcBorders>
            <w:shd w:val="clear" w:color="auto" w:fill="C6EFCE"/>
            <w:noWrap/>
          </w:tcPr>
          <w:p w14:paraId="6B4B2C05"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8" w:type="dxa"/>
            <w:tcBorders>
              <w:top w:val="single" w:sz="4" w:space="0" w:color="auto"/>
              <w:left w:val="nil"/>
              <w:bottom w:val="single" w:sz="4" w:space="0" w:color="auto"/>
              <w:right w:val="single" w:sz="4" w:space="0" w:color="auto"/>
            </w:tcBorders>
            <w:shd w:val="clear" w:color="auto" w:fill="C6EFCE"/>
            <w:noWrap/>
          </w:tcPr>
          <w:p w14:paraId="3DE4B593"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600 stvaratelja gradiva koristi arhivski informacijski sustav</w:t>
            </w:r>
          </w:p>
        </w:tc>
        <w:tc>
          <w:tcPr>
            <w:tcW w:w="1717" w:type="dxa"/>
            <w:tcBorders>
              <w:top w:val="single" w:sz="4" w:space="0" w:color="auto"/>
              <w:left w:val="nil"/>
              <w:bottom w:val="single" w:sz="4" w:space="0" w:color="auto"/>
              <w:right w:val="single" w:sz="4" w:space="0" w:color="auto"/>
            </w:tcBorders>
            <w:shd w:val="clear" w:color="auto" w:fill="C6EFCE"/>
            <w:noWrap/>
          </w:tcPr>
          <w:p w14:paraId="0A16A8B0"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22522B13"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454B4827"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741BC83F"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600</w:t>
            </w:r>
          </w:p>
        </w:tc>
        <w:tc>
          <w:tcPr>
            <w:tcW w:w="425" w:type="dxa"/>
            <w:tcBorders>
              <w:top w:val="single" w:sz="4" w:space="0" w:color="auto"/>
              <w:left w:val="nil"/>
              <w:bottom w:val="single" w:sz="4" w:space="0" w:color="auto"/>
              <w:right w:val="single" w:sz="4" w:space="0" w:color="auto"/>
            </w:tcBorders>
            <w:shd w:val="clear" w:color="auto" w:fill="C6EFCE"/>
            <w:noWrap/>
          </w:tcPr>
          <w:p w14:paraId="68DE0F0C"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92" w:type="dxa"/>
            <w:tcBorders>
              <w:top w:val="single" w:sz="4" w:space="0" w:color="auto"/>
              <w:left w:val="nil"/>
              <w:bottom w:val="single" w:sz="4" w:space="0" w:color="auto"/>
              <w:right w:val="single" w:sz="4" w:space="0" w:color="auto"/>
            </w:tcBorders>
            <w:shd w:val="clear" w:color="auto" w:fill="C6EFCE"/>
            <w:noWrap/>
          </w:tcPr>
          <w:p w14:paraId="29F42A6F"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395" w:type="dxa"/>
            <w:tcBorders>
              <w:top w:val="single" w:sz="4" w:space="0" w:color="auto"/>
              <w:left w:val="nil"/>
              <w:bottom w:val="single" w:sz="4" w:space="0" w:color="auto"/>
              <w:right w:val="single" w:sz="4" w:space="0" w:color="auto"/>
            </w:tcBorders>
            <w:shd w:val="clear" w:color="auto" w:fill="C6EFCE"/>
            <w:noWrap/>
          </w:tcPr>
          <w:p w14:paraId="170CAD75"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600 stvaratelja koristi nacionalni informacijski sustav za upravljanje i pohranu dokumentacije. Ministarstvo će analizirati i izvještavati o podacima o broju individualnih stvaratelja koji pristupaju sustavu.</w:t>
            </w:r>
            <w:r>
              <w:rPr>
                <w:rFonts w:ascii="Calibri" w:hAnsi="Calibri"/>
                <w:noProof/>
                <w:color w:val="000000"/>
                <w:sz w:val="20"/>
              </w:rPr>
              <w:br/>
              <w:t>Sustav omogućava učinkovitije pružanje usluga javne uprave primjenom rješenja IKT-a kojima se osiguravaju interoperabilnost i razmjena podataka, smanjenje troškova, transparentnost poslovanja i zaštitu prava građana.</w:t>
            </w:r>
          </w:p>
        </w:tc>
      </w:tr>
      <w:tr w:rsidR="00173E61" w:rsidRPr="006B6CA7" w14:paraId="79EDDAA7" w14:textId="77777777" w:rsidTr="00C33FB0">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7B3AA03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174</w:t>
            </w:r>
          </w:p>
        </w:tc>
        <w:tc>
          <w:tcPr>
            <w:tcW w:w="850" w:type="dxa"/>
            <w:tcBorders>
              <w:top w:val="single" w:sz="4" w:space="0" w:color="auto"/>
              <w:left w:val="nil"/>
              <w:bottom w:val="single" w:sz="4" w:space="0" w:color="auto"/>
              <w:right w:val="single" w:sz="4" w:space="0" w:color="auto"/>
            </w:tcBorders>
            <w:shd w:val="clear" w:color="auto" w:fill="C6EFCE"/>
            <w:noWrap/>
          </w:tcPr>
          <w:p w14:paraId="1321E535"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R4</w:t>
            </w:r>
          </w:p>
        </w:tc>
        <w:tc>
          <w:tcPr>
            <w:tcW w:w="850" w:type="dxa"/>
            <w:tcBorders>
              <w:top w:val="single" w:sz="4" w:space="0" w:color="auto"/>
              <w:left w:val="nil"/>
              <w:bottom w:val="single" w:sz="4" w:space="0" w:color="auto"/>
              <w:right w:val="single" w:sz="4" w:space="0" w:color="auto"/>
            </w:tcBorders>
            <w:shd w:val="clear" w:color="auto" w:fill="C6EFCE"/>
            <w:noWrap/>
          </w:tcPr>
          <w:p w14:paraId="1662D9C7"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8" w:type="dxa"/>
            <w:tcBorders>
              <w:top w:val="single" w:sz="4" w:space="0" w:color="auto"/>
              <w:left w:val="nil"/>
              <w:bottom w:val="single" w:sz="4" w:space="0" w:color="auto"/>
              <w:right w:val="single" w:sz="4" w:space="0" w:color="auto"/>
            </w:tcBorders>
            <w:shd w:val="clear" w:color="auto" w:fill="C6EFCE"/>
            <w:noWrap/>
          </w:tcPr>
          <w:p w14:paraId="6949719F"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Izmjena zakonodavnih okvira radi poticanja dobrovoljnog funkcionalnog ili stvarnog spajanja jedinica lokalne uprave (JLS) i donošenja Odluke Vlade Republike Hrvatske o kriterijima za dodjelu fiskalnih poticaja za dobrovoljno funkcionalno odnosno stvarno spajanje</w:t>
            </w:r>
          </w:p>
        </w:tc>
        <w:tc>
          <w:tcPr>
            <w:tcW w:w="1717" w:type="dxa"/>
            <w:tcBorders>
              <w:top w:val="single" w:sz="4" w:space="0" w:color="auto"/>
              <w:left w:val="nil"/>
              <w:bottom w:val="single" w:sz="4" w:space="0" w:color="auto"/>
              <w:right w:val="single" w:sz="4" w:space="0" w:color="auto"/>
            </w:tcBorders>
            <w:shd w:val="clear" w:color="auto" w:fill="C6EFCE"/>
            <w:noWrap/>
          </w:tcPr>
          <w:p w14:paraId="4198C1CB"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zakonodavnog okvira  </w:t>
            </w:r>
          </w:p>
        </w:tc>
        <w:tc>
          <w:tcPr>
            <w:tcW w:w="1168" w:type="dxa"/>
            <w:tcBorders>
              <w:top w:val="single" w:sz="4" w:space="0" w:color="auto"/>
              <w:left w:val="nil"/>
              <w:bottom w:val="single" w:sz="4" w:space="0" w:color="auto"/>
              <w:right w:val="single" w:sz="4" w:space="0" w:color="auto"/>
            </w:tcBorders>
            <w:shd w:val="clear" w:color="auto" w:fill="C6EFCE"/>
            <w:noWrap/>
          </w:tcPr>
          <w:p w14:paraId="1C4F6B3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2DD0774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317D4413"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2DA95FD9"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992" w:type="dxa"/>
            <w:tcBorders>
              <w:top w:val="single" w:sz="4" w:space="0" w:color="auto"/>
              <w:left w:val="nil"/>
              <w:bottom w:val="single" w:sz="4" w:space="0" w:color="auto"/>
              <w:right w:val="single" w:sz="4" w:space="0" w:color="auto"/>
            </w:tcBorders>
            <w:shd w:val="clear" w:color="auto" w:fill="C6EFCE"/>
            <w:noWrap/>
          </w:tcPr>
          <w:p w14:paraId="55CEE49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395" w:type="dxa"/>
            <w:tcBorders>
              <w:top w:val="single" w:sz="4" w:space="0" w:color="auto"/>
              <w:left w:val="nil"/>
              <w:bottom w:val="single" w:sz="4" w:space="0" w:color="auto"/>
              <w:right w:val="single" w:sz="4" w:space="0" w:color="auto"/>
            </w:tcBorders>
            <w:shd w:val="clear" w:color="auto" w:fill="C6EFCE"/>
            <w:noWrap/>
          </w:tcPr>
          <w:p w14:paraId="7D24701C"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Izmijenjenim zakonodavnim okvirom i mehanizmom financijske potpore potaknut će se funkcionalno i stvarno spajanje JLS-a, uz osiguranje dostatnih sredstava u državnom proračunu za financijsko poticanje stvarnog spajanja barem 20 % JLS-a, odnosno minimalno 40 % JLS-a tijekom razdoblja do 2026. Tako će funkcionalno spojeni JLS-i zadržati ista sredstva iz proračuna koja su im bila na raspolaganju prije spajanja, tijekom razdoblja od najmanje 2 godine, a poticaji će pokriti i jednokratne troškove spajanja te će se osigurati i dodatna sredstva temeljena na postignutim uštedama u narednih 5 godina. Uz to, poticaji za stvarna spajanja JLS-a uključivat će jednokratne kapitalne transfere, tijekom 5 godina koje će JLS-i koristiti namjenski za infrastrukturne projekte. Odlukom Vlade RH propisat će se kriteriji i visina poticaja, uz veće fiskalne poticaje za stvarna spajanja, dok će poticaji za funkcionalna spajanja ovisiti o broju i vrsti funkcija koje su predviđene za spajanje. Nakon donošenja Odluke Vlade Republike Hrvatske u Narodnim novinama objavit će se javni poziv JLS-ima za iskaz interesa za dobrovoljno funkcionalno odnosno stvarno spajanje.</w:t>
            </w:r>
          </w:p>
        </w:tc>
      </w:tr>
      <w:tr w:rsidR="00173E61" w:rsidRPr="006B6CA7" w14:paraId="00216505" w14:textId="77777777" w:rsidTr="00C33FB0">
        <w:trPr>
          <w:trHeight w:val="283"/>
          <w:jc w:val="center"/>
        </w:trPr>
        <w:tc>
          <w:tcPr>
            <w:tcW w:w="810" w:type="dxa"/>
            <w:tcBorders>
              <w:top w:val="single" w:sz="4" w:space="0" w:color="auto"/>
              <w:left w:val="single" w:sz="4" w:space="0" w:color="auto"/>
              <w:bottom w:val="single" w:sz="4" w:space="0" w:color="auto"/>
              <w:right w:val="single" w:sz="4" w:space="0" w:color="auto"/>
            </w:tcBorders>
            <w:shd w:val="clear" w:color="auto" w:fill="C6EFCE"/>
            <w:noWrap/>
          </w:tcPr>
          <w:p w14:paraId="34EA3BDE"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175</w:t>
            </w:r>
          </w:p>
        </w:tc>
        <w:tc>
          <w:tcPr>
            <w:tcW w:w="850" w:type="dxa"/>
            <w:tcBorders>
              <w:top w:val="single" w:sz="4" w:space="0" w:color="auto"/>
              <w:left w:val="nil"/>
              <w:bottom w:val="single" w:sz="4" w:space="0" w:color="auto"/>
              <w:right w:val="single" w:sz="4" w:space="0" w:color="auto"/>
            </w:tcBorders>
            <w:shd w:val="clear" w:color="auto" w:fill="C6EFCE"/>
            <w:noWrap/>
          </w:tcPr>
          <w:p w14:paraId="19078F97"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C2.2. R4-I1</w:t>
            </w:r>
          </w:p>
        </w:tc>
        <w:tc>
          <w:tcPr>
            <w:tcW w:w="850" w:type="dxa"/>
            <w:tcBorders>
              <w:top w:val="single" w:sz="4" w:space="0" w:color="auto"/>
              <w:left w:val="nil"/>
              <w:bottom w:val="single" w:sz="4" w:space="0" w:color="auto"/>
              <w:right w:val="single" w:sz="4" w:space="0" w:color="auto"/>
            </w:tcBorders>
            <w:shd w:val="clear" w:color="auto" w:fill="C6EFCE"/>
            <w:noWrap/>
          </w:tcPr>
          <w:p w14:paraId="521C4276"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8" w:type="dxa"/>
            <w:tcBorders>
              <w:top w:val="single" w:sz="4" w:space="0" w:color="auto"/>
              <w:left w:val="nil"/>
              <w:bottom w:val="single" w:sz="4" w:space="0" w:color="auto"/>
              <w:right w:val="single" w:sz="4" w:space="0" w:color="auto"/>
            </w:tcBorders>
            <w:shd w:val="clear" w:color="auto" w:fill="C6EFCE"/>
            <w:noWrap/>
          </w:tcPr>
          <w:p w14:paraId="212E81F6"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Mehanizam podrške za dobrovoljno funkcionalno i stvarno spajanje i uspostava sveobuhvatnog sustava podrške za funkcionalno i stvarno spajanje jedinica</w:t>
            </w:r>
          </w:p>
        </w:tc>
        <w:tc>
          <w:tcPr>
            <w:tcW w:w="1717" w:type="dxa"/>
            <w:tcBorders>
              <w:top w:val="single" w:sz="4" w:space="0" w:color="auto"/>
              <w:left w:val="nil"/>
              <w:bottom w:val="single" w:sz="4" w:space="0" w:color="auto"/>
              <w:right w:val="single" w:sz="4" w:space="0" w:color="auto"/>
            </w:tcBorders>
            <w:shd w:val="clear" w:color="auto" w:fill="C6EFCE"/>
            <w:noWrap/>
          </w:tcPr>
          <w:p w14:paraId="103C6CB9"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Uspostavljen je sveobuhvatni mehanizam podrške za funkcionalno/stvarno spajanje jedinica lokalne uprave </w:t>
            </w:r>
          </w:p>
        </w:tc>
        <w:tc>
          <w:tcPr>
            <w:tcW w:w="1168" w:type="dxa"/>
            <w:tcBorders>
              <w:top w:val="single" w:sz="4" w:space="0" w:color="auto"/>
              <w:left w:val="nil"/>
              <w:bottom w:val="single" w:sz="4" w:space="0" w:color="auto"/>
              <w:right w:val="single" w:sz="4" w:space="0" w:color="auto"/>
            </w:tcBorders>
            <w:shd w:val="clear" w:color="auto" w:fill="C6EFCE"/>
            <w:noWrap/>
          </w:tcPr>
          <w:p w14:paraId="7923AB14"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68670F1B"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54BB6DED"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35750540"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92" w:type="dxa"/>
            <w:tcBorders>
              <w:top w:val="single" w:sz="4" w:space="0" w:color="auto"/>
              <w:left w:val="nil"/>
              <w:bottom w:val="single" w:sz="4" w:space="0" w:color="auto"/>
              <w:right w:val="single" w:sz="4" w:space="0" w:color="auto"/>
            </w:tcBorders>
            <w:shd w:val="clear" w:color="auto" w:fill="C6EFCE"/>
            <w:noWrap/>
          </w:tcPr>
          <w:p w14:paraId="65572E28" w14:textId="77777777" w:rsidR="00733DCA" w:rsidRPr="006B6CA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395" w:type="dxa"/>
            <w:tcBorders>
              <w:top w:val="single" w:sz="4" w:space="0" w:color="auto"/>
              <w:left w:val="nil"/>
              <w:bottom w:val="single" w:sz="4" w:space="0" w:color="auto"/>
              <w:right w:val="single" w:sz="4" w:space="0" w:color="auto"/>
            </w:tcBorders>
            <w:shd w:val="clear" w:color="auto" w:fill="C6EFCE"/>
            <w:noWrap/>
          </w:tcPr>
          <w:p w14:paraId="5C92A06D" w14:textId="77777777" w:rsidR="00733DCA" w:rsidRPr="006B6CA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Dovršena je potpora za daljnji postupak funkcionalne optimizacije poslova u djelokrugu jedinica lokalne samouprave i provedene su sljedeće zadaće i mjere potpore:</w:t>
            </w:r>
            <w:r>
              <w:rPr>
                <w:rFonts w:ascii="Calibri" w:hAnsi="Calibri"/>
                <w:noProof/>
                <w:color w:val="000000"/>
                <w:sz w:val="20"/>
              </w:rPr>
              <w:br/>
              <w:t>– (samo)procjena sposobnosti jedinica za obavljanje zadaća u svojem području nadležnosti i dokazivanje potrebe i interesa za zajedničkim obavljanjem poslova, tj. stvarnog spajanja, u svim jedinicama lokalne uprave;</w:t>
            </w:r>
            <w:r>
              <w:rPr>
                <w:rFonts w:ascii="Calibri" w:hAnsi="Calibri"/>
                <w:noProof/>
                <w:color w:val="000000"/>
                <w:sz w:val="20"/>
              </w:rPr>
              <w:br/>
              <w:t>– utvrđivanje poslova koje zajednički mogu obavljati pojedinačne jedinice;</w:t>
            </w:r>
            <w:r>
              <w:rPr>
                <w:rFonts w:ascii="Calibri" w:hAnsi="Calibri"/>
                <w:noProof/>
                <w:color w:val="000000"/>
                <w:sz w:val="20"/>
              </w:rPr>
              <w:br/>
              <w:t xml:space="preserve">– provedba sustava informatičke podrške za funkcionalno spajanje poslova jedinica lokalne uprave; </w:t>
            </w:r>
            <w:r>
              <w:rPr>
                <w:rFonts w:ascii="Calibri" w:hAnsi="Calibri"/>
                <w:noProof/>
                <w:color w:val="000000"/>
                <w:sz w:val="20"/>
              </w:rPr>
              <w:br/>
              <w:t>– dovršena edukacija 50 službenika državne uprave za pružanje podrške jedinicama lokalne uprave u smislu funkcionalnih povezivanja i stvarnih spajanja;</w:t>
            </w:r>
            <w:r>
              <w:rPr>
                <w:rFonts w:ascii="Calibri" w:hAnsi="Calibri"/>
                <w:noProof/>
                <w:color w:val="000000"/>
                <w:sz w:val="20"/>
              </w:rPr>
              <w:br/>
              <w:t>— dovršena edukacija 100 službenika jedinica lokalne uprave radi obavljanja zajedničkih poslova kao dio funkcionalnog povezivanja.</w:t>
            </w:r>
          </w:p>
        </w:tc>
      </w:tr>
    </w:tbl>
    <w:p w14:paraId="1C2D281E" w14:textId="77777777" w:rsidR="00733DCA" w:rsidRPr="00BC0323" w:rsidRDefault="00733DCA">
      <w:pPr>
        <w:rPr>
          <w:noProof/>
        </w:rPr>
        <w:sectPr w:rsidR="00733DCA" w:rsidRPr="00BC0323" w:rsidSect="0001477B">
          <w:headerReference w:type="even" r:id="rId156"/>
          <w:headerReference w:type="default" r:id="rId157"/>
          <w:footerReference w:type="even" r:id="rId158"/>
          <w:footerReference w:type="default" r:id="rId159"/>
          <w:headerReference w:type="first" r:id="rId160"/>
          <w:footerReference w:type="first" r:id="rId161"/>
          <w:pgSz w:w="15840" w:h="12240" w:orient="landscape"/>
          <w:pgMar w:top="1440" w:right="1440" w:bottom="1440" w:left="1440" w:header="708" w:footer="708" w:gutter="0"/>
          <w:cols w:space="708"/>
          <w:docGrid w:linePitch="360"/>
        </w:sectPr>
      </w:pPr>
    </w:p>
    <w:p w14:paraId="0B68BC54" w14:textId="77777777" w:rsidR="00733DCA" w:rsidRDefault="00733DCA" w:rsidP="0001477B">
      <w:pPr>
        <w:pStyle w:val="paragraph"/>
        <w:spacing w:before="0" w:beforeAutospacing="0" w:after="0" w:afterAutospacing="0"/>
        <w:ind w:left="840"/>
        <w:jc w:val="both"/>
        <w:textAlignment w:val="baseline"/>
        <w:rPr>
          <w:rStyle w:val="eop"/>
          <w:noProof/>
        </w:rPr>
      </w:pPr>
      <w:r>
        <w:rPr>
          <w:rStyle w:val="normaltextrun"/>
          <w:b/>
          <w:noProof/>
        </w:rPr>
        <w:t xml:space="preserve">H.3. </w:t>
      </w:r>
      <w:r>
        <w:rPr>
          <w:noProof/>
        </w:rPr>
        <w:tab/>
      </w:r>
      <w:r>
        <w:rPr>
          <w:rStyle w:val="normaltextrun"/>
          <w:b/>
          <w:noProof/>
        </w:rPr>
        <w:t>Opis reformi i ulaganja za zajam </w:t>
      </w:r>
      <w:r>
        <w:rPr>
          <w:rStyle w:val="eop"/>
          <w:noProof/>
        </w:rPr>
        <w:t> </w:t>
      </w:r>
    </w:p>
    <w:p w14:paraId="4C0D9192"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3F966A93" w14:textId="0ABB112E" w:rsidR="00733DCA" w:rsidRPr="00AD6308" w:rsidRDefault="00733DCA" w:rsidP="00AD6308">
      <w:pPr>
        <w:keepNext/>
        <w:spacing w:before="120" w:after="120" w:line="240" w:lineRule="auto"/>
        <w:ind w:left="851"/>
        <w:jc w:val="both"/>
        <w:outlineLvl w:val="2"/>
        <w:rPr>
          <w:rFonts w:ascii="Times New Roman" w:eastAsia="SimSun" w:hAnsi="Times New Roman" w:cs="Times New Roman"/>
          <w:i/>
          <w:iCs/>
          <w:noProof/>
          <w:sz w:val="24"/>
          <w:szCs w:val="24"/>
        </w:rPr>
      </w:pPr>
      <w:r>
        <w:rPr>
          <w:rFonts w:ascii="Times New Roman" w:hAnsi="Times New Roman"/>
          <w:noProof/>
          <w:sz w:val="24"/>
          <w:u w:val="single"/>
        </w:rPr>
        <w:t xml:space="preserve">Reforma C2.2. R5 – Novi modeli plaća i rada u državnoj službi i javnim službama – povećanje ambicioznosti reforme dodavanjem posebnih zahtjeva u sadržaju podzakonskih akata  </w:t>
      </w:r>
    </w:p>
    <w:p w14:paraId="08836FC2" w14:textId="36A894DA"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te reforme povećati ambicioznost provedbe reforme R2 </w:t>
      </w:r>
      <w:r>
        <w:rPr>
          <w:rFonts w:ascii="Times New Roman" w:hAnsi="Times New Roman"/>
          <w:noProof/>
          <w:sz w:val="24"/>
          <w:u w:val="single"/>
        </w:rPr>
        <w:t>Novi modeli plaća i rada u državnim i javnim službama dodavanjem posebnih zahtjeva u sadržaju podzakonskih akata koji proizlaze iz</w:t>
      </w:r>
      <w:r>
        <w:rPr>
          <w:rFonts w:ascii="Times New Roman" w:hAnsi="Times New Roman"/>
          <w:noProof/>
          <w:sz w:val="24"/>
        </w:rPr>
        <w:t xml:space="preserve"> Zakona o plaćama u državnoj upravi i javnim službama i Zakona o državnim službenicima donesen u okviru reforme R2.</w:t>
      </w:r>
    </w:p>
    <w:p w14:paraId="35631D99" w14:textId="6C4BA5DB"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Uredbama Vlade kojima se podržava Zakon o plaćama u državnoj upravi i javnim službama i Zakona o državnim službenicima pobliže se utvrđuju rasponi koeficijenata i platnih razreda u okviru jedinstvenog razreda plaća za državna tijela i javne službe.  </w:t>
      </w:r>
    </w:p>
    <w:p w14:paraId="3673524C" w14:textId="77777777" w:rsidR="00733DCA" w:rsidRDefault="00733DCA" w:rsidP="0001477B">
      <w:pPr>
        <w:spacing w:before="120" w:after="120" w:line="240" w:lineRule="auto"/>
        <w:jc w:val="both"/>
        <w:rPr>
          <w:noProof/>
        </w:rPr>
      </w:pPr>
      <w:r>
        <w:rPr>
          <w:rFonts w:ascii="Times New Roman" w:hAnsi="Times New Roman"/>
          <w:noProof/>
          <w:sz w:val="24"/>
        </w:rPr>
        <w:t xml:space="preserve">Dodatno, Uredbom Vlade trebaju se utvrditi nazivi radnih mjesta, uvjeti za raspoređivanje na pojedino radno mjesto, klasifikacija radnih mjesta, predmetne platne razrede i koeficijent za obračun plaće unutar platnog razreda. </w:t>
      </w:r>
    </w:p>
    <w:p w14:paraId="0128EDAD" w14:textId="75599813" w:rsidR="00733DCA" w:rsidRDefault="00733DCA" w:rsidP="0001477B">
      <w:pPr>
        <w:spacing w:before="120" w:after="120" w:line="240" w:lineRule="auto"/>
        <w:jc w:val="both"/>
        <w:rPr>
          <w:noProof/>
        </w:rPr>
      </w:pPr>
      <w:r>
        <w:rPr>
          <w:rFonts w:ascii="Times New Roman" w:hAnsi="Times New Roman"/>
          <w:noProof/>
          <w:sz w:val="24"/>
        </w:rPr>
        <w:t xml:space="preserve">Koeficijenti za izračun plaće trebaju se utvrditi na temelju postupka ocjenjivanja rada, uzimajući u obzir standardne kriterije ocjenjivanja poslova i klasifikacije kako su definirani Zakonom o plaćama u državnoj upravi i javnim službama (kao što su složenost posla, potrebno profesionalno iskustvo, samostalnost rada i potrebne dodatne stručne kompetencije i certifikati). Način primjene standardnih kriterija u postupku ocjenjivanja rada i klasifikacije radnih mjesta utvrdit će se uredbama Vlade. </w:t>
      </w:r>
    </w:p>
    <w:p w14:paraId="1A32C4F1" w14:textId="7EB3A0E3" w:rsidR="00733DCA" w:rsidRDefault="00733DCA" w:rsidP="0001477B">
      <w:pPr>
        <w:spacing w:before="120" w:after="120" w:line="240" w:lineRule="auto"/>
        <w:jc w:val="both"/>
        <w:rPr>
          <w:noProof/>
        </w:rPr>
      </w:pPr>
      <w:r>
        <w:rPr>
          <w:rFonts w:ascii="Times New Roman" w:hAnsi="Times New Roman"/>
          <w:noProof/>
          <w:sz w:val="24"/>
        </w:rPr>
        <w:t xml:space="preserve">Usporedbom radnih mjesta osigurat će se provedba načela jednake plaće za jednak rad ili rad jednake vrijednosti primjenom jedinstvenih standardnih mjerila te ukinuti dosadašnju praksu da se radna mjesta s istim ili sličnim poslovima, ali u različitim državnim tijelima ili javnim službama, različito plaćaju. </w:t>
      </w:r>
    </w:p>
    <w:p w14:paraId="28BA02C8" w14:textId="49EA3904"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Naposljetku, podzakonskim aktima osigurat će se da se isti razred klasificira na radno mjesto iste ili približno iste vrijednosti u smislu složenosti posla, odgovornosti, samostalnosti rada i ostalih standardnih kriterija.  </w:t>
      </w:r>
    </w:p>
    <w:p w14:paraId="03097E9A" w14:textId="77777777" w:rsidR="00733DCA" w:rsidRPr="0044186B"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Mjera će biti dovršena do 30. lipnja 2024.</w:t>
      </w:r>
    </w:p>
    <w:p w14:paraId="1E4A7DCD" w14:textId="77777777" w:rsidR="00733DCA" w:rsidRDefault="00733DCA" w:rsidP="0001477B">
      <w:pPr>
        <w:spacing w:before="120" w:after="120" w:line="240" w:lineRule="auto"/>
        <w:jc w:val="both"/>
        <w:rPr>
          <w:rFonts w:ascii="Times New Roman" w:eastAsia="Calibri" w:hAnsi="Times New Roman" w:cs="Times New Roman"/>
          <w:noProof/>
          <w:sz w:val="24"/>
          <w:szCs w:val="24"/>
          <w:lang w:val="en-GB"/>
        </w:rPr>
      </w:pPr>
    </w:p>
    <w:p w14:paraId="2AC8E4E0"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78012B78" w14:textId="77777777" w:rsidR="00733DCA" w:rsidRDefault="00733DCA" w:rsidP="0001477B">
      <w:pPr>
        <w:pStyle w:val="paragraph"/>
        <w:spacing w:before="0" w:beforeAutospacing="0" w:after="0" w:afterAutospacing="0"/>
        <w:ind w:left="840"/>
        <w:jc w:val="both"/>
        <w:textAlignment w:val="baseline"/>
        <w:rPr>
          <w:rStyle w:val="normaltextrun"/>
          <w:b/>
          <w:bCs/>
          <w:noProof/>
          <w:lang w:val="en-GB"/>
        </w:rPr>
        <w:sectPr w:rsidR="00733DCA" w:rsidSect="0001477B">
          <w:headerReference w:type="even" r:id="rId162"/>
          <w:headerReference w:type="default" r:id="rId163"/>
          <w:footerReference w:type="even" r:id="rId164"/>
          <w:footerReference w:type="default" r:id="rId165"/>
          <w:headerReference w:type="first" r:id="rId166"/>
          <w:footerReference w:type="first" r:id="rId167"/>
          <w:pgSz w:w="12240" w:h="15840"/>
          <w:pgMar w:top="1440" w:right="1440" w:bottom="1440" w:left="1440" w:header="708" w:footer="708" w:gutter="0"/>
          <w:cols w:space="708"/>
          <w:docGrid w:linePitch="360"/>
        </w:sectPr>
      </w:pPr>
    </w:p>
    <w:p w14:paraId="5FED84BA"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H.4.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p w14:paraId="3609CBFB" w14:textId="0FE763E6"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i/>
          <w:noProof/>
          <w:color w:val="4F81BD"/>
        </w:rPr>
        <w:t>. </w:t>
      </w:r>
      <w:r>
        <w:rPr>
          <w:rStyle w:val="eop"/>
          <w:noProof/>
          <w:color w:val="4F81BD"/>
        </w:rPr>
        <w:t> </w:t>
      </w:r>
    </w:p>
    <w:tbl>
      <w:tblPr>
        <w:tblW w:w="15373" w:type="dxa"/>
        <w:jc w:val="center"/>
        <w:tblCellMar>
          <w:top w:w="28" w:type="dxa"/>
          <w:left w:w="28" w:type="dxa"/>
          <w:bottom w:w="28" w:type="dxa"/>
          <w:right w:w="28" w:type="dxa"/>
        </w:tblCellMar>
        <w:tblLook w:val="04A0" w:firstRow="1" w:lastRow="0" w:firstColumn="1" w:lastColumn="0" w:noHBand="0" w:noVBand="1"/>
      </w:tblPr>
      <w:tblGrid>
        <w:gridCol w:w="778"/>
        <w:gridCol w:w="1034"/>
        <w:gridCol w:w="908"/>
        <w:gridCol w:w="1984"/>
        <w:gridCol w:w="12"/>
        <w:gridCol w:w="2256"/>
        <w:gridCol w:w="851"/>
        <w:gridCol w:w="897"/>
        <w:gridCol w:w="851"/>
        <w:gridCol w:w="567"/>
        <w:gridCol w:w="850"/>
        <w:gridCol w:w="4385"/>
      </w:tblGrid>
      <w:tr w:rsidR="00173E61" w:rsidRPr="006B6CA7" w14:paraId="5FF7DB64" w14:textId="77777777" w:rsidTr="008D7238">
        <w:trPr>
          <w:trHeight w:val="693"/>
          <w:tblHeader/>
          <w:jc w:val="center"/>
        </w:trPr>
        <w:tc>
          <w:tcPr>
            <w:tcW w:w="7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E3320D"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03FCB5"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027962"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CF75EF8"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033D0A"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59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C4986AB"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417" w:type="dxa"/>
            <w:gridSpan w:val="2"/>
            <w:tcBorders>
              <w:top w:val="single" w:sz="4" w:space="0" w:color="auto"/>
              <w:left w:val="nil"/>
              <w:bottom w:val="single" w:sz="4" w:space="0" w:color="auto"/>
              <w:right w:val="single" w:sz="4" w:space="0" w:color="auto"/>
            </w:tcBorders>
            <w:shd w:val="clear" w:color="auto" w:fill="BDD7EE"/>
            <w:vAlign w:val="center"/>
            <w:hideMark/>
          </w:tcPr>
          <w:p w14:paraId="6BC02662"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3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8D7CC1"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173E61" w:rsidRPr="006B6CA7" w14:paraId="69BD2218" w14:textId="77777777" w:rsidTr="008D7238">
        <w:trPr>
          <w:trHeight w:val="55"/>
          <w:tblHeader/>
          <w:jc w:val="center"/>
        </w:trPr>
        <w:tc>
          <w:tcPr>
            <w:tcW w:w="778" w:type="dxa"/>
            <w:vMerge/>
            <w:tcBorders>
              <w:top w:val="single" w:sz="4" w:space="0" w:color="auto"/>
              <w:left w:val="single" w:sz="4" w:space="0" w:color="auto"/>
              <w:bottom w:val="single" w:sz="4" w:space="0" w:color="auto"/>
              <w:right w:val="single" w:sz="4" w:space="0" w:color="auto"/>
            </w:tcBorders>
            <w:hideMark/>
          </w:tcPr>
          <w:p w14:paraId="42A87F04"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1034" w:type="dxa"/>
            <w:vMerge/>
            <w:tcBorders>
              <w:top w:val="single" w:sz="4" w:space="0" w:color="auto"/>
              <w:left w:val="single" w:sz="4" w:space="0" w:color="auto"/>
              <w:bottom w:val="single" w:sz="4" w:space="0" w:color="auto"/>
              <w:right w:val="single" w:sz="4" w:space="0" w:color="auto"/>
            </w:tcBorders>
            <w:hideMark/>
          </w:tcPr>
          <w:p w14:paraId="551DA7AD"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908" w:type="dxa"/>
            <w:vMerge/>
            <w:tcBorders>
              <w:top w:val="single" w:sz="4" w:space="0" w:color="auto"/>
              <w:left w:val="single" w:sz="4" w:space="0" w:color="auto"/>
              <w:bottom w:val="single" w:sz="4" w:space="0" w:color="auto"/>
              <w:right w:val="single" w:sz="4" w:space="0" w:color="auto"/>
            </w:tcBorders>
            <w:hideMark/>
          </w:tcPr>
          <w:p w14:paraId="6DB66EE9"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1984" w:type="dxa"/>
            <w:vMerge/>
            <w:tcBorders>
              <w:top w:val="single" w:sz="4" w:space="0" w:color="auto"/>
              <w:left w:val="single" w:sz="4" w:space="0" w:color="auto"/>
              <w:bottom w:val="single" w:sz="4" w:space="0" w:color="auto"/>
              <w:right w:val="single" w:sz="4" w:space="0" w:color="auto"/>
            </w:tcBorders>
            <w:hideMark/>
          </w:tcPr>
          <w:p w14:paraId="0AC9E366"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2268" w:type="dxa"/>
            <w:gridSpan w:val="2"/>
            <w:vMerge/>
            <w:tcBorders>
              <w:top w:val="single" w:sz="4" w:space="0" w:color="auto"/>
              <w:left w:val="single" w:sz="4" w:space="0" w:color="auto"/>
              <w:bottom w:val="single" w:sz="4" w:space="0" w:color="auto"/>
              <w:right w:val="single" w:sz="4" w:space="0" w:color="auto"/>
            </w:tcBorders>
            <w:hideMark/>
          </w:tcPr>
          <w:p w14:paraId="7E25722E"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851" w:type="dxa"/>
            <w:tcBorders>
              <w:top w:val="nil"/>
              <w:left w:val="single" w:sz="4" w:space="0" w:color="auto"/>
              <w:bottom w:val="single" w:sz="4" w:space="0" w:color="auto"/>
              <w:right w:val="single" w:sz="4" w:space="0" w:color="auto"/>
            </w:tcBorders>
            <w:shd w:val="clear" w:color="auto" w:fill="BDD7EE"/>
            <w:vAlign w:val="center"/>
            <w:hideMark/>
          </w:tcPr>
          <w:p w14:paraId="7D9A3C67"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97" w:type="dxa"/>
            <w:tcBorders>
              <w:top w:val="nil"/>
              <w:left w:val="nil"/>
              <w:bottom w:val="single" w:sz="4" w:space="0" w:color="auto"/>
              <w:right w:val="single" w:sz="4" w:space="0" w:color="auto"/>
            </w:tcBorders>
            <w:shd w:val="clear" w:color="auto" w:fill="BDD7EE"/>
            <w:vAlign w:val="center"/>
            <w:hideMark/>
          </w:tcPr>
          <w:p w14:paraId="210C38A0" w14:textId="73413370"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1" w:type="dxa"/>
            <w:tcBorders>
              <w:top w:val="nil"/>
              <w:left w:val="nil"/>
              <w:bottom w:val="single" w:sz="4" w:space="0" w:color="auto"/>
              <w:right w:val="single" w:sz="4" w:space="0" w:color="auto"/>
            </w:tcBorders>
            <w:shd w:val="clear" w:color="auto" w:fill="BDD7EE"/>
            <w:vAlign w:val="center"/>
            <w:hideMark/>
          </w:tcPr>
          <w:p w14:paraId="6CE519AE"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67" w:type="dxa"/>
            <w:tcBorders>
              <w:top w:val="nil"/>
              <w:left w:val="nil"/>
              <w:bottom w:val="single" w:sz="4" w:space="0" w:color="auto"/>
              <w:right w:val="single" w:sz="4" w:space="0" w:color="auto"/>
            </w:tcBorders>
            <w:shd w:val="clear" w:color="auto" w:fill="BDD7EE"/>
            <w:vAlign w:val="center"/>
            <w:hideMark/>
          </w:tcPr>
          <w:p w14:paraId="2C1713F6"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850" w:type="dxa"/>
            <w:tcBorders>
              <w:top w:val="nil"/>
              <w:left w:val="nil"/>
              <w:bottom w:val="single" w:sz="4" w:space="0" w:color="auto"/>
              <w:right w:val="single" w:sz="4" w:space="0" w:color="auto"/>
            </w:tcBorders>
            <w:shd w:val="clear" w:color="auto" w:fill="BDD7EE"/>
            <w:vAlign w:val="center"/>
            <w:hideMark/>
          </w:tcPr>
          <w:p w14:paraId="0C657FA4" w14:textId="77777777" w:rsidR="00733DCA" w:rsidRPr="006B6CA7"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385" w:type="dxa"/>
            <w:vMerge/>
            <w:tcBorders>
              <w:top w:val="single" w:sz="4" w:space="0" w:color="auto"/>
              <w:bottom w:val="single" w:sz="4" w:space="0" w:color="auto"/>
              <w:right w:val="single" w:sz="4" w:space="0" w:color="auto"/>
            </w:tcBorders>
            <w:hideMark/>
          </w:tcPr>
          <w:p w14:paraId="2CDE5DB1" w14:textId="77777777" w:rsidR="00733DCA" w:rsidRPr="006B6CA7" w:rsidRDefault="00733DCA">
            <w:pPr>
              <w:spacing w:after="0" w:line="276" w:lineRule="auto"/>
              <w:rPr>
                <w:rFonts w:ascii="Times New Roman" w:eastAsia="Times New Roman" w:hAnsi="Times New Roman" w:cs="Times New Roman"/>
                <w:b/>
                <w:noProof/>
                <w:lang w:val="en-GB" w:eastAsia="en-GB"/>
              </w:rPr>
            </w:pPr>
          </w:p>
        </w:tc>
      </w:tr>
      <w:tr w:rsidR="00173E61" w:rsidRPr="006B6CA7" w14:paraId="3129FD13" w14:textId="77777777" w:rsidTr="008D7238">
        <w:trPr>
          <w:trHeight w:val="283"/>
          <w:jc w:val="center"/>
        </w:trPr>
        <w:tc>
          <w:tcPr>
            <w:tcW w:w="778" w:type="dxa"/>
            <w:tcBorders>
              <w:top w:val="single" w:sz="4" w:space="0" w:color="auto"/>
              <w:left w:val="single" w:sz="4" w:space="0" w:color="auto"/>
              <w:bottom w:val="single" w:sz="4" w:space="0" w:color="auto"/>
              <w:right w:val="single" w:sz="4" w:space="0" w:color="auto"/>
            </w:tcBorders>
            <w:shd w:val="clear" w:color="auto" w:fill="C6EFCE"/>
            <w:noWrap/>
          </w:tcPr>
          <w:p w14:paraId="17D1E7E9" w14:textId="74A91E9D" w:rsidR="00733DCA" w:rsidRPr="00AD6308" w:rsidRDefault="00CE0701">
            <w:pPr>
              <w:spacing w:after="0" w:line="276" w:lineRule="auto"/>
              <w:jc w:val="center"/>
              <w:rPr>
                <w:rFonts w:eastAsia="Calibri" w:cstheme="minorHAnsi"/>
                <w:noProof/>
                <w:sz w:val="20"/>
                <w:szCs w:val="20"/>
              </w:rPr>
            </w:pPr>
            <w:r>
              <w:rPr>
                <w:noProof/>
                <w:sz w:val="20"/>
              </w:rPr>
              <w:t>393</w:t>
            </w:r>
          </w:p>
        </w:tc>
        <w:tc>
          <w:tcPr>
            <w:tcW w:w="1034" w:type="dxa"/>
            <w:tcBorders>
              <w:top w:val="single" w:sz="4" w:space="0" w:color="auto"/>
              <w:left w:val="nil"/>
              <w:bottom w:val="single" w:sz="4" w:space="0" w:color="auto"/>
              <w:right w:val="single" w:sz="4" w:space="0" w:color="auto"/>
            </w:tcBorders>
            <w:shd w:val="clear" w:color="auto" w:fill="C6EFCE"/>
            <w:noWrap/>
          </w:tcPr>
          <w:p w14:paraId="6ABA8C6A" w14:textId="6634825E" w:rsidR="00733DCA" w:rsidRPr="00AD6308" w:rsidRDefault="00733DCA">
            <w:pPr>
              <w:spacing w:after="200" w:line="276" w:lineRule="auto"/>
              <w:jc w:val="center"/>
              <w:rPr>
                <w:rFonts w:eastAsia="Calibri" w:cstheme="minorHAnsi"/>
                <w:noProof/>
                <w:sz w:val="20"/>
                <w:szCs w:val="20"/>
              </w:rPr>
            </w:pPr>
            <w:r>
              <w:rPr>
                <w:noProof/>
                <w:color w:val="000000" w:themeColor="text1"/>
                <w:sz w:val="20"/>
              </w:rPr>
              <w:t>C2.2.R5</w:t>
            </w:r>
          </w:p>
        </w:tc>
        <w:tc>
          <w:tcPr>
            <w:tcW w:w="908" w:type="dxa"/>
            <w:tcBorders>
              <w:top w:val="single" w:sz="4" w:space="0" w:color="auto"/>
              <w:left w:val="nil"/>
              <w:bottom w:val="single" w:sz="4" w:space="0" w:color="auto"/>
              <w:right w:val="single" w:sz="4" w:space="0" w:color="auto"/>
            </w:tcBorders>
            <w:shd w:val="clear" w:color="auto" w:fill="C6EFCE"/>
            <w:noWrap/>
          </w:tcPr>
          <w:p w14:paraId="11A9B63F" w14:textId="77777777" w:rsidR="00733DCA" w:rsidRPr="00AD6308" w:rsidRDefault="00733DCA">
            <w:pPr>
              <w:spacing w:after="200" w:line="276" w:lineRule="auto"/>
              <w:jc w:val="center"/>
              <w:rPr>
                <w:rFonts w:eastAsia="Calibri" w:cstheme="minorHAnsi"/>
                <w:noProof/>
                <w:sz w:val="20"/>
                <w:szCs w:val="20"/>
              </w:rPr>
            </w:pPr>
            <w:r>
              <w:rPr>
                <w:noProof/>
                <w:color w:val="000000"/>
                <w:sz w:val="20"/>
              </w:rPr>
              <w:t>Ključna etapa</w:t>
            </w:r>
          </w:p>
        </w:tc>
        <w:tc>
          <w:tcPr>
            <w:tcW w:w="1996" w:type="dxa"/>
            <w:gridSpan w:val="2"/>
            <w:tcBorders>
              <w:top w:val="single" w:sz="4" w:space="0" w:color="auto"/>
              <w:left w:val="nil"/>
              <w:bottom w:val="single" w:sz="4" w:space="0" w:color="auto"/>
              <w:right w:val="single" w:sz="4" w:space="0" w:color="auto"/>
            </w:tcBorders>
            <w:shd w:val="clear" w:color="auto" w:fill="C6EFCE"/>
            <w:noWrap/>
          </w:tcPr>
          <w:p w14:paraId="36C14C67" w14:textId="4DDD1D3C" w:rsidR="00733DCA" w:rsidRPr="006B6CA7" w:rsidRDefault="00733DCA">
            <w:pPr>
              <w:spacing w:after="240" w:line="276" w:lineRule="auto"/>
              <w:rPr>
                <w:rFonts w:ascii="Times New Roman" w:eastAsia="Calibri" w:hAnsi="Times New Roman" w:cs="Times New Roman"/>
                <w:noProof/>
                <w:sz w:val="20"/>
                <w:szCs w:val="20"/>
              </w:rPr>
            </w:pPr>
            <w:r>
              <w:rPr>
                <w:rFonts w:ascii="Calibri" w:hAnsi="Calibri"/>
                <w:noProof/>
                <w:color w:val="000000" w:themeColor="text1"/>
                <w:sz w:val="20"/>
              </w:rPr>
              <w:t>Stupanje na snagu podzakonskih akata o novim modelima plaća i centraliziranom sustavu prijama u državnu službu i javnu upravu.</w:t>
            </w:r>
          </w:p>
        </w:tc>
        <w:tc>
          <w:tcPr>
            <w:tcW w:w="2256" w:type="dxa"/>
            <w:tcBorders>
              <w:top w:val="single" w:sz="4" w:space="0" w:color="auto"/>
              <w:left w:val="nil"/>
              <w:bottom w:val="single" w:sz="4" w:space="0" w:color="auto"/>
              <w:right w:val="single" w:sz="4" w:space="0" w:color="auto"/>
            </w:tcBorders>
            <w:shd w:val="clear" w:color="auto" w:fill="C6EFCE"/>
            <w:noWrap/>
          </w:tcPr>
          <w:p w14:paraId="309CEA21" w14:textId="1F833FD6" w:rsidR="00733DCA" w:rsidRPr="006B6CA7" w:rsidRDefault="00733DCA">
            <w:pPr>
              <w:spacing w:after="240" w:line="276" w:lineRule="auto"/>
              <w:rPr>
                <w:rFonts w:ascii="Times New Roman" w:eastAsia="Calibri" w:hAnsi="Times New Roman" w:cs="Times New Roman"/>
                <w:noProof/>
                <w:sz w:val="20"/>
                <w:szCs w:val="20"/>
              </w:rPr>
            </w:pPr>
            <w:r>
              <w:rPr>
                <w:rFonts w:ascii="Calibri" w:hAnsi="Calibri"/>
                <w:noProof/>
                <w:color w:val="000000" w:themeColor="text1"/>
                <w:sz w:val="20"/>
              </w:rPr>
              <w:t>Stupanje na snagu uredba Vlade kojima se utvrđuju kriteriji za reguliranje novih modela plaća u državnoj službi i javnim službama</w:t>
            </w:r>
          </w:p>
        </w:tc>
        <w:tc>
          <w:tcPr>
            <w:tcW w:w="851" w:type="dxa"/>
            <w:tcBorders>
              <w:top w:val="nil"/>
              <w:left w:val="nil"/>
              <w:bottom w:val="single" w:sz="4" w:space="0" w:color="auto"/>
              <w:right w:val="single" w:sz="4" w:space="0" w:color="auto"/>
            </w:tcBorders>
            <w:shd w:val="clear" w:color="auto" w:fill="C6EFCE"/>
            <w:noWrap/>
          </w:tcPr>
          <w:p w14:paraId="0ECEBE3F" w14:textId="77777777" w:rsidR="00733DCA" w:rsidRPr="006B6CA7" w:rsidRDefault="00733DCA" w:rsidP="0001477B">
            <w:pPr>
              <w:spacing w:after="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897" w:type="dxa"/>
            <w:tcBorders>
              <w:top w:val="nil"/>
              <w:left w:val="nil"/>
              <w:bottom w:val="single" w:sz="4" w:space="0" w:color="auto"/>
              <w:right w:val="single" w:sz="4" w:space="0" w:color="auto"/>
            </w:tcBorders>
            <w:shd w:val="clear" w:color="auto" w:fill="C6EFCE"/>
            <w:noWrap/>
          </w:tcPr>
          <w:p w14:paraId="2C652A97" w14:textId="77777777" w:rsidR="00733DCA" w:rsidRPr="006B6CA7"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851" w:type="dxa"/>
            <w:tcBorders>
              <w:top w:val="nil"/>
              <w:left w:val="nil"/>
              <w:bottom w:val="single" w:sz="4" w:space="0" w:color="auto"/>
              <w:right w:val="single" w:sz="4" w:space="0" w:color="auto"/>
            </w:tcBorders>
            <w:shd w:val="clear" w:color="auto" w:fill="C6EFCE"/>
            <w:noWrap/>
          </w:tcPr>
          <w:p w14:paraId="401FA312" w14:textId="77777777" w:rsidR="00733DCA" w:rsidRPr="006B6CA7"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 </w:t>
            </w:r>
          </w:p>
        </w:tc>
        <w:tc>
          <w:tcPr>
            <w:tcW w:w="567" w:type="dxa"/>
            <w:tcBorders>
              <w:top w:val="nil"/>
              <w:left w:val="nil"/>
              <w:bottom w:val="single" w:sz="4" w:space="0" w:color="auto"/>
              <w:right w:val="single" w:sz="4" w:space="0" w:color="auto"/>
            </w:tcBorders>
            <w:shd w:val="clear" w:color="auto" w:fill="C6EFCE"/>
            <w:noWrap/>
          </w:tcPr>
          <w:p w14:paraId="18BFB691" w14:textId="77777777" w:rsidR="00733DCA" w:rsidRPr="006B6CA7"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50" w:type="dxa"/>
            <w:tcBorders>
              <w:top w:val="nil"/>
              <w:left w:val="nil"/>
              <w:bottom w:val="single" w:sz="4" w:space="0" w:color="auto"/>
              <w:right w:val="single" w:sz="4" w:space="0" w:color="auto"/>
            </w:tcBorders>
            <w:shd w:val="clear" w:color="auto" w:fill="C6EFCE"/>
            <w:noWrap/>
          </w:tcPr>
          <w:p w14:paraId="0DCBA807" w14:textId="77777777" w:rsidR="00733DCA" w:rsidRPr="006B6CA7"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385" w:type="dxa"/>
            <w:tcBorders>
              <w:top w:val="single" w:sz="4" w:space="0" w:color="auto"/>
              <w:left w:val="nil"/>
              <w:bottom w:val="single" w:sz="4" w:space="0" w:color="auto"/>
              <w:right w:val="single" w:sz="4" w:space="0" w:color="auto"/>
            </w:tcBorders>
            <w:shd w:val="clear" w:color="auto" w:fill="C6EFCE"/>
            <w:noWrap/>
          </w:tcPr>
          <w:p w14:paraId="0AB8B1AC" w14:textId="77777777" w:rsidR="00AD6308" w:rsidRDefault="00733DCA" w:rsidP="00AD6308">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Stupanje na snagu šest podzakonskih akata kojima se detaljno razrađuje sustav platnih razreda i koeficijenata za službenike i namještenike u državnoj službi i javnim službama te postupak, kriteriji i način ocjenjivanja učinkovitosti rada službenika i namještenika u državnim tijelima i javnim službama.  U podzakonskim aktima, prema potrebi, uzima se u obzir analiza koju je Svjetska banka provela u okviru ulaganja C2.2.R2-I1. </w:t>
            </w:r>
          </w:p>
          <w:p w14:paraId="038941D3" w14:textId="747A165C" w:rsidR="00733DCA" w:rsidRPr="00F73171" w:rsidRDefault="00733DCA" w:rsidP="00AD6308">
            <w:pPr>
              <w:spacing w:after="0" w:line="276" w:lineRule="auto"/>
              <w:rPr>
                <w:rFonts w:ascii="Calibri" w:eastAsia="Calibri" w:hAnsi="Calibri" w:cs="Arial"/>
                <w:noProof/>
                <w:color w:val="000000"/>
                <w:sz w:val="20"/>
                <w:szCs w:val="20"/>
              </w:rPr>
            </w:pPr>
            <w:r>
              <w:rPr>
                <w:rFonts w:ascii="Calibri" w:hAnsi="Calibri"/>
                <w:noProof/>
                <w:color w:val="000000"/>
                <w:sz w:val="20"/>
              </w:rPr>
              <w:t xml:space="preserve">Podzakonskim aktima uredit će se: </w:t>
            </w:r>
          </w:p>
          <w:p w14:paraId="742E1DB1" w14:textId="77777777" w:rsidR="00AD6308" w:rsidRDefault="00733DCA" w:rsidP="00AD6308">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 način primjene standardnih mjerila, propisanih zakonom, u postupku vrednovanja i klasifikacije radnih mjesta u državnim tijelima i javnim službama (stručni timovi tijela državne uprave i javnih službi vrednovat će radna mjesta te u suradnji s Ministarstvom pravosuđa i uprave odnosno Ministarstvom rada, mirovinskog sustava, obitelji i socijalne politike izvršiti analizu koja će se uzeti u obzir pri utvrđivanju koeficijenata za obračun plaća radnih mjesta); </w:t>
            </w:r>
          </w:p>
          <w:p w14:paraId="2AFE60CE" w14:textId="5B9B6993" w:rsidR="00733DCA" w:rsidRPr="00F73171" w:rsidRDefault="00733DCA" w:rsidP="00AD6308">
            <w:pPr>
              <w:spacing w:after="0" w:line="276" w:lineRule="auto"/>
              <w:rPr>
                <w:rFonts w:ascii="Calibri" w:eastAsia="Calibri" w:hAnsi="Calibri" w:cs="Arial"/>
                <w:noProof/>
                <w:color w:val="000000"/>
                <w:sz w:val="20"/>
                <w:szCs w:val="20"/>
              </w:rPr>
            </w:pPr>
            <w:r>
              <w:rPr>
                <w:rFonts w:ascii="Calibri" w:hAnsi="Calibri"/>
                <w:noProof/>
                <w:color w:val="000000" w:themeColor="text1"/>
                <w:sz w:val="20"/>
              </w:rPr>
              <w:t xml:space="preserve">– nazivi radnih mjesta, uvjeti za raspored, klasifikacija radnih mjesta i pripadajući platni razred te koeficijenti za obračun plaće u državnim tijelima (nakon provedene konsolidacije odnosno smanjenja broja radnih mjesta); </w:t>
            </w:r>
          </w:p>
          <w:p w14:paraId="2453B463" w14:textId="5A11DDEB" w:rsidR="173CA801" w:rsidRDefault="5D097E53" w:rsidP="00AD6308">
            <w:pPr>
              <w:spacing w:after="0" w:line="276" w:lineRule="auto"/>
              <w:rPr>
                <w:rFonts w:ascii="Calibri" w:eastAsia="Calibri" w:hAnsi="Calibri" w:cs="Arial"/>
                <w:noProof/>
                <w:color w:val="000000" w:themeColor="text1"/>
                <w:sz w:val="20"/>
                <w:szCs w:val="20"/>
              </w:rPr>
            </w:pPr>
            <w:r>
              <w:rPr>
                <w:rFonts w:ascii="Calibri" w:hAnsi="Calibri"/>
                <w:noProof/>
                <w:color w:val="000000" w:themeColor="text1"/>
                <w:sz w:val="20"/>
              </w:rPr>
              <w:t>– nazivi radnih mjesta, uvjeti za raspored, klasifikacija radnih mjesta i pripadajući platni razred te koeficijenti za obračun plaće u javnim službama (nakon provedene konsolidacije odnosno smanjenja broja radnih mjesta);</w:t>
            </w:r>
          </w:p>
          <w:p w14:paraId="7BD4924D" w14:textId="1CF23A03" w:rsidR="00733DCA" w:rsidRPr="00F73171" w:rsidRDefault="00733DCA" w:rsidP="00AD6308">
            <w:pPr>
              <w:spacing w:after="0" w:line="276" w:lineRule="auto"/>
              <w:rPr>
                <w:rFonts w:ascii="Calibri" w:eastAsia="Calibri" w:hAnsi="Calibri" w:cs="Arial"/>
                <w:noProof/>
                <w:color w:val="000000"/>
                <w:sz w:val="20"/>
                <w:szCs w:val="20"/>
              </w:rPr>
            </w:pPr>
            <w:r>
              <w:rPr>
                <w:rFonts w:ascii="Calibri" w:hAnsi="Calibri"/>
                <w:noProof/>
                <w:color w:val="000000" w:themeColor="text1"/>
                <w:sz w:val="20"/>
              </w:rPr>
              <w:t>– rasponi koeficijenata u platnim razredima u okviru jedinstvene platne ljestvice za državna tijela i javne službe;</w:t>
            </w:r>
          </w:p>
          <w:p w14:paraId="61F7174D" w14:textId="1AC1D657" w:rsidR="00733DCA" w:rsidRPr="006B6CA7" w:rsidRDefault="00733DCA" w:rsidP="00AD6308">
            <w:pPr>
              <w:spacing w:after="0" w:line="276" w:lineRule="auto"/>
              <w:rPr>
                <w:rFonts w:ascii="Times New Roman" w:eastAsia="Calibri" w:hAnsi="Times New Roman" w:cs="Times New Roman"/>
                <w:noProof/>
                <w:sz w:val="20"/>
                <w:szCs w:val="20"/>
              </w:rPr>
            </w:pPr>
            <w:r>
              <w:rPr>
                <w:rFonts w:ascii="Calibri" w:hAnsi="Calibri"/>
                <w:noProof/>
                <w:color w:val="000000" w:themeColor="text1"/>
                <w:sz w:val="20"/>
              </w:rPr>
              <w:t>– postupak, kriteriji i način ocjenjivanja učinkovitosti rada službenika (uključujući i rukovodećih službenika) i namještenika u državnim tijelima;</w:t>
            </w:r>
          </w:p>
          <w:p w14:paraId="24FDA184" w14:textId="107DDDCD" w:rsidR="00733DCA" w:rsidRPr="006B6CA7" w:rsidRDefault="0987EE7F" w:rsidP="00AD6308">
            <w:pPr>
              <w:spacing w:after="0" w:line="276" w:lineRule="auto"/>
              <w:rPr>
                <w:rFonts w:ascii="Times New Roman" w:eastAsia="Calibri" w:hAnsi="Times New Roman" w:cs="Times New Roman"/>
                <w:noProof/>
                <w:sz w:val="20"/>
                <w:szCs w:val="20"/>
              </w:rPr>
            </w:pPr>
            <w:r>
              <w:rPr>
                <w:rFonts w:ascii="Calibri" w:hAnsi="Calibri"/>
                <w:noProof/>
                <w:color w:val="000000" w:themeColor="text1"/>
                <w:sz w:val="20"/>
              </w:rPr>
              <w:t>– postupak, kriteriji i način ocjenjivanja učinkovitosti rada službenika (uključujući i rukovodećih službenika) i namještenika u javnim službama.</w:t>
            </w:r>
          </w:p>
        </w:tc>
      </w:tr>
    </w:tbl>
    <w:p w14:paraId="4D3A7252" w14:textId="77777777" w:rsidR="00733DCA" w:rsidRDefault="00733DCA" w:rsidP="00C33FB0">
      <w:pPr>
        <w:pStyle w:val="paragraph"/>
        <w:spacing w:before="0" w:beforeAutospacing="0" w:after="0" w:afterAutospacing="0"/>
        <w:jc w:val="both"/>
        <w:rPr>
          <w:rStyle w:val="eop"/>
          <w:noProof/>
          <w:color w:val="4F81BD"/>
        </w:rPr>
      </w:pPr>
    </w:p>
    <w:p w14:paraId="56408B61" w14:textId="77777777" w:rsidR="00733DCA" w:rsidRPr="00BC0323" w:rsidRDefault="00733DCA">
      <w:pPr>
        <w:rPr>
          <w:noProof/>
        </w:rPr>
      </w:pPr>
    </w:p>
    <w:p w14:paraId="0890A98A" w14:textId="77777777" w:rsidR="00CE0701" w:rsidRPr="00BC0323" w:rsidRDefault="00CE0701" w:rsidP="0001477B">
      <w:pPr>
        <w:keepNext/>
        <w:tabs>
          <w:tab w:val="left" w:pos="850"/>
        </w:tabs>
        <w:spacing w:before="360" w:after="120" w:line="240" w:lineRule="auto"/>
        <w:ind w:left="850" w:hanging="850"/>
        <w:jc w:val="both"/>
        <w:outlineLvl w:val="0"/>
        <w:rPr>
          <w:rFonts w:ascii="Times New Roman" w:eastAsia="Calibri" w:hAnsi="Times New Roman" w:cs="Times New Roman"/>
          <w:b/>
          <w:bCs/>
          <w:smallCaps/>
          <w:noProof/>
          <w:sz w:val="24"/>
          <w:szCs w:val="24"/>
        </w:rPr>
        <w:sectPr w:rsidR="00CE0701" w:rsidRPr="00BC0323" w:rsidSect="0001477B">
          <w:headerReference w:type="even" r:id="rId168"/>
          <w:headerReference w:type="default" r:id="rId169"/>
          <w:footerReference w:type="even" r:id="rId170"/>
          <w:footerReference w:type="default" r:id="rId171"/>
          <w:headerReference w:type="first" r:id="rId172"/>
          <w:footerReference w:type="first" r:id="rId173"/>
          <w:pgSz w:w="15840" w:h="12240" w:orient="landscape"/>
          <w:pgMar w:top="1440" w:right="1440" w:bottom="1440" w:left="1440" w:header="708" w:footer="708" w:gutter="0"/>
          <w:cols w:space="708"/>
          <w:docGrid w:linePitch="360"/>
        </w:sectPr>
      </w:pPr>
    </w:p>
    <w:p w14:paraId="720817C2" w14:textId="77777777" w:rsidR="00733DCA" w:rsidRPr="00D03199" w:rsidRDefault="00733DCA" w:rsidP="0001477B">
      <w:pPr>
        <w:keepNext/>
        <w:tabs>
          <w:tab w:val="left" w:pos="850"/>
        </w:tabs>
        <w:spacing w:before="360" w:after="120" w:line="240" w:lineRule="auto"/>
        <w:ind w:left="850" w:hanging="850"/>
        <w:jc w:val="both"/>
        <w:outlineLvl w:val="0"/>
        <w:rPr>
          <w:rFonts w:ascii="Times New Roman" w:eastAsia="Calibri" w:hAnsi="Times New Roman" w:cs="Times New Roman"/>
          <w:b/>
          <w:bCs/>
          <w:smallCaps/>
          <w:noProof/>
          <w:sz w:val="24"/>
          <w:szCs w:val="24"/>
        </w:rPr>
      </w:pPr>
      <w:r>
        <w:rPr>
          <w:rFonts w:ascii="Times New Roman" w:hAnsi="Times New Roman"/>
          <w:b/>
          <w:smallCaps/>
          <w:noProof/>
          <w:sz w:val="24"/>
        </w:rPr>
        <w:t>I. KOMPONENTA 2.3.: DIGITALNA TRANSFORMACIJA DRUŠTVA I JAVNE UPRAVE</w:t>
      </w:r>
    </w:p>
    <w:p w14:paraId="3B846F54"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Hrvatska je 2020. bila na 20. mjestu prema Indeksu gospodarske i društvene digitalizacije (DESI), a dostupnost javnih usluga na internetu još je manjkava. Slaba digitalna povezivost ograničava daljnji razvoj digitalnog gospodarstva Hrvatske i doprinosi produbljenju digitalnog jaza između urbanih i ruralnih područja. </w:t>
      </w:r>
    </w:p>
    <w:p w14:paraId="62AFBB1C"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komponente podržati digitalnu tranziciju hrvatskoga gospodarstva i društva. Obuhvaća reforme i ulaganja namijenjene digitalizaciji javne uprave, povećanju pružanja javnih usluga na internetu i omogućivanju pristupa mrežama gigabitne povezanosti na područjima pogođenima tržišnim neuspjehom, uključujući ruralna područja. </w:t>
      </w:r>
    </w:p>
    <w:p w14:paraId="0AAA19F6" w14:textId="77777777" w:rsidR="00733DCA" w:rsidRPr="00D03199" w:rsidRDefault="00733DCA" w:rsidP="0001477B">
      <w:pPr>
        <w:spacing w:before="120" w:after="100" w:line="240" w:lineRule="auto"/>
        <w:jc w:val="both"/>
        <w:rPr>
          <w:rFonts w:ascii="Times New Roman" w:eastAsia="Times New Roman," w:hAnsi="Times New Roman" w:cs="Times New Roman"/>
          <w:i/>
          <w:iCs/>
          <w:noProof/>
          <w:sz w:val="24"/>
          <w:szCs w:val="24"/>
        </w:rPr>
      </w:pPr>
      <w:r>
        <w:rPr>
          <w:rFonts w:ascii="Times New Roman" w:hAnsi="Times New Roman"/>
          <w:noProof/>
          <w:sz w:val="24"/>
        </w:rPr>
        <w:t>Komponentom se doprinosi ispunjenju preporuka upućenih Hrvatskoj o potrebi za „konsolidacijom socijalnih naknada i poboljšanjem njihova učinka na smanjenje siromaštva” (2. preporuka za Hrvatsku iz 2019.), „povećanjem pristupa digitalnoj infrastrukturi i uslugama” (2. preporuka za Hrvatsku iz 2020.) i za „usmjeravanjem ulaganja u zelenu i digitalnu tranziciju, osobito u širokopojasni brzi pristup” (3. preporuka za Hrvatsku iz 2020.).</w:t>
      </w:r>
    </w:p>
    <w:p w14:paraId="3AB29E5A" w14:textId="77777777" w:rsidR="00733DCA" w:rsidRPr="00D03199" w:rsidRDefault="00733DCA" w:rsidP="0001477B">
      <w:pPr>
        <w:spacing w:before="40" w:after="0"/>
        <w:jc w:val="both"/>
        <w:rPr>
          <w:rFonts w:ascii="Times New Roman" w:eastAsia="SimSun" w:hAnsi="Times New Roman" w:cs="Times New Roman"/>
          <w:noProof/>
          <w:sz w:val="24"/>
          <w:szCs w:val="24"/>
        </w:rPr>
      </w:pPr>
      <w:r>
        <w:rPr>
          <w:rFonts w:ascii="Times New Roman" w:hAnsi="Times New Roman"/>
          <w:noProof/>
          <w:sz w:val="24"/>
        </w:rPr>
        <w:t>Komponenta uključuje četiri reforme i dvadeset ulaganja.</w:t>
      </w:r>
    </w:p>
    <w:p w14:paraId="7171AE12" w14:textId="77777777" w:rsidR="00733DCA" w:rsidRPr="00D03199" w:rsidRDefault="00733DCA" w:rsidP="0001477B">
      <w:pPr>
        <w:spacing w:before="120" w:after="120" w:line="240" w:lineRule="auto"/>
        <w:jc w:val="both"/>
        <w:rPr>
          <w:rFonts w:ascii="Times New Roman" w:eastAsia="Calibri" w:hAnsi="Times New Roman" w:cs="Times New Roman"/>
          <w:noProof/>
          <w:sz w:val="24"/>
          <w:lang w:val="en-GB"/>
        </w:rPr>
      </w:pPr>
    </w:p>
    <w:p w14:paraId="312FDE67" w14:textId="77777777" w:rsidR="00733DCA" w:rsidRPr="00D03199"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I.1. </w:t>
      </w:r>
      <w:r>
        <w:rPr>
          <w:rFonts w:ascii="Times New Roman" w:hAnsi="Times New Roman"/>
          <w:b/>
          <w:noProof/>
          <w:sz w:val="24"/>
          <w:u w:val="single"/>
        </w:rPr>
        <w:tab/>
        <w:t>Opis reformi i ulaganja za programe bespovratne financijske potpore</w:t>
      </w:r>
    </w:p>
    <w:p w14:paraId="1473E49F"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Reforma C2.3. R1 – Strategija Digitalna Hrvatska i jačanje međuinstitucijske suradnje i koordinacije za uspješnu digitalnu tranziciju društva i gospodarstva</w:t>
      </w:r>
    </w:p>
    <w:p w14:paraId="3D165B03"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reforme upravljati digitalnom transformacijom hrvatskoga društva i gospodarstva u idućem desetljeću. Strategijom Digitalna Hrvatska do 2030. utvrdit će se strateški okvir za ulaganja u digitalnu tranziciju i strateški ciljevi u sljedećim područjima: i. digitalna tranzicija gospodarstva, ii. digitalizacija javne uprave i pravosuđa, iii. digitalna povezivost/razvoj širokopojasnih elektroničkih komunikacijskih mreža i iv. razvoj digitalnih vještina i radnih mjesta u digitalnom sektoru.</w:t>
      </w:r>
    </w:p>
    <w:p w14:paraId="1DAE6539"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 okviru reforme uspostavit će se i mehanizam za koordinaciju priprema i provedbe projekata za podršku digitalnoj transformaciji društva i gospodarstva na nacionalnoj, regionalnoj i lokalnoj razini s jasnim kriterijima prioritizacije i evaluacije ulaganja.</w:t>
      </w:r>
    </w:p>
    <w:p w14:paraId="0446BB30" w14:textId="7E73951D" w:rsidR="00733DCA" w:rsidRPr="00D03199" w:rsidRDefault="00733DCA" w:rsidP="0001477B">
      <w:pPr>
        <w:spacing w:before="120" w:after="120" w:line="240" w:lineRule="auto"/>
        <w:ind w:left="851"/>
        <w:jc w:val="both"/>
        <w:rPr>
          <w:rFonts w:ascii="Times New Roman" w:eastAsia="Calibri" w:hAnsi="Times New Roman" w:cs="Times New Roman"/>
          <w:noProof/>
          <w:sz w:val="24"/>
          <w:u w:val="single"/>
        </w:rPr>
      </w:pPr>
      <w:r>
        <w:rPr>
          <w:rFonts w:ascii="Times New Roman" w:hAnsi="Times New Roman"/>
          <w:noProof/>
          <w:sz w:val="24"/>
          <w:u w:val="single"/>
        </w:rPr>
        <w:t>Reforma C2.3. R2 – Unapređenje interoperabilnosti informacijskih sustava</w:t>
      </w:r>
    </w:p>
    <w:p w14:paraId="2887D065"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reforme doprinijeti pružanju digitalnih javnih usluga i olakšati interakciju između građana/poduzeća i javne uprave. Reforma je namijenjena i uvođenju napredne analize podataka u nacionalnu upravu kako bi se doprinijelo tome da se na svim razinama uprave odluke donose na temelju podataka.</w:t>
      </w:r>
    </w:p>
    <w:p w14:paraId="7D526FC1"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Tijela javne vlasti u Hrvatskoj trenutačno koriste stotine registara i baza podataka. Očekuje se da će reforma stvoriti preduvjete za uvođenje središnjeg registra (središnji sustav interoperabilnosti) kojim će se povezati temeljni registri (Ulaganje C2.3. R2.I1) te za uspostavu središnje baze podataka koja će nadležnim tijelima omogućiti primjenu napredne analize podataka (Ulaganje C2.3. R2.I2). </w:t>
      </w:r>
    </w:p>
    <w:p w14:paraId="5E9640BD"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Očekuje se da će reforma donijeti sistemske promjene, usmjerene ka razvoju interoperabilnih sustava na nacionalnoj razini i donošenju odluka temeljenih na podacima. Očekuje se i da će se poboljšati internetsko pružanje kvalitetnih javnih usluga poduzećima i građanima. </w:t>
      </w:r>
    </w:p>
    <w:p w14:paraId="453E75CA"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Mjerom će se utvrditi organizacijska i upravljačka struktura za upravljanje središnjim sustavom interoperabilnosti, kao i katalog e-usluga koji će biti povezane sa središnjim sustavom interoperabilnosti. Razvit će se i ekosustav za prikupljanje, obradu, analizu, prikaz i dijeljenje podataka, s ciljem uvođenja analitike podataka u državnu upravu kao novog načina rada na svim razinama odlučivanja.</w:t>
      </w:r>
    </w:p>
    <w:p w14:paraId="0839AC24"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2024.</w:t>
      </w:r>
    </w:p>
    <w:p w14:paraId="278D87D1"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u w:val="single"/>
        </w:rPr>
      </w:pPr>
      <w:r>
        <w:rPr>
          <w:rFonts w:ascii="Times New Roman" w:hAnsi="Times New Roman"/>
          <w:noProof/>
          <w:sz w:val="24"/>
          <w:u w:val="single"/>
        </w:rPr>
        <w:t>Ulaganje C2.3. R2-I1 – Uspostava središnjeg sustava interoperabilnosti</w:t>
      </w:r>
    </w:p>
    <w:p w14:paraId="7BA0333D"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 xml:space="preserve">Cilj je ulaganja izgraditi središnji registar za javna tijela, s ciljem uklanjanja trenutačne rascjepkanosti (u kojoj se javna tijela koriste stotinama registara), i to uspostavom središnjeg sustava interoperabilnosti u kojem će se povezati temeljni registri, u skladu s Europskim okvirom za interoperabilnost. </w:t>
      </w:r>
    </w:p>
    <w:p w14:paraId="4BDAB4F4"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 xml:space="preserve">Ulaganje uključuje uspostavu središnjeg nacionalnog portala u okviru kojeg će se barem osam postojećih temeljnih javnih registara (kao što je matica rođenih, registar prebivališta, registar branitelja) integrirati i međusobno povezati u interoperabilni središnji registar. Središnji registar omogućit će da se informacije iz različitih registara konsolidiraju u jedan interoperabilni registar i budu dostupne javnoj upravi, građanima i poduzećima. </w:t>
      </w:r>
    </w:p>
    <w:p w14:paraId="205CCFFB"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Središnji registar omogućit će pružanje 21 administrativnog postupka s popisa u Prilogu II. Uredbi (EU) 2018/1724 (Uredba o jedinstvenom digitalnom pristupniku) putem interneta.</w:t>
      </w:r>
    </w:p>
    <w:p w14:paraId="23A393C5" w14:textId="6546F41F" w:rsidR="00733DCA" w:rsidRPr="00D03199"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će biti dovršeno do 30. rujna 2024. </w:t>
      </w:r>
    </w:p>
    <w:p w14:paraId="5568C043"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R2-I2 – Uspostava središnjeg skladišta podataka i sustava poslovne analitike</w:t>
      </w:r>
    </w:p>
    <w:p w14:paraId="2EA4A00F"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izgraditi centralno skladište podataka za državna tijela. Očekuje se da će se time poboljšati sustav upravljanja podacima tako što će se olakšati prikupljanje podataka u standardiziranim formatima, obrada, analiza i dijeljenje podataka među tijelima javne vlasti (kao što su jedinice državne i lokalne uprave). Platforma će omogućiti analizu podataka u stvarnom vremenu i omogućiti naprednu analizu podataka (kao što su unaprijed definirani poslovni pokazatelji, nadzorne ploče i izvješća na dnevnoj osnovi). Očekuje se da će se time znatno unaprijediti donošenje odluka temeljenih na podacima na svim razinama državne uprave.</w:t>
      </w:r>
    </w:p>
    <w:p w14:paraId="7C9D317E"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Dio skladišta podataka bit će dostupan građanima i poduzećima kako bi se privatnom sektoru omogućilo da izgradi i razvije usluge dodane vrijednosti na temelju dostupnih podataka i analitičkih alata. </w:t>
      </w:r>
    </w:p>
    <w:p w14:paraId="3580AB01"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2024.</w:t>
      </w:r>
    </w:p>
    <w:p w14:paraId="730454B2" w14:textId="77777777" w:rsidR="00733DCA" w:rsidRPr="00D03199" w:rsidRDefault="00733DCA" w:rsidP="008D7238">
      <w:pPr>
        <w:pageBreakBefore/>
        <w:spacing w:before="120" w:after="120" w:line="240" w:lineRule="auto"/>
        <w:ind w:left="851"/>
        <w:jc w:val="both"/>
        <w:rPr>
          <w:rFonts w:ascii="Times New Roman" w:eastAsia="Calibri" w:hAnsi="Times New Roman" w:cs="Times New Roman"/>
          <w:iCs/>
          <w:noProof/>
          <w:sz w:val="24"/>
        </w:rPr>
      </w:pPr>
      <w:r>
        <w:rPr>
          <w:rFonts w:ascii="Times New Roman" w:hAnsi="Times New Roman"/>
          <w:noProof/>
          <w:sz w:val="24"/>
          <w:u w:val="single"/>
        </w:rPr>
        <w:t>Ulaganje C2.3. R3-I1 – Nadogradnja Centra dijeljenih usluga</w:t>
      </w:r>
    </w:p>
    <w:p w14:paraId="08322F85"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Cilj je ulaganja proširiti kapacitet Državnog oblaka (Centar dijeljenih usluga, CDU) kako bi se omogućilo veliko povećanje broja korisnika te ga nadgraditi razvojem novih funkcionalnosti, što će uključivati:</w:t>
      </w:r>
    </w:p>
    <w:p w14:paraId="0855C8BA" w14:textId="77777777" w:rsidR="00733DCA" w:rsidRPr="00D03199" w:rsidRDefault="00733DCA" w:rsidP="00733DCA">
      <w:pPr>
        <w:numPr>
          <w:ilvl w:val="0"/>
          <w:numId w:val="2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platformu za razvoj, provedbu i testiranje aplikacija za korisnike,</w:t>
      </w:r>
    </w:p>
    <w:p w14:paraId="5E023F04" w14:textId="77777777" w:rsidR="00733DCA" w:rsidRPr="00D03199" w:rsidRDefault="00733DCA" w:rsidP="00733DCA">
      <w:pPr>
        <w:numPr>
          <w:ilvl w:val="0"/>
          <w:numId w:val="2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platformu za IKT podršku,</w:t>
      </w:r>
    </w:p>
    <w:p w14:paraId="1738662E" w14:textId="77777777" w:rsidR="00733DCA" w:rsidRPr="00D03199" w:rsidRDefault="00733DCA" w:rsidP="00733DCA">
      <w:pPr>
        <w:numPr>
          <w:ilvl w:val="0"/>
          <w:numId w:val="2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središnji sustav nadzora informacijske sigurnosti za upravljanje sigurnosnim događajima na informacijskoj i komunikacijskoj infrastrukturi,</w:t>
      </w:r>
    </w:p>
    <w:p w14:paraId="69B4B180" w14:textId="77777777" w:rsidR="00733DCA" w:rsidRPr="00D03199" w:rsidRDefault="00733DCA" w:rsidP="00733DCA">
      <w:pPr>
        <w:numPr>
          <w:ilvl w:val="0"/>
          <w:numId w:val="2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platformu za biometrijsku autentifikaciju kojom se uspostavlja usluga za biometrijsku identifikaciju integrirana u postojeći središnji sustav za upravljanje korisničkim pravima i identitetima, </w:t>
      </w:r>
    </w:p>
    <w:p w14:paraId="540A5D95" w14:textId="77777777" w:rsidR="00733DCA" w:rsidRPr="00D03199" w:rsidRDefault="00733DCA" w:rsidP="00733DCA">
      <w:pPr>
        <w:numPr>
          <w:ilvl w:val="0"/>
          <w:numId w:val="2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platformu za lako kreiranje i upravljanje digitalnim sadržajem </w:t>
      </w:r>
      <w:r>
        <w:rPr>
          <w:rFonts w:ascii="Times New Roman" w:hAnsi="Times New Roman"/>
          <w:i/>
          <w:noProof/>
          <w:sz w:val="24"/>
        </w:rPr>
        <w:t>web</w:t>
      </w:r>
      <w:r>
        <w:rPr>
          <w:rFonts w:ascii="Times New Roman" w:hAnsi="Times New Roman"/>
          <w:noProof/>
          <w:sz w:val="24"/>
        </w:rPr>
        <w:t>-stranica korisnika, sa značajkama za intuitivno indeksiranje, pretraživanje i dohvat sadržaja, format, revizioniranje, objavljivanje i forume za rasprave,</w:t>
      </w:r>
    </w:p>
    <w:p w14:paraId="2CB4EE0E" w14:textId="77777777" w:rsidR="00733DCA" w:rsidRPr="00D03199" w:rsidRDefault="00733DCA" w:rsidP="00733DCA">
      <w:pPr>
        <w:numPr>
          <w:ilvl w:val="0"/>
          <w:numId w:val="2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platformu za razvoj tehnologija lanaca blokova za Državni oblak, u skladu s europskom infrastrukturom usluga lanaca blokova </w:t>
      </w:r>
    </w:p>
    <w:p w14:paraId="341D4928"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Platforma CDU-a integrirat će se u zajedničke europske podatkovne prostore kako bi se omogućilo sigurno udomljavanje, pristup i izmjena podataka i usluga na razini EU-a.</w:t>
      </w:r>
    </w:p>
    <w:p w14:paraId="628C549A" w14:textId="77777777" w:rsidR="00733DCA" w:rsidRPr="00D03199" w:rsidRDefault="00733DCA" w:rsidP="0001477B">
      <w:pPr>
        <w:spacing w:before="120" w:after="120" w:line="240" w:lineRule="auto"/>
        <w:jc w:val="both"/>
        <w:rPr>
          <w:rFonts w:ascii="Times New Roman" w:eastAsia="Calibri" w:hAnsi="Times New Roman" w:cs="Times New Roman"/>
          <w:noProof/>
          <w:sz w:val="24"/>
          <w:szCs w:val="24"/>
          <w:highlight w:val="yellow"/>
        </w:rPr>
      </w:pPr>
      <w:r>
        <w:rPr>
          <w:rFonts w:ascii="Times New Roman" w:hAnsi="Times New Roman"/>
          <w:noProof/>
          <w:sz w:val="24"/>
        </w:rPr>
        <w:t>Ulaganje će biti dovršeno do 30. lipnja 2026.</w:t>
      </w:r>
    </w:p>
    <w:p w14:paraId="3C968651"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R3-I2 – Jačanje kapaciteta policije za suzbijanje kiberkriminaliteta</w:t>
      </w:r>
    </w:p>
    <w:p w14:paraId="75AB9A41"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 xml:space="preserve">Cilj je ulaganja ojačati kapacitet Ministarstva unutarnjih poslova za borbu protiv kiberkriminaliteta. </w:t>
      </w:r>
    </w:p>
    <w:p w14:paraId="53499EBB"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 xml:space="preserve">Ulaganje uključuje kupnju specijalizirane policijske opreme za analizu digitalnih dokaza, specijaliziranu obuku policijskih službenika za detektiranje i suzbijanje kibernapada i provedbu javnih preventivnih komunikacijskih kampanja o kiberkriminalitetu namijenjenih poduzećima i javnosti. </w:t>
      </w:r>
    </w:p>
    <w:p w14:paraId="4A5B5429"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2024.</w:t>
      </w:r>
    </w:p>
    <w:p w14:paraId="2CB875C6"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R3-I3 – Uspostava jedinstvenog kontaktnog centra za sve e-javne usluge za pružanje korisničke podrške</w:t>
      </w:r>
    </w:p>
    <w:p w14:paraId="3B8AEE58"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 xml:space="preserve">Cilj je ulaganja osnovati jedinstveni kontaktni centar (JKC) u kojem će se obuhvatiti i centralizirati korisničke službe svih digitalnih internetskih usluga javne uprave. Očekuje se da će jedinstveni kontaktni centar pružiti novu, poboljšanu uslugu građanima i poduzećima za komunikaciju s javnom upravom te da će korisnicima omogućiti lako pronalaženje traženih informacija. Jedinstveni kontaktni centar korisnicima će omogućavati slanje povratnih informacija, procjenu kvalitete interakcije s javnim službenicima i naknadnu ocjenu. Očekuje se da će se time preobraziti interakcija između hrvatske javne administracije i njezinih korisnika. </w:t>
      </w:r>
    </w:p>
    <w:p w14:paraId="5BE66F66"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2023.</w:t>
      </w:r>
    </w:p>
    <w:p w14:paraId="324C7632" w14:textId="77777777" w:rsidR="00733DCA" w:rsidRPr="00D03199" w:rsidRDefault="00733DCA" w:rsidP="008D7238">
      <w:pPr>
        <w:pageBreakBefore/>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R3-I4 – Konsolidacija Centralnog zdravstvenog informacijskog sustava (CEZIH)</w:t>
      </w:r>
    </w:p>
    <w:p w14:paraId="3A5F2359"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nadograditi CEZIH, koji koriste svi dionici u zdravstvenom sustavu (kao što su bolnice, medicinsko osoblje, medicinske škole, javnozdravstvene ustanove, ljekarne, laboratoriji).</w:t>
      </w:r>
    </w:p>
    <w:p w14:paraId="6EDBD63C"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Ulaganjem će se omogućiti prijenos sustava u Državni oblak (CDU) te će se uspostaviti rješenja za oporavak od kriznih situacija kako bi se osigurao kontinuitet poslovanja i osigurao stalan, pouzdan i siguran način rada središnjeg zdravstvenog informacijskog sustava. </w:t>
      </w:r>
    </w:p>
    <w:p w14:paraId="02B6B1E3" w14:textId="50470AB8" w:rsidR="00733DCA" w:rsidRPr="00D03199"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2024.</w:t>
      </w:r>
    </w:p>
    <w:p w14:paraId="35D30F22"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R3-I5 – Projekt uvođenja digitalne osobne iskaznice</w:t>
      </w:r>
    </w:p>
    <w:p w14:paraId="7CF851A2" w14:textId="7E19B5C5" w:rsidR="00733DCA" w:rsidRPr="00D03199"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ulaganja promicati korištenje elektronskog potpisa u interakciji građana s javnom upravom. Očekuje se da će se mjerom korisnicima elektroničkih funkcionalnosti osobne iskaznice omogućiti potpisivanje dokumenata na mobilnim platformama upotrebom mobilne aplikacije Certilia.</w:t>
      </w:r>
    </w:p>
    <w:p w14:paraId="5D60B33A" w14:textId="77777777" w:rsidR="00733DCA" w:rsidRPr="00D031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Uspostavit će sustav za upravljanje digitalnim identitetima i sustav za mobilno potpisivanje radi izdavanja udaljenih certifikata za udaljeni kvalificirani elektronički potpis. Izdavanje takvog certifikata preduvjet je za elektroničko potpisivanje dokumenata na mobilnim platformama ili u aplikacijama za mobilno potpisivanje.</w:t>
      </w:r>
    </w:p>
    <w:p w14:paraId="61C8B02E" w14:textId="3F406838" w:rsidR="00733DCA" w:rsidRPr="00D03199"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31. prosinca 2024.</w:t>
      </w:r>
    </w:p>
    <w:p w14:paraId="6B1BB511"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R3-I6 – Ulaganje u mreže državne informacijske infrastrukture</w:t>
      </w:r>
    </w:p>
    <w:p w14:paraId="20FE3DA5"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modernizirati i povećati kapacitet mreže državne informacijske infrastrukture (mreža DII) kojom se javna tijela u Hrvatskoj koriste za pružanje internetskih usluga građanima i poduzećima. </w:t>
      </w:r>
    </w:p>
    <w:p w14:paraId="548FAF24"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uključuje oblikovanje nove sigurne mrežne arhitekture koja zadovoljava potrebe nadležnih tijela i povezuje sve korisnike na jedinstvenu mrežu. Konkretno, novom će se mrežom svim javnim tijelima osigurati širokopojasni pristup mreži visokog kapaciteta (10 Gbps). Kako bi se osigurala kontinuirana povezivost svih ustanova u sustavu, ulaganjem se modernizira mrežni nadzorni centar i uspostavlja sustav, dostupan 24 sata dnevno i sedam dana u tjednu, za rješavanje tehničkih poteškoća i korisničku podršku. </w:t>
      </w:r>
    </w:p>
    <w:p w14:paraId="273EEDDE"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2025.</w:t>
      </w:r>
    </w:p>
    <w:p w14:paraId="343825CE"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R3-I7 – Unapređenje sustava prostornog uređenja, graditeljstva i državne imovine kroz digitalizaciju</w:t>
      </w:r>
    </w:p>
    <w:p w14:paraId="690F269A"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unaprijediti informacijski sustav prostornog uređenja i državne imovine (ISPU) kako bi se uspostavio integrirani informacijski sustav prostornog uređenja i omogućila digitalizacija postupaka povezanih s pripremom i provedbom pojedinačnih projekata, od utvrđivanja lokacije projekta do dobivanja potrebnih dozvola.</w:t>
      </w:r>
    </w:p>
    <w:p w14:paraId="0548C8D3"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Mjerom će se omogućiti i nabava satelitskih snimaka područja visoke razlučivosti Hrvatske i razvoj digitalnih prostornih planova. </w:t>
      </w:r>
    </w:p>
    <w:p w14:paraId="544D0930"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2025.</w:t>
      </w:r>
    </w:p>
    <w:p w14:paraId="2A665BAB" w14:textId="77777777" w:rsidR="00733DCA" w:rsidRPr="00D03199" w:rsidRDefault="00733DCA" w:rsidP="008D7238">
      <w:pPr>
        <w:pageBreakBefore/>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R3-I8 – Izrada digitalne mobilne platforme</w:t>
      </w:r>
    </w:p>
    <w:p w14:paraId="33D771CF"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stvoriti mobilnu platformu za digitalne javne usluge kako bi se građanima omogućilo da lak pristup javnim uslugama na internetu s pomoću pametnih telefona. Postojeći sustav usluga „e-Građani” razvijen je za osobna računala i trenutačno nije prilagođen mobilnim uređajima, stoga postoji potreba za uvođenjem platforme prilagođene mobilnim aplikacijama.</w:t>
      </w:r>
    </w:p>
    <w:p w14:paraId="6B35DF00"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Ulaganjem će se, s pomoću najsuvremenijih tehnologija i standarda, izgraditi platforma koja omogućuje standardizaciju pružanja javnih usluga na mobilnim platformama (kao što su zahtjev za dokaz o rodnom listu, zahtjev za dokaz boravišta, registracija promjene adrese, registracija motornog vozila). Platforma će omogućiti povezivanje svih registara i baza podataka s Centralnom sabirnicom za razmjenu podataka (GSB). Također, ulaganjem će se omogućiti nadogradnja nacionalnog sustava autentifikacije (NIAS) kako bi postao kompatibilan s najnovijim trendovima autentifikacije za mobilne platforme, uz primjenu suvremenih biometrijskih metoda prijave u aplikaciju.</w:t>
      </w:r>
    </w:p>
    <w:p w14:paraId="0CB8E3D0"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2025.</w:t>
      </w:r>
    </w:p>
    <w:p w14:paraId="2C0849C0"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R3-I9 – Uspostava nove platforme Elektroničkog oglasnika javne nabave Republike Hrvatske</w:t>
      </w:r>
    </w:p>
    <w:p w14:paraId="55022483"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uspostaviti novu informatičku platformu za sustav elektroničke javne nabave s ciljem potpore postupka javne nabave i provedbe novih standardnih obrazaca za objavljivanje obavijesti u području javne nabave, kako je utvrđeno u Provedbenoj uredbi Komisije (EU) 2019/1780 (e-obrasci).</w:t>
      </w:r>
    </w:p>
    <w:p w14:paraId="4E3FA6A8"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Ulaganjem će se modernizirati informatička platforma hrvatskog Elektroničkog oglasnika javne nabave RH (EOJN), koji je trenutačno utemeljen na zastarjeloj tehnologiji i ne pruža odgovarajuću potporu učinkovitom vođenju postupaka javne nabave. Konkretno, mjerom će se omogućiti povezivanje svih postupaka nabave (od plana nabave, preko provedbe postupka, do podataka o plaćanjima na temelju sklopljenih ugovora) te će se uvesti mogućnost internetskog podnošenja žalbe (e-žalba) i internetskog plaćanja naknada. Ulaganjem će se uspostaviti i okvir za praćenje usklađenosti s određenim minimalnim obveznim kriterijima i ciljevima (kao što je strateška, zelena ili inovativna javna nabava).</w:t>
      </w:r>
    </w:p>
    <w:p w14:paraId="7AE9588A"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2023.</w:t>
      </w:r>
    </w:p>
    <w:p w14:paraId="64F69A58"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R3-I10 – Digitalizacija i informatizacija HZZ-a (eHZZ)</w:t>
      </w:r>
    </w:p>
    <w:p w14:paraId="638C17AE"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digitalizirati Hrvatski zavod za zapošljavanje (HZZ), u kojem se većina dokumentacije trenutačno pruža u papirnatom obliku te ne postoji automatizirani sustav za digitalnu pohranu dokumentacije. Očekuje se da će se ulaganjem uspostaviti sustav za upravljanje digitalnim identitetima i sustav za upravljanje ljudskim resursima te digitalizirati arhiv HZZ-a. </w:t>
      </w:r>
    </w:p>
    <w:p w14:paraId="107555C4"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Ulaganjem će se u potpunosti automatizirati i digitalizirati poslovni procesi HZZ-a, uz nova informatička rješenja za ubrzavanje i automatizaciju rada HZZ-a, povećanje razine sigurnosti svih poslovnih podataka, omogućivanje kolanja i središnje obrade elektroničkih dokumenata te uvođenje digitalnog i biometrijskog potpisa. </w:t>
      </w:r>
    </w:p>
    <w:p w14:paraId="0067F4BB" w14:textId="77777777" w:rsidR="00733DCA" w:rsidRPr="00D031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F246A13" w14:textId="77777777" w:rsidR="00733DCA" w:rsidRPr="00D03199" w:rsidRDefault="00733DCA" w:rsidP="008D7238">
      <w:pPr>
        <w:pageBreakBefore/>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R3-I11 – Modernizacija IKT podrške HZMO-a (eHZMO)</w:t>
      </w:r>
    </w:p>
    <w:p w14:paraId="230620F7"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modernizirati zastarjeli IT sustav Hrvatskog zavoda za mirovinsko osiguranje (HZMO) i digitalizirati njegove osnovne poslovne procese. Očekuje se da će mjera povećati učinkovitost HZMO-a i podržati pružanje kvalitetnih usluga.</w:t>
      </w:r>
    </w:p>
    <w:p w14:paraId="3D2B5F39"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Ulaganjem će se izgraditi novi IT sustav za pružanje potpore temeljnim procesima, koji će uključivati module za upravljanje:</w:t>
      </w:r>
    </w:p>
    <w:p w14:paraId="43F0F017"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izračun za mirovinsko osiguranje i doplatak za djecu, </w:t>
      </w:r>
    </w:p>
    <w:p w14:paraId="0D3768CB"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evidencije doprinosa i uplata,</w:t>
      </w:r>
    </w:p>
    <w:p w14:paraId="21BBDD55"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podaci o korisnicima,</w:t>
      </w:r>
    </w:p>
    <w:p w14:paraId="3F26D873"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žalbe, revizije postupaka i sporovi,</w:t>
      </w:r>
    </w:p>
    <w:p w14:paraId="504A940F"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digitalna dokumentacija i arhivi,</w:t>
      </w:r>
    </w:p>
    <w:p w14:paraId="581EECF2"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analitički i računovodstveni podaci,</w:t>
      </w:r>
    </w:p>
    <w:p w14:paraId="3574F687"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financijsko poslovanje,</w:t>
      </w:r>
    </w:p>
    <w:p w14:paraId="6322611F"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procesi nabave, ugovaranja i naručivanja,</w:t>
      </w:r>
    </w:p>
    <w:p w14:paraId="38F4D86D"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potraživanja i obveze (kupci/dobavljači),</w:t>
      </w:r>
    </w:p>
    <w:p w14:paraId="241F923C"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upravljanje imovinom.</w:t>
      </w:r>
    </w:p>
    <w:p w14:paraId="6A39C9F5"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4605A4C1"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R3-I12 – Digitalizacija arhive HZMO-a (eArhiva)</w:t>
      </w:r>
    </w:p>
    <w:p w14:paraId="618E5767"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digitalizirati arhiv HZMO-a. Očekuje se da će mjera znatno poboljšati ukupnu učinkovitost rada HZMO-a i troškovnu učinkovitost upravljanja arhivima, što se trenutačno u najvećem dijelu temelji na ručnom pretraživanju. Ulaganjem će se uspostaviti digitalni sustav upravljanja arhivom i jedinstveno mjesto za trajnu pohranu arhiva. Cilj je ulaganja digitalizirati postojeći materijal, ali i uspostaviti središnji sustav koji će omogućiti digitalizaciju svih novonastalih predmeta koji će se evidentirati i pohraniti u digitalnom arhivskom sustavu.</w:t>
      </w:r>
    </w:p>
    <w:p w14:paraId="2CBBFBB6"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HZMO u ovom trenutku raspolaže s otprilike 4,5 milijuna spisa. Cilj je ulaganja digitalizirati 1 000 000 aktivnih spisa (oko 50 000 000 stranica).</w:t>
      </w:r>
    </w:p>
    <w:p w14:paraId="42B4412B"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1834F679"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R3-I13 – Digitalna transformacija Porezne uprave</w:t>
      </w:r>
    </w:p>
    <w:p w14:paraId="42E0505B"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modernizirati informacijski sustav Porezne uprave s ciljem razvoja informatičke platforme prilagođene korisnicima kojoj mogu pristupiti porezni obveznici i službenici Porezne uprave, čime će se povećati učinkovitost Porezne uprave. </w:t>
      </w:r>
    </w:p>
    <w:p w14:paraId="32778914"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Ulaganjem će se nadograditi infrastruktura IKT-a Porezne uprave i razviti platforma za automatizaciju poslovnih procesa Porezne uprave. Platforma omogućava i analizu podataka i podržava buduće potrebe Porezne uprave, povećava sigurnost infrastrukture IKT-a i osigurava kontinuitet poslovanja u kriznim situacijama.</w:t>
      </w:r>
    </w:p>
    <w:p w14:paraId="2ED28BD3"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5E4AE309" w14:textId="77777777" w:rsidR="00733DCA" w:rsidRPr="00D03199" w:rsidRDefault="00733DCA" w:rsidP="008D7238">
      <w:pPr>
        <w:pageBreakBefore/>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R3-I14 – Uvođenje sustava bezgotovinskog plaćanja u gospodarstvu putem eRačuna s integriranom e-arhivom i aktivnim poreznim knjigovodstvom</w:t>
      </w:r>
    </w:p>
    <w:p w14:paraId="79F4B1BF"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uspostaviti internetski sustav poreznog računovodstva s ciljem administrativnog rasterećenja poreznih obveznika. </w:t>
      </w:r>
    </w:p>
    <w:p w14:paraId="3B53F8A7"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Ulaganjem će se uspostaviti novi IT sustav za registraciju elektroničkih računa (e-računi) koje izdaju javna tijela za bezgotovinska plaćanja u informacijskom sustavu Porezne uprave. Ulaganjem će se uspostaviti i napredno digitalno knjigovodstvo u sustavu PDV-a. </w:t>
      </w:r>
    </w:p>
    <w:p w14:paraId="1F76F9B5"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Očekuje se da će ulaganje doprinijeti pojednostavnjenju poreznih prijava tako što će se smanjiti broj potrebnih obrazaca i poduprijeti poreznu usklađenost. </w:t>
      </w:r>
    </w:p>
    <w:p w14:paraId="325662D5"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će biti dovršeno do 31. prosinca 2024. </w:t>
      </w:r>
    </w:p>
    <w:p w14:paraId="371A4332"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R3-I15 – Uspostava aplikativnih rješenja u turizmu s ciljem administrativnog rasterećenja poduzeća te transformacije modela turizma ka održivosti</w:t>
      </w:r>
    </w:p>
    <w:p w14:paraId="0590A963"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razviti nove informatičke alate za javni turistički informacijski sustav (e-turizam) kako bi se olakšao djelotvorno upravljanje razvojem turizma i poduprla održivost tog sektora. </w:t>
      </w:r>
    </w:p>
    <w:p w14:paraId="19BEF4BD"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Ulaganjem će se nastaviti digitalizacija Hrvatskog opservatorija održivog razvoja turizma (CROSTO) te razviti digitalni sustav za praćenje razvoja odredišta kako bi se pratila održivost odredišta u skladu s Europskim sustavom turističkih pokazatelja za održivo upravljanje odredištima (ETIS).</w:t>
      </w:r>
    </w:p>
    <w:p w14:paraId="4DBFABDC"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Ulaganjem se doprinosi i poboljšanju „poslovne inteligencije” u turizmu korištenjem podataka dobivenih iz različitih izvora, kao što su Središnji turistički registar, sustav e-Visitor i sustav CROSTO. </w:t>
      </w:r>
    </w:p>
    <w:p w14:paraId="4D30EF69" w14:textId="44016734"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695D7CD6"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R3-I16 – Digitalizacija procesa u sportu i rekreaciji na lokalnoj i regionalnoj razini</w:t>
      </w:r>
    </w:p>
    <w:p w14:paraId="428B1AF3"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unaprijediti Informacijski sustav u sportu (ISS), informatički sustav kojim se koristi Ministarstvo turizma i sporta, s ciljem olakšavanja pristupa sustavu za sve relevantne dionike, posebno na lokalnoj i regionalnoj razini. Namijenjeno je i pružanju potpore za razvoj elektroničkih postupaka i e-usluga za građane i dionike aktivne u sektoru sporta.</w:t>
      </w:r>
    </w:p>
    <w:p w14:paraId="6D95A3C2"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sljedeće:</w:t>
      </w:r>
    </w:p>
    <w:p w14:paraId="20B82E42"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uspostava aplikativnog modula za omogućavanje sportskim klubovima izravnog pristupa osnovnim registrima i evidencijama Informacijskog sustava u sportu, uz mogućnost unosa relevantnih podataka, kao što su evidencija bavljenja sportom i evidencija liječničkih pregleda sportaša,</w:t>
      </w:r>
    </w:p>
    <w:p w14:paraId="54D3594A"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uvođenje digitalnih alata i postupaka za praćenje javnog financiranja sportskih programa na nacionalnoj, regionalnoj i lokalnoj razini s ciljem usklađivanja, pojednostavnjenja i povećanja transparentnosti postupka, također na lokalnoj i regionalnoj razini, </w:t>
      </w:r>
    </w:p>
    <w:p w14:paraId="4B155861" w14:textId="77777777" w:rsidR="00733DCA" w:rsidRPr="00D03199" w:rsidRDefault="00733DCA" w:rsidP="00733DCA">
      <w:pPr>
        <w:numPr>
          <w:ilvl w:val="0"/>
          <w:numId w:val="20"/>
        </w:numPr>
        <w:spacing w:before="120" w:after="10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uspostava aplikativnog modula za prikupljanje podataka o sportu i zdravstveno usmjerenom tjelesnom vježbanju, uključujući uspostavu osnovnog registra u području zdravstveno usmjerenog tjelesnog vježbanja (npr. evidentiranje informacija o postojećim programima i stručnom osoblju).</w:t>
      </w:r>
    </w:p>
    <w:p w14:paraId="0CEC5BAE"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6285DEE7" w14:textId="77777777" w:rsidR="00733DCA" w:rsidRDefault="00733DCA" w:rsidP="0001477B">
      <w:pPr>
        <w:spacing w:before="120" w:after="120" w:line="240" w:lineRule="auto"/>
        <w:jc w:val="both"/>
        <w:rPr>
          <w:rFonts w:ascii="Times New Roman" w:eastAsia="Calibri" w:hAnsi="Times New Roman" w:cs="Times New Roman"/>
          <w:noProof/>
          <w:sz w:val="24"/>
          <w:szCs w:val="24"/>
          <w:lang w:val="en-GB"/>
        </w:rPr>
      </w:pPr>
    </w:p>
    <w:p w14:paraId="44C522B4"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Reforma C2.3. R4 – Jačanje povezivosti kao osnove digitalne tranzicije društva i gospodarstva</w:t>
      </w:r>
    </w:p>
    <w:p w14:paraId="59D1249D"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reforme utrti put osiguravanju dostupnosti elektroničkih komunikacijskih mreža koje će kućanstvima i socioekonomskim pokretačima pružiti gigabitnu povezivost, u skladu s ciljevima europskog gigabitnog društva.</w:t>
      </w:r>
    </w:p>
    <w:p w14:paraId="477670FA"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reforme osigurati pravovremenu i sveobuhvatnu provedbu regulatornog i strateškog okvira u području elektroničkih komunikacija donošenjem Zakona o elektroničkim komunikacijama, u skladu s odredbama Direktive (EU) 2018/1972 o Europskom zakoniku elektroničkih komunikacija, i provedbu ciljeva Nacionalnog plana razvoja širokopojasnog pristupa u Hrvatskoj za razdoblje 2021.–2027. </w:t>
      </w:r>
    </w:p>
    <w:p w14:paraId="25D90DC6"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Očekuje se da će reforma identificirati i pronaći odgovor za rješavanje administrativnog opterećenja i regulatornih prepreka povezanih s izgradnjom mreža gigabitne povezivosti, uključujući mreže 5G, kako bi se potaknulo ulaganje u uvođenje mreža 5G. </w:t>
      </w:r>
    </w:p>
    <w:p w14:paraId="12F22E70"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Reformom se dopunjuju ulaganja u digitalnu povezivost putem širokopojasnih veza u fiksnim i naprednim bežičnim i mobilnim mrežama, među ostalim primjenom tehnologija 5G. </w:t>
      </w:r>
    </w:p>
    <w:p w14:paraId="6FEC396E"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54641A62" w14:textId="77777777" w:rsidR="00733DCA" w:rsidRPr="00D03199" w:rsidRDefault="00733DCA" w:rsidP="0001477B">
      <w:pPr>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R4-I1 – Provedba projekata u sklopu Okvirnog nacionalnog programa za razvoj infrastrukture širokopojasnog pristupa na područjima na kojima ne postoji dostatan komercijalni interes za ulaganja</w:t>
      </w:r>
    </w:p>
    <w:p w14:paraId="1F551152" w14:textId="77777777" w:rsidR="00733DCA" w:rsidRPr="00D03199" w:rsidRDefault="00733DCA" w:rsidP="0001477B">
      <w:pPr>
        <w:spacing w:before="120" w:after="100" w:line="240" w:lineRule="auto"/>
        <w:jc w:val="both"/>
        <w:rPr>
          <w:rFonts w:ascii="Times New Roman" w:eastAsia="Calibri" w:hAnsi="Times New Roman" w:cs="Times New Roman"/>
          <w:noProof/>
          <w:sz w:val="24"/>
        </w:rPr>
      </w:pPr>
      <w:r>
        <w:rPr>
          <w:rFonts w:ascii="Times New Roman" w:hAnsi="Times New Roman"/>
          <w:noProof/>
          <w:sz w:val="24"/>
        </w:rPr>
        <w:t>Cilj je ulaganja smanjiti digitalni jaz u Hrvatskoj povećanjem nacionalne širokopojasne pokrivenosti gigabitnom povezivosti na područjima na kojima nema dovoljno komercijalnog interesa, u skladu s Okvirnim nacionalnim programom za razvoj infrastrukture širokopojasnog pristupa. Očekuje se da će se daljnja ulaganja u povezivost financirati iz drugih nacionalnih fondova ili fondova EU-a kako bi se postigli ciljevi EU-a u pogledu gigabitne povezivosti.</w:t>
      </w:r>
    </w:p>
    <w:p w14:paraId="1D8649F6" w14:textId="77777777" w:rsidR="00733DCA" w:rsidRPr="00D03199" w:rsidRDefault="00733DCA" w:rsidP="0001477B">
      <w:pPr>
        <w:spacing w:after="200" w:line="276" w:lineRule="auto"/>
        <w:jc w:val="both"/>
        <w:rPr>
          <w:rFonts w:ascii="Calibri" w:eastAsia="Calibri" w:hAnsi="Calibri" w:cs="Arial"/>
          <w:noProof/>
        </w:rPr>
      </w:pPr>
      <w:r>
        <w:rPr>
          <w:rFonts w:ascii="Times New Roman" w:hAnsi="Times New Roman"/>
          <w:noProof/>
          <w:sz w:val="24"/>
        </w:rPr>
        <w:t>Cilj je ulaganja osigurati da kućanstva i glavni socioekonomski pokretači na područjima na kojima nema dovoljno komercijalnog interesa (područja na kojima nema širokopojasne mreže sljedeće generacije) dobiju pristup mrežama gigabitne povezivosti. Cilj je ulaganja uključiti oko 20 projekata jedinica lokalne uprave kojima je obuhvaćeno oko 700 000 stanovnika i oko 124 000 kućanstava. Točan broj projekata i obuhvat utvrdit će se nakon odabira projekata po provedenom pozivu za dostavu projekata.</w:t>
      </w:r>
    </w:p>
    <w:p w14:paraId="43D02DAC"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2474E804" w14:textId="77777777" w:rsidR="00733DCA" w:rsidRPr="00D03199" w:rsidRDefault="00733DCA" w:rsidP="008D7238">
      <w:pPr>
        <w:pageBreakBefore/>
        <w:spacing w:before="120" w:after="120" w:line="240" w:lineRule="auto"/>
        <w:ind w:left="851"/>
        <w:jc w:val="both"/>
        <w:rPr>
          <w:rFonts w:ascii="Times New Roman" w:eastAsia="Calibri" w:hAnsi="Times New Roman" w:cs="Times New Roman"/>
          <w:noProof/>
          <w:sz w:val="24"/>
          <w:szCs w:val="24"/>
          <w:u w:val="single"/>
        </w:rPr>
      </w:pPr>
      <w:r>
        <w:rPr>
          <w:rFonts w:ascii="Times New Roman" w:hAnsi="Times New Roman"/>
          <w:noProof/>
          <w:sz w:val="24"/>
          <w:u w:val="single"/>
        </w:rPr>
        <w:t>Ulaganje C2.3. R4-I2 – Izgradnja pasivne elektroničke komunikacijske infrastrukture</w:t>
      </w:r>
    </w:p>
    <w:p w14:paraId="33F5B4B3"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povećati dostupnost mreža gigabitne povezivosti (koje omogućavaju povezivost 5G) na ruralnim i slabo naseljenim područjima na kojima ne postoji komercijalni interes za gradnju tih mreža.</w:t>
      </w:r>
    </w:p>
    <w:p w14:paraId="7422094C"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Uključuje izgradnju pasivne elektroničke komunikacijske infrastrukture, kao što je izgradnja samostalnih antenskih stupova i omogućavanje svjetlovodnog ili mikrovalnog prijenosnog kapaciteta za povezivanje mobilne elektroničke komunikacijske mreže s baznim stanicama. Omogućit će se razvoj mreža 5G na obuhvaćenim područjima i njihova dostupnost svima pod jednakim uvjetima.</w:t>
      </w:r>
    </w:p>
    <w:p w14:paraId="58CB9362"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Cilj je ulaganja usmjeriti se na ruralna područja smještena u županijama s najnižim socioekonomskim pokazateljima (niski demografski, socijalni i gospodarski uvjeti u usporedbi s nacionalnim prosjekom).</w:t>
      </w:r>
    </w:p>
    <w:p w14:paraId="14E1EA4D"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Upravljanje infrastrukturom koja će se izgraditi kroz ulaganje provodit će se isključivo na neprofitnoj osnovi, s ciljem da prihodi od najma infrastrukture pokriju sve operativne troškove upravljanja i održavanja infrastrukture. Ako prihodi od najma premaše troškove, višak će biti usmjeren u proširenje ili izgradnju novih infrastrukturnih kapaciteta.</w:t>
      </w:r>
    </w:p>
    <w:p w14:paraId="39E63B54" w14:textId="77777777" w:rsidR="00733DCA" w:rsidRPr="00D03199" w:rsidRDefault="00733DCA" w:rsidP="0001477B">
      <w:pPr>
        <w:spacing w:before="120" w:after="10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507ED790" w14:textId="77777777" w:rsidR="00733DCA" w:rsidRPr="00D03199" w:rsidRDefault="00733DCA" w:rsidP="0001477B">
      <w:pPr>
        <w:spacing w:before="120" w:after="100" w:line="298" w:lineRule="exact"/>
        <w:jc w:val="both"/>
        <w:rPr>
          <w:rFonts w:ascii="Times New Roman" w:eastAsia="Calibri" w:hAnsi="Times New Roman" w:cs="Times New Roman"/>
          <w:noProof/>
          <w:sz w:val="24"/>
          <w:szCs w:val="24"/>
          <w:lang w:val="en-GB"/>
        </w:rPr>
      </w:pPr>
    </w:p>
    <w:p w14:paraId="2D20852F" w14:textId="77777777" w:rsidR="00733DCA" w:rsidRDefault="00733DCA">
      <w:pPr>
        <w:rPr>
          <w:noProof/>
          <w:lang w:val="en-GB"/>
        </w:rPr>
        <w:sectPr w:rsidR="00733DCA" w:rsidSect="0018743D">
          <w:headerReference w:type="even" r:id="rId174"/>
          <w:headerReference w:type="default" r:id="rId175"/>
          <w:footerReference w:type="even" r:id="rId176"/>
          <w:footerReference w:type="default" r:id="rId177"/>
          <w:headerReference w:type="first" r:id="rId178"/>
          <w:footerReference w:type="first" r:id="rId179"/>
          <w:pgSz w:w="12240" w:h="15840"/>
          <w:pgMar w:top="1440" w:right="1440" w:bottom="1440" w:left="1440" w:header="708" w:footer="708" w:gutter="0"/>
          <w:cols w:space="708"/>
          <w:docGrid w:linePitch="360"/>
        </w:sectPr>
      </w:pPr>
    </w:p>
    <w:p w14:paraId="53A215B1" w14:textId="77777777" w:rsidR="00733DCA" w:rsidRPr="00D03199" w:rsidRDefault="00733DCA" w:rsidP="0001477B">
      <w:pPr>
        <w:keepNext/>
        <w:tabs>
          <w:tab w:val="num" w:pos="850"/>
        </w:tabs>
        <w:spacing w:before="40" w:after="24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I.2. </w:t>
      </w:r>
      <w:r>
        <w:rPr>
          <w:rFonts w:ascii="Times New Roman" w:hAnsi="Times New Roman"/>
          <w:b/>
          <w:noProof/>
          <w:sz w:val="24"/>
          <w:u w:val="single"/>
        </w:rPr>
        <w:tab/>
        <w:t>Ključne etape, ciljne vrijednosti, pokazatelji i vremenski raspored za praćenje i provedbu programa bespovratne financijske potpore</w:t>
      </w:r>
    </w:p>
    <w:tbl>
      <w:tblPr>
        <w:tblW w:w="15071" w:type="dxa"/>
        <w:jc w:val="center"/>
        <w:tblCellMar>
          <w:top w:w="28" w:type="dxa"/>
          <w:left w:w="28" w:type="dxa"/>
          <w:bottom w:w="28" w:type="dxa"/>
          <w:right w:w="28" w:type="dxa"/>
        </w:tblCellMar>
        <w:tblLook w:val="04A0" w:firstRow="1" w:lastRow="0" w:firstColumn="1" w:lastColumn="0" w:noHBand="0" w:noVBand="1"/>
      </w:tblPr>
      <w:tblGrid>
        <w:gridCol w:w="1129"/>
        <w:gridCol w:w="849"/>
        <w:gridCol w:w="871"/>
        <w:gridCol w:w="2096"/>
        <w:gridCol w:w="1954"/>
        <w:gridCol w:w="1096"/>
        <w:gridCol w:w="836"/>
        <w:gridCol w:w="958"/>
        <w:gridCol w:w="516"/>
        <w:gridCol w:w="707"/>
        <w:gridCol w:w="4092"/>
      </w:tblGrid>
      <w:tr w:rsidR="005F53A7" w:rsidRPr="00D03199" w14:paraId="73B22381" w14:textId="77777777" w:rsidTr="008D7238">
        <w:trPr>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271B4B" w14:textId="77777777" w:rsidR="00733DCA" w:rsidRPr="00D03199" w:rsidRDefault="00733DCA" w:rsidP="008D7238">
            <w:pPr>
              <w:spacing w:after="0" w:line="276" w:lineRule="auto"/>
              <w:jc w:val="center"/>
              <w:rPr>
                <w:rFonts w:ascii="Times New Roman" w:eastAsia="Times New Roman" w:hAnsi="Times New Roman" w:cs="Times New Roman"/>
                <w:b/>
                <w:bCs/>
                <w:noProof/>
                <w:sz w:val="18"/>
                <w:szCs w:val="18"/>
              </w:rPr>
            </w:pPr>
            <w:bookmarkStart w:id="5" w:name="_Hlk148470999"/>
            <w:r>
              <w:rPr>
                <w:rFonts w:ascii="Times New Roman" w:hAnsi="Times New Roman"/>
                <w:b/>
                <w:noProof/>
                <w:sz w:val="18"/>
              </w:rPr>
              <w:t>Broj</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4EC69D" w14:textId="77777777" w:rsidR="00733DCA" w:rsidRPr="00D03199" w:rsidRDefault="00733DCA" w:rsidP="008D7238">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Mjera</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2661FC" w14:textId="77777777" w:rsidR="00733DCA" w:rsidRPr="00D03199" w:rsidRDefault="00733DCA" w:rsidP="008D7238">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Ključna etapa / ciljna vrijednost</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89B812" w14:textId="77777777" w:rsidR="00733DCA" w:rsidRPr="00D03199" w:rsidRDefault="00733DCA" w:rsidP="008D7238">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Naziv</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6754DE" w14:textId="77777777" w:rsidR="00733DCA" w:rsidRPr="00D03199" w:rsidRDefault="00733DCA" w:rsidP="008D7238">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87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02FA9AE" w14:textId="77777777" w:rsidR="00733DCA" w:rsidRPr="00D03199" w:rsidRDefault="00733DCA" w:rsidP="008D7238">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223" w:type="dxa"/>
            <w:gridSpan w:val="2"/>
            <w:tcBorders>
              <w:top w:val="single" w:sz="4" w:space="0" w:color="auto"/>
              <w:left w:val="nil"/>
              <w:bottom w:val="single" w:sz="4" w:space="0" w:color="auto"/>
              <w:right w:val="single" w:sz="4" w:space="0" w:color="auto"/>
            </w:tcBorders>
            <w:shd w:val="clear" w:color="auto" w:fill="BDD7EE"/>
            <w:vAlign w:val="center"/>
            <w:hideMark/>
          </w:tcPr>
          <w:p w14:paraId="1F8D5AAB" w14:textId="77777777" w:rsidR="00733DCA" w:rsidRPr="00D03199" w:rsidRDefault="00733DCA" w:rsidP="008D7238">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Vrijeme</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DC1F87" w14:textId="77777777" w:rsidR="00733DCA" w:rsidRPr="00D03199" w:rsidRDefault="00733DCA" w:rsidP="008D7238">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Opis svake ključne etape i ciljne vrijednosti</w:t>
            </w:r>
          </w:p>
        </w:tc>
      </w:tr>
      <w:tr w:rsidR="005F53A7" w:rsidRPr="00D03199" w14:paraId="3C62918C" w14:textId="77777777" w:rsidTr="008D7238">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14:paraId="1409052D"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391845D2"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733B6526"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48A4572B"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63B0E9E8"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096" w:type="dxa"/>
            <w:tcBorders>
              <w:top w:val="nil"/>
              <w:left w:val="single" w:sz="4" w:space="0" w:color="auto"/>
              <w:bottom w:val="single" w:sz="4" w:space="0" w:color="auto"/>
              <w:right w:val="single" w:sz="4" w:space="0" w:color="auto"/>
            </w:tcBorders>
            <w:shd w:val="clear" w:color="auto" w:fill="BDD7EE"/>
            <w:hideMark/>
          </w:tcPr>
          <w:p w14:paraId="150A4898" w14:textId="77777777" w:rsidR="00733DCA" w:rsidRPr="00D03199"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Jedinica</w:t>
            </w:r>
          </w:p>
        </w:tc>
        <w:tc>
          <w:tcPr>
            <w:tcW w:w="825" w:type="dxa"/>
            <w:tcBorders>
              <w:top w:val="nil"/>
              <w:left w:val="nil"/>
              <w:bottom w:val="single" w:sz="4" w:space="0" w:color="auto"/>
              <w:right w:val="single" w:sz="4" w:space="0" w:color="auto"/>
            </w:tcBorders>
            <w:shd w:val="clear" w:color="auto" w:fill="BDD7EE"/>
            <w:hideMark/>
          </w:tcPr>
          <w:p w14:paraId="468FA47E" w14:textId="77777777" w:rsidR="00733DCA" w:rsidRPr="00D03199"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Osnovna vrijednost</w:t>
            </w:r>
          </w:p>
        </w:tc>
        <w:tc>
          <w:tcPr>
            <w:tcW w:w="958" w:type="dxa"/>
            <w:tcBorders>
              <w:top w:val="nil"/>
              <w:left w:val="nil"/>
              <w:bottom w:val="single" w:sz="4" w:space="0" w:color="auto"/>
              <w:right w:val="single" w:sz="4" w:space="0" w:color="auto"/>
            </w:tcBorders>
            <w:shd w:val="clear" w:color="auto" w:fill="BDD7EE"/>
            <w:hideMark/>
          </w:tcPr>
          <w:p w14:paraId="0FA6553C" w14:textId="77777777" w:rsidR="00733DCA" w:rsidRPr="00D03199"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Cilj</w:t>
            </w:r>
          </w:p>
        </w:tc>
        <w:tc>
          <w:tcPr>
            <w:tcW w:w="516" w:type="dxa"/>
            <w:tcBorders>
              <w:top w:val="nil"/>
              <w:left w:val="nil"/>
              <w:bottom w:val="single" w:sz="4" w:space="0" w:color="auto"/>
              <w:right w:val="single" w:sz="4" w:space="0" w:color="auto"/>
            </w:tcBorders>
            <w:shd w:val="clear" w:color="auto" w:fill="BDD7EE"/>
            <w:hideMark/>
          </w:tcPr>
          <w:p w14:paraId="7B20A201" w14:textId="77777777" w:rsidR="00733DCA" w:rsidRPr="00D03199"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Q</w:t>
            </w:r>
          </w:p>
        </w:tc>
        <w:tc>
          <w:tcPr>
            <w:tcW w:w="707" w:type="dxa"/>
            <w:tcBorders>
              <w:top w:val="nil"/>
              <w:left w:val="nil"/>
              <w:bottom w:val="single" w:sz="4" w:space="0" w:color="auto"/>
              <w:right w:val="single" w:sz="4" w:space="0" w:color="auto"/>
            </w:tcBorders>
            <w:shd w:val="clear" w:color="auto" w:fill="BDD7EE"/>
            <w:hideMark/>
          </w:tcPr>
          <w:p w14:paraId="2DF3FDF2" w14:textId="77777777" w:rsidR="00733DCA" w:rsidRPr="00D03199"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Godina</w:t>
            </w:r>
          </w:p>
        </w:tc>
        <w:tc>
          <w:tcPr>
            <w:tcW w:w="4092" w:type="dxa"/>
            <w:vMerge/>
            <w:tcBorders>
              <w:top w:val="single" w:sz="4" w:space="0" w:color="auto"/>
              <w:bottom w:val="single" w:sz="4" w:space="0" w:color="auto"/>
              <w:right w:val="single" w:sz="4" w:space="0" w:color="auto"/>
            </w:tcBorders>
            <w:hideMark/>
          </w:tcPr>
          <w:p w14:paraId="0461F0E1" w14:textId="77777777" w:rsidR="00733DCA" w:rsidRPr="00D03199" w:rsidRDefault="00733DCA" w:rsidP="0001477B">
            <w:pPr>
              <w:spacing w:after="0" w:line="276" w:lineRule="auto"/>
              <w:rPr>
                <w:rFonts w:ascii="Times New Roman" w:eastAsia="Times New Roman" w:hAnsi="Times New Roman" w:cs="Times New Roman"/>
                <w:b/>
                <w:noProof/>
                <w:lang w:val="en-GB" w:eastAsia="en-GB"/>
              </w:rPr>
            </w:pPr>
          </w:p>
        </w:tc>
      </w:tr>
      <w:tr w:rsidR="00984D6F" w:rsidRPr="00D03199" w14:paraId="51339B10" w14:textId="77777777" w:rsidTr="008D7238">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C768F56" w14:textId="77777777" w:rsidR="00733DCA" w:rsidRPr="00D03199"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176</w:t>
            </w:r>
          </w:p>
        </w:tc>
        <w:tc>
          <w:tcPr>
            <w:tcW w:w="849" w:type="dxa"/>
            <w:tcBorders>
              <w:top w:val="single" w:sz="4" w:space="0" w:color="auto"/>
              <w:left w:val="nil"/>
              <w:bottom w:val="single" w:sz="4" w:space="0" w:color="auto"/>
              <w:right w:val="single" w:sz="4" w:space="0" w:color="auto"/>
            </w:tcBorders>
            <w:shd w:val="clear" w:color="auto" w:fill="C6EFCE"/>
            <w:noWrap/>
          </w:tcPr>
          <w:p w14:paraId="5B65AA2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R1</w:t>
            </w:r>
          </w:p>
        </w:tc>
        <w:tc>
          <w:tcPr>
            <w:tcW w:w="849" w:type="dxa"/>
            <w:tcBorders>
              <w:top w:val="single" w:sz="4" w:space="0" w:color="auto"/>
              <w:left w:val="nil"/>
              <w:bottom w:val="single" w:sz="4" w:space="0" w:color="auto"/>
              <w:right w:val="single" w:sz="4" w:space="0" w:color="auto"/>
            </w:tcBorders>
            <w:shd w:val="clear" w:color="auto" w:fill="C6EFCE"/>
            <w:noWrap/>
          </w:tcPr>
          <w:p w14:paraId="663DD18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6C9BA0F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Strategija Digitalna Hrvatska </w:t>
            </w:r>
          </w:p>
        </w:tc>
        <w:tc>
          <w:tcPr>
            <w:tcW w:w="1954" w:type="dxa"/>
            <w:tcBorders>
              <w:top w:val="single" w:sz="4" w:space="0" w:color="auto"/>
              <w:left w:val="nil"/>
              <w:bottom w:val="single" w:sz="4" w:space="0" w:color="auto"/>
              <w:right w:val="single" w:sz="4" w:space="0" w:color="auto"/>
            </w:tcBorders>
            <w:shd w:val="clear" w:color="auto" w:fill="C6EFCE"/>
            <w:noWrap/>
          </w:tcPr>
          <w:p w14:paraId="297C53FE"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Strategije Digitalna Hrvatska</w:t>
            </w:r>
          </w:p>
        </w:tc>
        <w:tc>
          <w:tcPr>
            <w:tcW w:w="1096" w:type="dxa"/>
            <w:tcBorders>
              <w:top w:val="nil"/>
              <w:left w:val="nil"/>
              <w:bottom w:val="single" w:sz="4" w:space="0" w:color="auto"/>
              <w:right w:val="single" w:sz="4" w:space="0" w:color="auto"/>
            </w:tcBorders>
            <w:shd w:val="clear" w:color="auto" w:fill="C6EFCE"/>
            <w:noWrap/>
          </w:tcPr>
          <w:p w14:paraId="21AF0CC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nil"/>
              <w:left w:val="nil"/>
              <w:bottom w:val="single" w:sz="4" w:space="0" w:color="auto"/>
              <w:right w:val="single" w:sz="4" w:space="0" w:color="auto"/>
            </w:tcBorders>
            <w:shd w:val="clear" w:color="auto" w:fill="C6EFCE"/>
            <w:noWrap/>
          </w:tcPr>
          <w:p w14:paraId="53899EB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nil"/>
              <w:left w:val="nil"/>
              <w:bottom w:val="single" w:sz="4" w:space="0" w:color="auto"/>
              <w:right w:val="single" w:sz="4" w:space="0" w:color="auto"/>
            </w:tcBorders>
            <w:shd w:val="clear" w:color="auto" w:fill="C6EFCE"/>
            <w:noWrap/>
          </w:tcPr>
          <w:p w14:paraId="619A67F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nil"/>
              <w:left w:val="nil"/>
              <w:bottom w:val="single" w:sz="4" w:space="0" w:color="auto"/>
              <w:right w:val="single" w:sz="4" w:space="0" w:color="auto"/>
            </w:tcBorders>
            <w:shd w:val="clear" w:color="auto" w:fill="C6EFCE"/>
            <w:noWrap/>
          </w:tcPr>
          <w:p w14:paraId="7B940D6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nil"/>
              <w:left w:val="nil"/>
              <w:bottom w:val="single" w:sz="4" w:space="0" w:color="auto"/>
              <w:right w:val="single" w:sz="4" w:space="0" w:color="auto"/>
            </w:tcBorders>
            <w:shd w:val="clear" w:color="auto" w:fill="C6EFCE"/>
            <w:noWrap/>
          </w:tcPr>
          <w:p w14:paraId="79D326F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092" w:type="dxa"/>
            <w:tcBorders>
              <w:top w:val="single" w:sz="4" w:space="0" w:color="auto"/>
              <w:left w:val="nil"/>
              <w:bottom w:val="single" w:sz="4" w:space="0" w:color="auto"/>
              <w:right w:val="single" w:sz="4" w:space="0" w:color="auto"/>
            </w:tcBorders>
            <w:shd w:val="clear" w:color="auto" w:fill="C6EFCE"/>
            <w:noWrap/>
          </w:tcPr>
          <w:p w14:paraId="348AF05B"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 strategiji „Digitalna Hrvatska do 2030.” jasno će se definirati strateški ciljevi i prioriteti koji će biti osnova za definiranje djelovanja u sljedećim područjima: digitalizacija javne uprave i pravosuđa, razvoj širokopojasnih elektroničkih komunikacijskih mreža, razvoj digitalnih kompetencija i digitalnih poslova.</w:t>
            </w:r>
          </w:p>
        </w:tc>
      </w:tr>
      <w:bookmarkEnd w:id="5"/>
      <w:tr w:rsidR="00984D6F" w:rsidRPr="00D03199" w14:paraId="5E607E1C"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43D0A40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177</w:t>
            </w:r>
          </w:p>
        </w:tc>
        <w:tc>
          <w:tcPr>
            <w:tcW w:w="849" w:type="dxa"/>
            <w:tcBorders>
              <w:top w:val="nil"/>
              <w:left w:val="nil"/>
              <w:bottom w:val="single" w:sz="4" w:space="0" w:color="auto"/>
              <w:right w:val="single" w:sz="4" w:space="0" w:color="auto"/>
            </w:tcBorders>
            <w:shd w:val="clear" w:color="auto" w:fill="C6EFCE"/>
            <w:noWrap/>
          </w:tcPr>
          <w:p w14:paraId="3630A97C" w14:textId="5BCEEACE"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R2</w:t>
            </w:r>
            <w:r>
              <w:rPr>
                <w:rFonts w:ascii="Calibri" w:hAnsi="Calibri"/>
                <w:noProof/>
                <w:color w:val="000000"/>
                <w:sz w:val="20"/>
              </w:rPr>
              <w:br/>
              <w:t>C2.3. R2.I2</w:t>
            </w:r>
          </w:p>
        </w:tc>
        <w:tc>
          <w:tcPr>
            <w:tcW w:w="849" w:type="dxa"/>
            <w:tcBorders>
              <w:top w:val="nil"/>
              <w:left w:val="nil"/>
              <w:bottom w:val="single" w:sz="4" w:space="0" w:color="auto"/>
              <w:right w:val="single" w:sz="4" w:space="0" w:color="auto"/>
            </w:tcBorders>
            <w:shd w:val="clear" w:color="auto" w:fill="C6EFCE"/>
            <w:noWrap/>
          </w:tcPr>
          <w:p w14:paraId="03E2BBD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nil"/>
              <w:left w:val="nil"/>
              <w:bottom w:val="single" w:sz="4" w:space="0" w:color="auto"/>
              <w:right w:val="single" w:sz="4" w:space="0" w:color="auto"/>
            </w:tcBorders>
            <w:shd w:val="clear" w:color="auto" w:fill="C6EFCE"/>
            <w:noWrap/>
          </w:tcPr>
          <w:p w14:paraId="2C4CC6A7"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Uspostava platformi za središnji sustav interoperabilnosti </w:t>
            </w:r>
          </w:p>
        </w:tc>
        <w:tc>
          <w:tcPr>
            <w:tcW w:w="1954" w:type="dxa"/>
            <w:tcBorders>
              <w:top w:val="nil"/>
              <w:left w:val="nil"/>
              <w:bottom w:val="single" w:sz="4" w:space="0" w:color="auto"/>
              <w:right w:val="single" w:sz="4" w:space="0" w:color="auto"/>
            </w:tcBorders>
            <w:shd w:val="clear" w:color="auto" w:fill="C6EFCE"/>
            <w:noWrap/>
          </w:tcPr>
          <w:p w14:paraId="186DBA34" w14:textId="2B7D93BD"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SDURDD-a kojim se potvrđuje da su platforme operativne i testirane za korištenje</w:t>
            </w:r>
          </w:p>
        </w:tc>
        <w:tc>
          <w:tcPr>
            <w:tcW w:w="1096" w:type="dxa"/>
            <w:tcBorders>
              <w:top w:val="nil"/>
              <w:left w:val="nil"/>
              <w:bottom w:val="single" w:sz="4" w:space="0" w:color="auto"/>
              <w:right w:val="single" w:sz="4" w:space="0" w:color="auto"/>
            </w:tcBorders>
            <w:shd w:val="clear" w:color="auto" w:fill="C6EFCE"/>
            <w:noWrap/>
          </w:tcPr>
          <w:p w14:paraId="448D25F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nil"/>
              <w:left w:val="nil"/>
              <w:bottom w:val="single" w:sz="4" w:space="0" w:color="auto"/>
              <w:right w:val="single" w:sz="4" w:space="0" w:color="auto"/>
            </w:tcBorders>
            <w:shd w:val="clear" w:color="auto" w:fill="C6EFCE"/>
            <w:noWrap/>
          </w:tcPr>
          <w:p w14:paraId="75F5929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nil"/>
              <w:left w:val="nil"/>
              <w:bottom w:val="single" w:sz="4" w:space="0" w:color="auto"/>
              <w:right w:val="single" w:sz="4" w:space="0" w:color="auto"/>
            </w:tcBorders>
            <w:shd w:val="clear" w:color="auto" w:fill="C6EFCE"/>
            <w:noWrap/>
          </w:tcPr>
          <w:p w14:paraId="6904ED3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nil"/>
              <w:left w:val="nil"/>
              <w:bottom w:val="single" w:sz="4" w:space="0" w:color="auto"/>
              <w:right w:val="single" w:sz="4" w:space="0" w:color="auto"/>
            </w:tcBorders>
            <w:shd w:val="clear" w:color="auto" w:fill="C6EFCE"/>
            <w:noWrap/>
          </w:tcPr>
          <w:p w14:paraId="7D0C37E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nil"/>
              <w:left w:val="nil"/>
              <w:bottom w:val="single" w:sz="4" w:space="0" w:color="auto"/>
              <w:right w:val="single" w:sz="4" w:space="0" w:color="auto"/>
            </w:tcBorders>
            <w:shd w:val="clear" w:color="auto" w:fill="C6EFCE"/>
            <w:noWrap/>
          </w:tcPr>
          <w:p w14:paraId="58C9A79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092" w:type="dxa"/>
            <w:tcBorders>
              <w:top w:val="nil"/>
              <w:left w:val="nil"/>
              <w:bottom w:val="single" w:sz="4" w:space="0" w:color="auto"/>
              <w:right w:val="single" w:sz="4" w:space="0" w:color="auto"/>
            </w:tcBorders>
            <w:shd w:val="clear" w:color="auto" w:fill="C6EFCE"/>
            <w:noWrap/>
          </w:tcPr>
          <w:p w14:paraId="4B2ED2F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Središnji nacionalni portal interoperabilnosti pružat katalog svih dostupnih usluga, a skladište podataka spremno je za operativnu upotrebu.</w:t>
            </w:r>
          </w:p>
        </w:tc>
      </w:tr>
      <w:tr w:rsidR="00984D6F" w:rsidRPr="00D03199" w14:paraId="366A5F55"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36D2E85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178</w:t>
            </w:r>
          </w:p>
        </w:tc>
        <w:tc>
          <w:tcPr>
            <w:tcW w:w="849" w:type="dxa"/>
            <w:tcBorders>
              <w:top w:val="nil"/>
              <w:left w:val="nil"/>
              <w:bottom w:val="single" w:sz="4" w:space="0" w:color="auto"/>
              <w:right w:val="single" w:sz="4" w:space="0" w:color="auto"/>
            </w:tcBorders>
            <w:shd w:val="clear" w:color="auto" w:fill="C6EFCE"/>
            <w:noWrap/>
          </w:tcPr>
          <w:p w14:paraId="5428283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R2-I1</w:t>
            </w:r>
          </w:p>
        </w:tc>
        <w:tc>
          <w:tcPr>
            <w:tcW w:w="849" w:type="dxa"/>
            <w:tcBorders>
              <w:top w:val="nil"/>
              <w:left w:val="nil"/>
              <w:bottom w:val="single" w:sz="4" w:space="0" w:color="auto"/>
              <w:right w:val="single" w:sz="4" w:space="0" w:color="auto"/>
            </w:tcBorders>
            <w:shd w:val="clear" w:color="auto" w:fill="C6EFCE"/>
            <w:noWrap/>
          </w:tcPr>
          <w:p w14:paraId="239BEBA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nil"/>
              <w:left w:val="nil"/>
              <w:bottom w:val="single" w:sz="4" w:space="0" w:color="auto"/>
              <w:right w:val="single" w:sz="4" w:space="0" w:color="auto"/>
            </w:tcBorders>
            <w:shd w:val="clear" w:color="auto" w:fill="C6EFCE"/>
            <w:noWrap/>
          </w:tcPr>
          <w:p w14:paraId="2FAC0A1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Uspostava središnjeg sustava interoperabilnosti </w:t>
            </w:r>
          </w:p>
        </w:tc>
        <w:tc>
          <w:tcPr>
            <w:tcW w:w="1954" w:type="dxa"/>
            <w:tcBorders>
              <w:top w:val="nil"/>
              <w:left w:val="nil"/>
              <w:bottom w:val="single" w:sz="4" w:space="0" w:color="auto"/>
              <w:right w:val="single" w:sz="4" w:space="0" w:color="auto"/>
            </w:tcBorders>
            <w:shd w:val="clear" w:color="auto" w:fill="C6EFCE"/>
            <w:noWrap/>
          </w:tcPr>
          <w:p w14:paraId="760BAC1B"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SDURDD-a kojim se potvrđuje da je sustav operativan i testiran za korištenje</w:t>
            </w:r>
          </w:p>
        </w:tc>
        <w:tc>
          <w:tcPr>
            <w:tcW w:w="1096" w:type="dxa"/>
            <w:tcBorders>
              <w:top w:val="nil"/>
              <w:left w:val="nil"/>
              <w:bottom w:val="single" w:sz="4" w:space="0" w:color="auto"/>
              <w:right w:val="single" w:sz="4" w:space="0" w:color="auto"/>
            </w:tcBorders>
            <w:shd w:val="clear" w:color="auto" w:fill="C6EFCE"/>
            <w:noWrap/>
          </w:tcPr>
          <w:p w14:paraId="38D677E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nil"/>
              <w:left w:val="nil"/>
              <w:bottom w:val="single" w:sz="4" w:space="0" w:color="auto"/>
              <w:right w:val="single" w:sz="4" w:space="0" w:color="auto"/>
            </w:tcBorders>
            <w:shd w:val="clear" w:color="auto" w:fill="C6EFCE"/>
            <w:noWrap/>
          </w:tcPr>
          <w:p w14:paraId="16C2A89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nil"/>
              <w:left w:val="nil"/>
              <w:bottom w:val="single" w:sz="4" w:space="0" w:color="auto"/>
              <w:right w:val="single" w:sz="4" w:space="0" w:color="auto"/>
            </w:tcBorders>
            <w:shd w:val="clear" w:color="auto" w:fill="C6EFCE"/>
            <w:noWrap/>
          </w:tcPr>
          <w:p w14:paraId="44C99FB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nil"/>
              <w:left w:val="nil"/>
              <w:bottom w:val="single" w:sz="4" w:space="0" w:color="auto"/>
              <w:right w:val="single" w:sz="4" w:space="0" w:color="auto"/>
            </w:tcBorders>
            <w:shd w:val="clear" w:color="auto" w:fill="C6EFCE"/>
            <w:noWrap/>
          </w:tcPr>
          <w:p w14:paraId="0601E011" w14:textId="45EE7D6B"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3.</w:t>
            </w:r>
          </w:p>
        </w:tc>
        <w:tc>
          <w:tcPr>
            <w:tcW w:w="707" w:type="dxa"/>
            <w:tcBorders>
              <w:top w:val="nil"/>
              <w:left w:val="nil"/>
              <w:bottom w:val="single" w:sz="4" w:space="0" w:color="auto"/>
              <w:right w:val="single" w:sz="4" w:space="0" w:color="auto"/>
            </w:tcBorders>
            <w:shd w:val="clear" w:color="auto" w:fill="C6EFCE"/>
            <w:noWrap/>
          </w:tcPr>
          <w:p w14:paraId="10FDADD1" w14:textId="677F51BE"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4092" w:type="dxa"/>
            <w:tcBorders>
              <w:top w:val="nil"/>
              <w:left w:val="nil"/>
              <w:bottom w:val="single" w:sz="4" w:space="0" w:color="auto"/>
              <w:right w:val="single" w:sz="4" w:space="0" w:color="auto"/>
            </w:tcBorders>
            <w:shd w:val="clear" w:color="auto" w:fill="C6EFCE"/>
            <w:noWrap/>
          </w:tcPr>
          <w:p w14:paraId="6F01E2E5"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Središnji sustav interoperabilnosti spreman je za operativnu upotrebu, uključujući internetsko pružanje 21 postupka u skladu s Prilogom II. Uredbi o jedinstvenom digitalnom pristupniku. </w:t>
            </w:r>
          </w:p>
        </w:tc>
      </w:tr>
      <w:tr w:rsidR="00984D6F" w:rsidRPr="00D03199" w14:paraId="1D280157"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29D8085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179</w:t>
            </w:r>
          </w:p>
        </w:tc>
        <w:tc>
          <w:tcPr>
            <w:tcW w:w="849" w:type="dxa"/>
            <w:tcBorders>
              <w:top w:val="nil"/>
              <w:left w:val="nil"/>
              <w:bottom w:val="single" w:sz="4" w:space="0" w:color="auto"/>
              <w:right w:val="single" w:sz="4" w:space="0" w:color="auto"/>
            </w:tcBorders>
            <w:shd w:val="clear" w:color="auto" w:fill="C6EFCE"/>
            <w:noWrap/>
          </w:tcPr>
          <w:p w14:paraId="5FC4978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w:t>
            </w:r>
          </w:p>
        </w:tc>
        <w:tc>
          <w:tcPr>
            <w:tcW w:w="849" w:type="dxa"/>
            <w:tcBorders>
              <w:top w:val="nil"/>
              <w:left w:val="nil"/>
              <w:bottom w:val="single" w:sz="4" w:space="0" w:color="auto"/>
              <w:right w:val="single" w:sz="4" w:space="0" w:color="auto"/>
            </w:tcBorders>
            <w:shd w:val="clear" w:color="auto" w:fill="C6EFCE"/>
            <w:noWrap/>
          </w:tcPr>
          <w:p w14:paraId="13F59FB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nil"/>
              <w:left w:val="nil"/>
              <w:bottom w:val="single" w:sz="4" w:space="0" w:color="auto"/>
              <w:right w:val="single" w:sz="4" w:space="0" w:color="auto"/>
            </w:tcBorders>
            <w:shd w:val="clear" w:color="auto" w:fill="C6EFCE"/>
            <w:noWrap/>
          </w:tcPr>
          <w:p w14:paraId="50FCCD27"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Nadogradnja Državnog oblaka </w:t>
            </w:r>
          </w:p>
        </w:tc>
        <w:tc>
          <w:tcPr>
            <w:tcW w:w="1954" w:type="dxa"/>
            <w:tcBorders>
              <w:top w:val="nil"/>
              <w:left w:val="nil"/>
              <w:bottom w:val="single" w:sz="4" w:space="0" w:color="auto"/>
              <w:right w:val="single" w:sz="4" w:space="0" w:color="auto"/>
            </w:tcBorders>
            <w:shd w:val="clear" w:color="auto" w:fill="C6EFCE"/>
            <w:noWrap/>
          </w:tcPr>
          <w:p w14:paraId="0D572850"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Izvješće SDURDD-a  </w:t>
            </w:r>
          </w:p>
        </w:tc>
        <w:tc>
          <w:tcPr>
            <w:tcW w:w="1096" w:type="dxa"/>
            <w:tcBorders>
              <w:top w:val="nil"/>
              <w:left w:val="nil"/>
              <w:bottom w:val="single" w:sz="4" w:space="0" w:color="auto"/>
              <w:right w:val="single" w:sz="4" w:space="0" w:color="auto"/>
            </w:tcBorders>
            <w:shd w:val="clear" w:color="auto" w:fill="C6EFCE"/>
            <w:noWrap/>
          </w:tcPr>
          <w:p w14:paraId="63B2420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nil"/>
              <w:left w:val="nil"/>
              <w:bottom w:val="single" w:sz="4" w:space="0" w:color="auto"/>
              <w:right w:val="single" w:sz="4" w:space="0" w:color="auto"/>
            </w:tcBorders>
            <w:shd w:val="clear" w:color="auto" w:fill="C6EFCE"/>
            <w:noWrap/>
          </w:tcPr>
          <w:p w14:paraId="489CE76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nil"/>
              <w:left w:val="nil"/>
              <w:bottom w:val="single" w:sz="4" w:space="0" w:color="auto"/>
              <w:right w:val="single" w:sz="4" w:space="0" w:color="auto"/>
            </w:tcBorders>
            <w:shd w:val="clear" w:color="auto" w:fill="C6EFCE"/>
            <w:noWrap/>
          </w:tcPr>
          <w:p w14:paraId="46655B5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w:t>
            </w:r>
          </w:p>
        </w:tc>
        <w:tc>
          <w:tcPr>
            <w:tcW w:w="516" w:type="dxa"/>
            <w:tcBorders>
              <w:top w:val="nil"/>
              <w:left w:val="nil"/>
              <w:bottom w:val="single" w:sz="4" w:space="0" w:color="auto"/>
              <w:right w:val="single" w:sz="4" w:space="0" w:color="auto"/>
            </w:tcBorders>
            <w:shd w:val="clear" w:color="auto" w:fill="C6EFCE"/>
            <w:noWrap/>
          </w:tcPr>
          <w:p w14:paraId="396DF00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nil"/>
              <w:left w:val="nil"/>
              <w:bottom w:val="single" w:sz="4" w:space="0" w:color="auto"/>
              <w:right w:val="single" w:sz="4" w:space="0" w:color="auto"/>
            </w:tcBorders>
            <w:shd w:val="clear" w:color="auto" w:fill="C6EFCE"/>
            <w:noWrap/>
          </w:tcPr>
          <w:p w14:paraId="499ED53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092" w:type="dxa"/>
            <w:tcBorders>
              <w:top w:val="nil"/>
              <w:left w:val="nil"/>
              <w:bottom w:val="single" w:sz="4" w:space="0" w:color="auto"/>
              <w:right w:val="single" w:sz="4" w:space="0" w:color="auto"/>
            </w:tcBorders>
            <w:shd w:val="clear" w:color="auto" w:fill="C6EFCE"/>
            <w:noWrap/>
          </w:tcPr>
          <w:p w14:paraId="6D66D5E1" w14:textId="1A90DF8C"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Šest novih funkcionalnosti spremno je za operativnu upotrebu u Državnom oblaku (CDU) i dostupno korisnicima:</w:t>
            </w:r>
            <w:r>
              <w:rPr>
                <w:rFonts w:ascii="Calibri" w:hAnsi="Calibri"/>
                <w:noProof/>
                <w:color w:val="000000"/>
                <w:sz w:val="20"/>
              </w:rPr>
              <w:br/>
              <w:t>– platforma za razvoj, provedbu i testiranje aplikacija za korisnike,</w:t>
            </w:r>
            <w:r>
              <w:rPr>
                <w:rFonts w:ascii="Calibri" w:hAnsi="Calibri"/>
                <w:noProof/>
                <w:color w:val="000000"/>
                <w:sz w:val="20"/>
              </w:rPr>
              <w:br/>
              <w:t>– platforma za IKT podršku,</w:t>
            </w:r>
            <w:r>
              <w:rPr>
                <w:rFonts w:ascii="Calibri" w:hAnsi="Calibri"/>
                <w:noProof/>
                <w:color w:val="000000"/>
                <w:sz w:val="20"/>
              </w:rPr>
              <w:br/>
              <w:t>– središnji sustav nadzora informacijske sigurnosti za upravljanje sigurnosnim događajima,</w:t>
            </w:r>
            <w:r>
              <w:rPr>
                <w:rFonts w:ascii="Calibri" w:hAnsi="Calibri"/>
                <w:noProof/>
                <w:color w:val="000000"/>
                <w:sz w:val="20"/>
              </w:rPr>
              <w:br/>
              <w:t xml:space="preserve">– platforma za biometrijsku autentifikaciju, </w:t>
            </w:r>
            <w:r>
              <w:rPr>
                <w:rFonts w:ascii="Calibri" w:hAnsi="Calibri"/>
                <w:noProof/>
                <w:color w:val="000000"/>
                <w:sz w:val="20"/>
              </w:rPr>
              <w:br/>
              <w:t>– platforma za upravljanje digitalnim sadržajem web-stranica,</w:t>
            </w:r>
            <w:r>
              <w:rPr>
                <w:rFonts w:ascii="Calibri" w:hAnsi="Calibri"/>
                <w:noProof/>
                <w:color w:val="000000"/>
                <w:sz w:val="20"/>
              </w:rPr>
              <w:br/>
              <w:t>– platforma za razvoj tehnologija lanaca blokova za Državni oblak.</w:t>
            </w:r>
          </w:p>
        </w:tc>
      </w:tr>
      <w:tr w:rsidR="00984D6F" w:rsidRPr="00D03199" w14:paraId="668D64FE"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22C82FF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180</w:t>
            </w:r>
          </w:p>
        </w:tc>
        <w:tc>
          <w:tcPr>
            <w:tcW w:w="849" w:type="dxa"/>
            <w:tcBorders>
              <w:top w:val="nil"/>
              <w:left w:val="nil"/>
              <w:bottom w:val="single" w:sz="4" w:space="0" w:color="auto"/>
              <w:right w:val="single" w:sz="4" w:space="0" w:color="auto"/>
            </w:tcBorders>
            <w:shd w:val="clear" w:color="auto" w:fill="C6EFCE"/>
            <w:noWrap/>
          </w:tcPr>
          <w:p w14:paraId="74E4C38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w:t>
            </w:r>
          </w:p>
        </w:tc>
        <w:tc>
          <w:tcPr>
            <w:tcW w:w="849" w:type="dxa"/>
            <w:tcBorders>
              <w:top w:val="nil"/>
              <w:left w:val="nil"/>
              <w:bottom w:val="single" w:sz="4" w:space="0" w:color="auto"/>
              <w:right w:val="single" w:sz="4" w:space="0" w:color="auto"/>
            </w:tcBorders>
            <w:shd w:val="clear" w:color="auto" w:fill="C6EFCE"/>
            <w:noWrap/>
          </w:tcPr>
          <w:p w14:paraId="072E507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nil"/>
              <w:left w:val="nil"/>
              <w:bottom w:val="single" w:sz="4" w:space="0" w:color="auto"/>
              <w:right w:val="single" w:sz="4" w:space="0" w:color="auto"/>
            </w:tcBorders>
            <w:shd w:val="clear" w:color="auto" w:fill="C6EFCE"/>
            <w:noWrap/>
          </w:tcPr>
          <w:p w14:paraId="16D0A14C"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Povećanje broja korisnika u CDU-u</w:t>
            </w:r>
          </w:p>
        </w:tc>
        <w:tc>
          <w:tcPr>
            <w:tcW w:w="1954" w:type="dxa"/>
            <w:tcBorders>
              <w:top w:val="nil"/>
              <w:left w:val="nil"/>
              <w:bottom w:val="single" w:sz="4" w:space="0" w:color="auto"/>
              <w:right w:val="single" w:sz="4" w:space="0" w:color="auto"/>
            </w:tcBorders>
            <w:shd w:val="clear" w:color="auto" w:fill="C6EFCE"/>
            <w:noWrap/>
          </w:tcPr>
          <w:p w14:paraId="5CC89475"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96" w:type="dxa"/>
            <w:tcBorders>
              <w:top w:val="nil"/>
              <w:left w:val="nil"/>
              <w:bottom w:val="single" w:sz="4" w:space="0" w:color="auto"/>
              <w:right w:val="single" w:sz="4" w:space="0" w:color="auto"/>
            </w:tcBorders>
            <w:shd w:val="clear" w:color="auto" w:fill="C6EFCE"/>
            <w:noWrap/>
          </w:tcPr>
          <w:p w14:paraId="15F4410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nil"/>
              <w:left w:val="nil"/>
              <w:bottom w:val="single" w:sz="4" w:space="0" w:color="auto"/>
              <w:right w:val="single" w:sz="4" w:space="0" w:color="auto"/>
            </w:tcBorders>
            <w:shd w:val="clear" w:color="auto" w:fill="C6EFCE"/>
            <w:noWrap/>
          </w:tcPr>
          <w:p w14:paraId="566F219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nil"/>
              <w:left w:val="nil"/>
              <w:bottom w:val="single" w:sz="4" w:space="0" w:color="auto"/>
              <w:right w:val="single" w:sz="4" w:space="0" w:color="auto"/>
            </w:tcBorders>
            <w:shd w:val="clear" w:color="auto" w:fill="C6EFCE"/>
            <w:noWrap/>
          </w:tcPr>
          <w:p w14:paraId="0068E10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450</w:t>
            </w:r>
          </w:p>
        </w:tc>
        <w:tc>
          <w:tcPr>
            <w:tcW w:w="516" w:type="dxa"/>
            <w:tcBorders>
              <w:top w:val="nil"/>
              <w:left w:val="nil"/>
              <w:bottom w:val="single" w:sz="4" w:space="0" w:color="auto"/>
              <w:right w:val="single" w:sz="4" w:space="0" w:color="auto"/>
            </w:tcBorders>
            <w:shd w:val="clear" w:color="auto" w:fill="C6EFCE"/>
            <w:noWrap/>
          </w:tcPr>
          <w:p w14:paraId="528E438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nil"/>
              <w:left w:val="nil"/>
              <w:bottom w:val="single" w:sz="4" w:space="0" w:color="auto"/>
              <w:right w:val="single" w:sz="4" w:space="0" w:color="auto"/>
            </w:tcBorders>
            <w:shd w:val="clear" w:color="auto" w:fill="C6EFCE"/>
            <w:noWrap/>
          </w:tcPr>
          <w:p w14:paraId="36C083E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nil"/>
              <w:left w:val="nil"/>
              <w:bottom w:val="single" w:sz="4" w:space="0" w:color="auto"/>
              <w:right w:val="single" w:sz="4" w:space="0" w:color="auto"/>
            </w:tcBorders>
            <w:shd w:val="clear" w:color="auto" w:fill="C6EFCE"/>
            <w:noWrap/>
          </w:tcPr>
          <w:p w14:paraId="12912D8E" w14:textId="77777777" w:rsidR="00733DCA" w:rsidRPr="00D03199" w:rsidRDefault="00733DCA" w:rsidP="005813E8">
            <w:pPr>
              <w:spacing w:after="200" w:line="276" w:lineRule="auto"/>
              <w:rPr>
                <w:rFonts w:ascii="Times New Roman" w:eastAsia="Calibri" w:hAnsi="Times New Roman" w:cs="Times New Roman"/>
                <w:noProof/>
                <w:sz w:val="20"/>
                <w:szCs w:val="20"/>
              </w:rPr>
            </w:pPr>
            <w:r>
              <w:rPr>
                <w:rFonts w:ascii="Calibri" w:hAnsi="Calibri"/>
                <w:noProof/>
                <w:color w:val="000000"/>
                <w:sz w:val="20"/>
              </w:rPr>
              <w:t>450 novih korisnika integrirano je u CDU</w:t>
            </w:r>
          </w:p>
        </w:tc>
      </w:tr>
      <w:tr w:rsidR="00984D6F" w:rsidRPr="00D03199" w14:paraId="01BCA9A8"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59685E4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181</w:t>
            </w:r>
          </w:p>
        </w:tc>
        <w:tc>
          <w:tcPr>
            <w:tcW w:w="849" w:type="dxa"/>
            <w:tcBorders>
              <w:top w:val="nil"/>
              <w:left w:val="nil"/>
              <w:bottom w:val="single" w:sz="4" w:space="0" w:color="auto"/>
              <w:right w:val="single" w:sz="4" w:space="0" w:color="auto"/>
            </w:tcBorders>
            <w:shd w:val="clear" w:color="auto" w:fill="C6EFCE"/>
            <w:noWrap/>
          </w:tcPr>
          <w:p w14:paraId="13F4D8B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R3-I2</w:t>
            </w:r>
          </w:p>
        </w:tc>
        <w:tc>
          <w:tcPr>
            <w:tcW w:w="849" w:type="dxa"/>
            <w:tcBorders>
              <w:top w:val="nil"/>
              <w:left w:val="nil"/>
              <w:bottom w:val="single" w:sz="4" w:space="0" w:color="auto"/>
              <w:right w:val="single" w:sz="4" w:space="0" w:color="auto"/>
            </w:tcBorders>
            <w:shd w:val="clear" w:color="auto" w:fill="C6EFCE"/>
            <w:noWrap/>
          </w:tcPr>
          <w:p w14:paraId="332B2DB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nil"/>
              <w:left w:val="nil"/>
              <w:bottom w:val="single" w:sz="4" w:space="0" w:color="auto"/>
              <w:right w:val="single" w:sz="4" w:space="0" w:color="auto"/>
            </w:tcBorders>
            <w:shd w:val="clear" w:color="auto" w:fill="C6EFCE"/>
            <w:noWrap/>
          </w:tcPr>
          <w:p w14:paraId="1A868128"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Pilot-projekt o kibersigurnosti</w:t>
            </w:r>
          </w:p>
        </w:tc>
        <w:tc>
          <w:tcPr>
            <w:tcW w:w="1954" w:type="dxa"/>
            <w:tcBorders>
              <w:top w:val="nil"/>
              <w:left w:val="nil"/>
              <w:bottom w:val="single" w:sz="4" w:space="0" w:color="auto"/>
              <w:right w:val="single" w:sz="4" w:space="0" w:color="auto"/>
            </w:tcBorders>
            <w:shd w:val="clear" w:color="auto" w:fill="C6EFCE"/>
            <w:noWrap/>
          </w:tcPr>
          <w:p w14:paraId="351598AC"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Ministarstva unutarnjih poslova</w:t>
            </w:r>
          </w:p>
        </w:tc>
        <w:tc>
          <w:tcPr>
            <w:tcW w:w="1096" w:type="dxa"/>
            <w:tcBorders>
              <w:top w:val="nil"/>
              <w:left w:val="nil"/>
              <w:bottom w:val="single" w:sz="4" w:space="0" w:color="auto"/>
              <w:right w:val="single" w:sz="4" w:space="0" w:color="auto"/>
            </w:tcBorders>
            <w:shd w:val="clear" w:color="auto" w:fill="C6EFCE"/>
            <w:noWrap/>
          </w:tcPr>
          <w:p w14:paraId="188EE0B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nil"/>
              <w:left w:val="nil"/>
              <w:bottom w:val="single" w:sz="4" w:space="0" w:color="auto"/>
              <w:right w:val="single" w:sz="4" w:space="0" w:color="auto"/>
            </w:tcBorders>
            <w:shd w:val="clear" w:color="auto" w:fill="C6EFCE"/>
            <w:noWrap/>
          </w:tcPr>
          <w:p w14:paraId="3C4FAB5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nil"/>
              <w:left w:val="nil"/>
              <w:bottom w:val="single" w:sz="4" w:space="0" w:color="auto"/>
              <w:right w:val="single" w:sz="4" w:space="0" w:color="auto"/>
            </w:tcBorders>
            <w:shd w:val="clear" w:color="auto" w:fill="C6EFCE"/>
            <w:noWrap/>
          </w:tcPr>
          <w:p w14:paraId="576D00C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nil"/>
              <w:left w:val="nil"/>
              <w:bottom w:val="single" w:sz="4" w:space="0" w:color="auto"/>
              <w:right w:val="single" w:sz="4" w:space="0" w:color="auto"/>
            </w:tcBorders>
            <w:shd w:val="clear" w:color="auto" w:fill="C6EFCE"/>
            <w:noWrap/>
          </w:tcPr>
          <w:p w14:paraId="0BC463E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nil"/>
              <w:left w:val="nil"/>
              <w:bottom w:val="single" w:sz="4" w:space="0" w:color="auto"/>
              <w:right w:val="single" w:sz="4" w:space="0" w:color="auto"/>
            </w:tcBorders>
            <w:shd w:val="clear" w:color="auto" w:fill="C6EFCE"/>
            <w:noWrap/>
          </w:tcPr>
          <w:p w14:paraId="083A88C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092" w:type="dxa"/>
            <w:tcBorders>
              <w:top w:val="nil"/>
              <w:left w:val="nil"/>
              <w:bottom w:val="single" w:sz="4" w:space="0" w:color="auto"/>
              <w:right w:val="single" w:sz="4" w:space="0" w:color="auto"/>
            </w:tcBorders>
            <w:shd w:val="clear" w:color="auto" w:fill="C6EFCE"/>
            <w:noWrap/>
          </w:tcPr>
          <w:p w14:paraId="489E735E"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Provest će se pilot-projekt za test opterećenja sa simulacijom kaznenih djela ovisnih kibertehnologiji (engl. </w:t>
            </w:r>
            <w:r>
              <w:rPr>
                <w:rFonts w:ascii="Calibri" w:hAnsi="Calibri"/>
                <w:i/>
                <w:noProof/>
                <w:color w:val="000000"/>
                <w:sz w:val="20"/>
              </w:rPr>
              <w:t>cyber dependent</w:t>
            </w:r>
            <w:r>
              <w:rPr>
                <w:rFonts w:ascii="Calibri" w:hAnsi="Calibri"/>
                <w:noProof/>
                <w:color w:val="000000"/>
                <w:sz w:val="20"/>
              </w:rPr>
              <w:t xml:space="preserve">) i kaznenih djela omogućenih kibertehnologijom (engl. </w:t>
            </w:r>
            <w:r>
              <w:rPr>
                <w:rFonts w:ascii="Calibri" w:hAnsi="Calibri"/>
                <w:i/>
                <w:noProof/>
                <w:color w:val="000000"/>
                <w:sz w:val="20"/>
              </w:rPr>
              <w:t>cyber enabled</w:t>
            </w:r>
            <w:r>
              <w:rPr>
                <w:rFonts w:ascii="Calibri" w:hAnsi="Calibri"/>
                <w:noProof/>
                <w:color w:val="000000"/>
                <w:sz w:val="20"/>
              </w:rPr>
              <w:t xml:space="preserve">). </w:t>
            </w:r>
            <w:r>
              <w:rPr>
                <w:rFonts w:ascii="Calibri" w:hAnsi="Calibri"/>
                <w:noProof/>
                <w:color w:val="000000"/>
                <w:sz w:val="20"/>
              </w:rPr>
              <w:br/>
            </w:r>
            <w:r>
              <w:rPr>
                <w:rFonts w:ascii="Calibri" w:hAnsi="Calibri"/>
                <w:noProof/>
                <w:color w:val="000000"/>
                <w:sz w:val="20"/>
              </w:rPr>
              <w:br/>
              <w:t xml:space="preserve">Sustav će biti opremljen posebnim softverskim i hardverskim komponentama za istraživanje kiberkriminaliteta, pretraživanje otvorenih izvora na internetu i digitalnu forenziku te istražiteljsko-analitičkim računalnim setovima za analizu digitalnih dokaza, Provedbom projekta ispunit će se nužan preduvjet za nadogradnju forenzičkih alata i sustava, kao i sustava tajnog nadzora za elektroničke komunikacijske mreže i usluge, potrebnih za povećanje razine kibersigurnosti u Hrvatskoj i EU-u. Nakon što oprema bude nabavljena i potpuno operativna, provodi se pilot-projekt za simulaciju istraživanja kiberkriminaliteta u obliku simulacije vježbe kako bi se procijenio doprinos opreme postizanju mjera i ciljeva projekta izvršenja kibersigurnosti. </w:t>
            </w:r>
          </w:p>
        </w:tc>
      </w:tr>
      <w:tr w:rsidR="00984D6F" w:rsidRPr="00D03199" w14:paraId="583366E2"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3DC5309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182</w:t>
            </w:r>
          </w:p>
        </w:tc>
        <w:tc>
          <w:tcPr>
            <w:tcW w:w="849" w:type="dxa"/>
            <w:tcBorders>
              <w:top w:val="nil"/>
              <w:left w:val="nil"/>
              <w:bottom w:val="single" w:sz="4" w:space="0" w:color="auto"/>
              <w:right w:val="single" w:sz="4" w:space="0" w:color="auto"/>
            </w:tcBorders>
            <w:shd w:val="clear" w:color="auto" w:fill="C6EFCE"/>
            <w:noWrap/>
          </w:tcPr>
          <w:p w14:paraId="50E661F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R3-I2</w:t>
            </w:r>
          </w:p>
        </w:tc>
        <w:tc>
          <w:tcPr>
            <w:tcW w:w="849" w:type="dxa"/>
            <w:tcBorders>
              <w:top w:val="nil"/>
              <w:left w:val="nil"/>
              <w:bottom w:val="single" w:sz="4" w:space="0" w:color="auto"/>
              <w:right w:val="single" w:sz="4" w:space="0" w:color="auto"/>
            </w:tcBorders>
            <w:shd w:val="clear" w:color="auto" w:fill="C6EFCE"/>
            <w:noWrap/>
          </w:tcPr>
          <w:p w14:paraId="3149C97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nil"/>
              <w:left w:val="nil"/>
              <w:bottom w:val="single" w:sz="4" w:space="0" w:color="auto"/>
              <w:right w:val="single" w:sz="4" w:space="0" w:color="auto"/>
            </w:tcBorders>
            <w:shd w:val="clear" w:color="auto" w:fill="C6EFCE"/>
            <w:noWrap/>
          </w:tcPr>
          <w:p w14:paraId="76C236DC"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Javna preventivna kampanja u području kibersigurnosti </w:t>
            </w:r>
          </w:p>
        </w:tc>
        <w:tc>
          <w:tcPr>
            <w:tcW w:w="1954" w:type="dxa"/>
            <w:tcBorders>
              <w:top w:val="nil"/>
              <w:left w:val="nil"/>
              <w:bottom w:val="single" w:sz="4" w:space="0" w:color="auto"/>
              <w:right w:val="single" w:sz="4" w:space="0" w:color="auto"/>
            </w:tcBorders>
            <w:shd w:val="clear" w:color="auto" w:fill="C6EFCE"/>
            <w:noWrap/>
          </w:tcPr>
          <w:p w14:paraId="13BFA051"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Ministarstva unutarnjih poslova</w:t>
            </w:r>
          </w:p>
        </w:tc>
        <w:tc>
          <w:tcPr>
            <w:tcW w:w="1096" w:type="dxa"/>
            <w:tcBorders>
              <w:top w:val="nil"/>
              <w:left w:val="nil"/>
              <w:bottom w:val="single" w:sz="4" w:space="0" w:color="auto"/>
              <w:right w:val="single" w:sz="4" w:space="0" w:color="auto"/>
            </w:tcBorders>
            <w:shd w:val="clear" w:color="auto" w:fill="C6EFCE"/>
            <w:noWrap/>
          </w:tcPr>
          <w:p w14:paraId="397609C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nil"/>
              <w:left w:val="nil"/>
              <w:bottom w:val="single" w:sz="4" w:space="0" w:color="auto"/>
              <w:right w:val="single" w:sz="4" w:space="0" w:color="auto"/>
            </w:tcBorders>
            <w:shd w:val="clear" w:color="auto" w:fill="C6EFCE"/>
            <w:noWrap/>
          </w:tcPr>
          <w:p w14:paraId="00622D0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nil"/>
              <w:left w:val="nil"/>
              <w:bottom w:val="single" w:sz="4" w:space="0" w:color="auto"/>
              <w:right w:val="single" w:sz="4" w:space="0" w:color="auto"/>
            </w:tcBorders>
            <w:shd w:val="clear" w:color="auto" w:fill="C6EFCE"/>
            <w:noWrap/>
          </w:tcPr>
          <w:p w14:paraId="51652FB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nil"/>
              <w:left w:val="nil"/>
              <w:bottom w:val="single" w:sz="4" w:space="0" w:color="auto"/>
              <w:right w:val="single" w:sz="4" w:space="0" w:color="auto"/>
            </w:tcBorders>
            <w:shd w:val="clear" w:color="auto" w:fill="C6EFCE"/>
            <w:noWrap/>
          </w:tcPr>
          <w:p w14:paraId="31E3793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7" w:type="dxa"/>
            <w:tcBorders>
              <w:top w:val="nil"/>
              <w:left w:val="nil"/>
              <w:bottom w:val="single" w:sz="4" w:space="0" w:color="auto"/>
              <w:right w:val="single" w:sz="4" w:space="0" w:color="auto"/>
            </w:tcBorders>
            <w:shd w:val="clear" w:color="auto" w:fill="C6EFCE"/>
            <w:noWrap/>
          </w:tcPr>
          <w:p w14:paraId="7EADE1A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092" w:type="dxa"/>
            <w:tcBorders>
              <w:top w:val="nil"/>
              <w:left w:val="nil"/>
              <w:bottom w:val="single" w:sz="4" w:space="0" w:color="auto"/>
              <w:right w:val="single" w:sz="4" w:space="0" w:color="auto"/>
            </w:tcBorders>
            <w:shd w:val="clear" w:color="auto" w:fill="C6EFCE"/>
            <w:noWrap/>
          </w:tcPr>
          <w:p w14:paraId="6FB6F073" w14:textId="4BBDCBBA"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Provest će se javna preventivna kampanja o pojavnim oblicima kiberkriminaliteta i mjerama prevencije, koja će se pratiti s pomoću sljedećih pokazatelja:</w:t>
            </w:r>
            <w:r>
              <w:rPr>
                <w:rFonts w:ascii="Calibri" w:hAnsi="Calibri"/>
                <w:noProof/>
                <w:color w:val="000000"/>
                <w:sz w:val="20"/>
              </w:rPr>
              <w:br/>
              <w:t xml:space="preserve">– broj provedenih preventivnih aktivnosti informiranja i edukacije o mjerama samozaštite od rizika od kibernetičkog kriminaliteta, </w:t>
            </w:r>
            <w:r>
              <w:rPr>
                <w:rFonts w:ascii="Calibri" w:hAnsi="Calibri"/>
                <w:noProof/>
                <w:color w:val="000000"/>
                <w:sz w:val="20"/>
              </w:rPr>
              <w:br/>
              <w:t>– broj sudionika u aktivnostima,</w:t>
            </w:r>
            <w:r>
              <w:rPr>
                <w:rFonts w:ascii="Calibri" w:hAnsi="Calibri"/>
                <w:noProof/>
                <w:color w:val="000000"/>
                <w:sz w:val="20"/>
              </w:rPr>
              <w:br/>
              <w:t>– broj distribuiranih materijala o prevenciji,</w:t>
            </w:r>
            <w:r>
              <w:rPr>
                <w:rFonts w:ascii="Calibri" w:hAnsi="Calibri"/>
                <w:noProof/>
                <w:color w:val="000000"/>
                <w:sz w:val="20"/>
              </w:rPr>
              <w:br/>
              <w:t>– broj objava u medijima (uključuje sve medije),</w:t>
            </w:r>
            <w:r>
              <w:rPr>
                <w:rFonts w:ascii="Calibri" w:hAnsi="Calibri"/>
                <w:noProof/>
                <w:color w:val="000000"/>
                <w:sz w:val="20"/>
              </w:rPr>
              <w:br/>
              <w:t>– broj odgovora ciljnih skupina na društvenim mrežama,</w:t>
            </w:r>
            <w:r>
              <w:rPr>
                <w:rFonts w:ascii="Calibri" w:hAnsi="Calibri"/>
                <w:noProof/>
                <w:color w:val="000000"/>
                <w:sz w:val="20"/>
              </w:rPr>
              <w:br/>
              <w:t>– broj i obrađeni rezultati internetskih anketa provedenih na društvenim mrežama,</w:t>
            </w:r>
            <w:r>
              <w:rPr>
                <w:rFonts w:ascii="Calibri" w:hAnsi="Calibri"/>
                <w:noProof/>
                <w:color w:val="000000"/>
                <w:sz w:val="20"/>
              </w:rPr>
              <w:br/>
              <w:t>– broj evaluacija ciljnih skupina provedenih primjenom kvantitativnih metoda.</w:t>
            </w:r>
          </w:p>
        </w:tc>
      </w:tr>
      <w:tr w:rsidR="00984D6F" w:rsidRPr="00D03199" w14:paraId="28106941"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46FED6B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183</w:t>
            </w:r>
          </w:p>
        </w:tc>
        <w:tc>
          <w:tcPr>
            <w:tcW w:w="849" w:type="dxa"/>
            <w:tcBorders>
              <w:top w:val="nil"/>
              <w:left w:val="nil"/>
              <w:bottom w:val="single" w:sz="4" w:space="0" w:color="auto"/>
              <w:right w:val="single" w:sz="4" w:space="0" w:color="auto"/>
            </w:tcBorders>
            <w:shd w:val="clear" w:color="auto" w:fill="C6EFCE"/>
            <w:noWrap/>
          </w:tcPr>
          <w:p w14:paraId="3980634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R3-I3</w:t>
            </w:r>
          </w:p>
        </w:tc>
        <w:tc>
          <w:tcPr>
            <w:tcW w:w="849" w:type="dxa"/>
            <w:tcBorders>
              <w:top w:val="nil"/>
              <w:left w:val="nil"/>
              <w:bottom w:val="single" w:sz="4" w:space="0" w:color="auto"/>
              <w:right w:val="single" w:sz="4" w:space="0" w:color="auto"/>
            </w:tcBorders>
            <w:shd w:val="clear" w:color="auto" w:fill="C6EFCE"/>
            <w:noWrap/>
          </w:tcPr>
          <w:p w14:paraId="0D6C8B9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nil"/>
              <w:left w:val="nil"/>
              <w:bottom w:val="single" w:sz="4" w:space="0" w:color="auto"/>
              <w:right w:val="single" w:sz="4" w:space="0" w:color="auto"/>
            </w:tcBorders>
            <w:shd w:val="clear" w:color="auto" w:fill="C6EFCE"/>
            <w:noWrap/>
          </w:tcPr>
          <w:p w14:paraId="18348EBB"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jedinstvenog kontaktnog centra</w:t>
            </w:r>
          </w:p>
        </w:tc>
        <w:tc>
          <w:tcPr>
            <w:tcW w:w="1954" w:type="dxa"/>
            <w:tcBorders>
              <w:top w:val="nil"/>
              <w:left w:val="nil"/>
              <w:bottom w:val="single" w:sz="4" w:space="0" w:color="auto"/>
              <w:right w:val="single" w:sz="4" w:space="0" w:color="auto"/>
            </w:tcBorders>
            <w:shd w:val="clear" w:color="auto" w:fill="C6EFCE"/>
            <w:noWrap/>
          </w:tcPr>
          <w:p w14:paraId="3354521C"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SDURDD-a kojim se potvrđuje da je jedinstveni kontaktni centar uspostavljen i spreman za operativnu upotrebu</w:t>
            </w:r>
          </w:p>
        </w:tc>
        <w:tc>
          <w:tcPr>
            <w:tcW w:w="1096" w:type="dxa"/>
            <w:tcBorders>
              <w:top w:val="nil"/>
              <w:left w:val="nil"/>
              <w:bottom w:val="single" w:sz="4" w:space="0" w:color="auto"/>
              <w:right w:val="single" w:sz="4" w:space="0" w:color="auto"/>
            </w:tcBorders>
            <w:shd w:val="clear" w:color="auto" w:fill="C6EFCE"/>
            <w:noWrap/>
          </w:tcPr>
          <w:p w14:paraId="44DEBC2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nil"/>
              <w:left w:val="nil"/>
              <w:bottom w:val="single" w:sz="4" w:space="0" w:color="auto"/>
              <w:right w:val="single" w:sz="4" w:space="0" w:color="auto"/>
            </w:tcBorders>
            <w:shd w:val="clear" w:color="auto" w:fill="C6EFCE"/>
            <w:noWrap/>
          </w:tcPr>
          <w:p w14:paraId="2FE54F6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nil"/>
              <w:left w:val="nil"/>
              <w:bottom w:val="single" w:sz="4" w:space="0" w:color="auto"/>
              <w:right w:val="single" w:sz="4" w:space="0" w:color="auto"/>
            </w:tcBorders>
            <w:shd w:val="clear" w:color="auto" w:fill="C6EFCE"/>
            <w:noWrap/>
          </w:tcPr>
          <w:p w14:paraId="0B2317F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nil"/>
              <w:left w:val="nil"/>
              <w:bottom w:val="single" w:sz="4" w:space="0" w:color="auto"/>
              <w:right w:val="single" w:sz="4" w:space="0" w:color="auto"/>
            </w:tcBorders>
            <w:shd w:val="clear" w:color="auto" w:fill="C6EFCE"/>
            <w:noWrap/>
          </w:tcPr>
          <w:p w14:paraId="5C5AABB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nil"/>
              <w:left w:val="nil"/>
              <w:bottom w:val="single" w:sz="4" w:space="0" w:color="auto"/>
              <w:right w:val="single" w:sz="4" w:space="0" w:color="auto"/>
            </w:tcBorders>
            <w:shd w:val="clear" w:color="auto" w:fill="C6EFCE"/>
            <w:noWrap/>
          </w:tcPr>
          <w:p w14:paraId="1D79FDD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092" w:type="dxa"/>
            <w:tcBorders>
              <w:top w:val="nil"/>
              <w:left w:val="nil"/>
              <w:bottom w:val="single" w:sz="4" w:space="0" w:color="auto"/>
              <w:right w:val="single" w:sz="4" w:space="0" w:color="auto"/>
            </w:tcBorders>
            <w:shd w:val="clear" w:color="auto" w:fill="C6EFCE"/>
            <w:noWrap/>
          </w:tcPr>
          <w:p w14:paraId="6C0C1F0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Platforma JKC-a koja pruža informacije i korisničku podršku građanima i poduzećima na jedinstvenoj centraliziranoj lokaciji uspostavljena je i spremna za operativnu upotrebu. </w:t>
            </w:r>
          </w:p>
        </w:tc>
      </w:tr>
      <w:tr w:rsidR="00984D6F" w:rsidRPr="00D03199" w14:paraId="30D4EF76"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18A29E2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184</w:t>
            </w:r>
          </w:p>
        </w:tc>
        <w:tc>
          <w:tcPr>
            <w:tcW w:w="849" w:type="dxa"/>
            <w:tcBorders>
              <w:top w:val="nil"/>
              <w:left w:val="nil"/>
              <w:bottom w:val="single" w:sz="4" w:space="0" w:color="auto"/>
              <w:right w:val="single" w:sz="4" w:space="0" w:color="auto"/>
            </w:tcBorders>
            <w:shd w:val="clear" w:color="auto" w:fill="C6EFCE"/>
            <w:noWrap/>
          </w:tcPr>
          <w:p w14:paraId="319B341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R3-I4</w:t>
            </w:r>
          </w:p>
        </w:tc>
        <w:tc>
          <w:tcPr>
            <w:tcW w:w="849" w:type="dxa"/>
            <w:tcBorders>
              <w:top w:val="nil"/>
              <w:left w:val="nil"/>
              <w:bottom w:val="single" w:sz="4" w:space="0" w:color="auto"/>
              <w:right w:val="single" w:sz="4" w:space="0" w:color="auto"/>
            </w:tcBorders>
            <w:shd w:val="clear" w:color="auto" w:fill="C6EFCE"/>
            <w:noWrap/>
          </w:tcPr>
          <w:p w14:paraId="2A290C2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nil"/>
              <w:left w:val="nil"/>
              <w:bottom w:val="single" w:sz="4" w:space="0" w:color="auto"/>
              <w:right w:val="single" w:sz="4" w:space="0" w:color="auto"/>
            </w:tcBorders>
            <w:shd w:val="clear" w:color="auto" w:fill="C6EFCE"/>
            <w:noWrap/>
          </w:tcPr>
          <w:p w14:paraId="03C2F7F4"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Informacijski sustav CEZIH</w:t>
            </w:r>
          </w:p>
        </w:tc>
        <w:tc>
          <w:tcPr>
            <w:tcW w:w="1954" w:type="dxa"/>
            <w:tcBorders>
              <w:top w:val="nil"/>
              <w:left w:val="nil"/>
              <w:bottom w:val="single" w:sz="4" w:space="0" w:color="auto"/>
              <w:right w:val="single" w:sz="4" w:space="0" w:color="auto"/>
            </w:tcBorders>
            <w:shd w:val="clear" w:color="auto" w:fill="C6EFCE"/>
            <w:noWrap/>
          </w:tcPr>
          <w:p w14:paraId="69AEF453"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br/>
              <w:t>Izvješće Ministarstva zdravstva</w:t>
            </w:r>
          </w:p>
        </w:tc>
        <w:tc>
          <w:tcPr>
            <w:tcW w:w="1096" w:type="dxa"/>
            <w:tcBorders>
              <w:top w:val="nil"/>
              <w:left w:val="nil"/>
              <w:bottom w:val="single" w:sz="4" w:space="0" w:color="auto"/>
              <w:right w:val="single" w:sz="4" w:space="0" w:color="auto"/>
            </w:tcBorders>
            <w:shd w:val="clear" w:color="auto" w:fill="C6EFCE"/>
            <w:noWrap/>
          </w:tcPr>
          <w:p w14:paraId="77E0063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nil"/>
              <w:left w:val="nil"/>
              <w:bottom w:val="single" w:sz="4" w:space="0" w:color="auto"/>
              <w:right w:val="single" w:sz="4" w:space="0" w:color="auto"/>
            </w:tcBorders>
            <w:shd w:val="clear" w:color="auto" w:fill="C6EFCE"/>
            <w:noWrap/>
          </w:tcPr>
          <w:p w14:paraId="685A712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nil"/>
              <w:left w:val="nil"/>
              <w:bottom w:val="single" w:sz="4" w:space="0" w:color="auto"/>
              <w:right w:val="single" w:sz="4" w:space="0" w:color="auto"/>
            </w:tcBorders>
            <w:shd w:val="clear" w:color="auto" w:fill="C6EFCE"/>
            <w:noWrap/>
          </w:tcPr>
          <w:p w14:paraId="70B48A0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nil"/>
              <w:left w:val="nil"/>
              <w:bottom w:val="single" w:sz="4" w:space="0" w:color="auto"/>
              <w:right w:val="single" w:sz="4" w:space="0" w:color="auto"/>
            </w:tcBorders>
            <w:shd w:val="clear" w:color="auto" w:fill="C6EFCE"/>
            <w:noWrap/>
          </w:tcPr>
          <w:p w14:paraId="592162E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nil"/>
              <w:left w:val="nil"/>
              <w:bottom w:val="single" w:sz="4" w:space="0" w:color="auto"/>
              <w:right w:val="single" w:sz="4" w:space="0" w:color="auto"/>
            </w:tcBorders>
            <w:shd w:val="clear" w:color="auto" w:fill="C6EFCE"/>
            <w:noWrap/>
          </w:tcPr>
          <w:p w14:paraId="70DCF323" w14:textId="22E1A358"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4092" w:type="dxa"/>
            <w:tcBorders>
              <w:top w:val="nil"/>
              <w:left w:val="nil"/>
              <w:bottom w:val="single" w:sz="4" w:space="0" w:color="auto"/>
              <w:right w:val="single" w:sz="4" w:space="0" w:color="auto"/>
            </w:tcBorders>
            <w:shd w:val="clear" w:color="auto" w:fill="C6EFCE"/>
            <w:noWrap/>
          </w:tcPr>
          <w:p w14:paraId="67688C22"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Hrvatski centralni zdravstveni informacijski sustav spreman je za operativnu upotrebu u Državnom oblaku (CDU)</w:t>
            </w:r>
          </w:p>
        </w:tc>
      </w:tr>
      <w:tr w:rsidR="00984D6F" w:rsidRPr="00D03199" w14:paraId="34387CFE" w14:textId="77777777" w:rsidTr="007306B5">
        <w:trPr>
          <w:jc w:val="center"/>
        </w:trPr>
        <w:tc>
          <w:tcPr>
            <w:tcW w:w="1129" w:type="dxa"/>
            <w:tcBorders>
              <w:top w:val="nil"/>
              <w:left w:val="single" w:sz="4" w:space="0" w:color="auto"/>
              <w:bottom w:val="single" w:sz="4" w:space="0" w:color="auto"/>
              <w:right w:val="single" w:sz="4" w:space="0" w:color="auto"/>
            </w:tcBorders>
            <w:shd w:val="clear" w:color="auto" w:fill="C6EFCE"/>
            <w:noWrap/>
          </w:tcPr>
          <w:p w14:paraId="73F3460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185</w:t>
            </w:r>
          </w:p>
        </w:tc>
        <w:tc>
          <w:tcPr>
            <w:tcW w:w="849" w:type="dxa"/>
            <w:tcBorders>
              <w:top w:val="nil"/>
              <w:left w:val="nil"/>
              <w:bottom w:val="single" w:sz="4" w:space="0" w:color="auto"/>
              <w:right w:val="single" w:sz="4" w:space="0" w:color="auto"/>
            </w:tcBorders>
            <w:shd w:val="clear" w:color="auto" w:fill="C6EFCE"/>
            <w:noWrap/>
          </w:tcPr>
          <w:p w14:paraId="56D345C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R3-I5</w:t>
            </w:r>
          </w:p>
        </w:tc>
        <w:tc>
          <w:tcPr>
            <w:tcW w:w="849" w:type="dxa"/>
            <w:tcBorders>
              <w:top w:val="nil"/>
              <w:left w:val="nil"/>
              <w:bottom w:val="single" w:sz="4" w:space="0" w:color="auto"/>
              <w:right w:val="single" w:sz="4" w:space="0" w:color="auto"/>
            </w:tcBorders>
            <w:shd w:val="clear" w:color="auto" w:fill="C6EFCE"/>
            <w:noWrap/>
          </w:tcPr>
          <w:p w14:paraId="0229A4A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nil"/>
              <w:left w:val="nil"/>
              <w:bottom w:val="single" w:sz="4" w:space="0" w:color="auto"/>
              <w:right w:val="single" w:sz="4" w:space="0" w:color="auto"/>
            </w:tcBorders>
            <w:shd w:val="clear" w:color="auto" w:fill="C6EFCE"/>
            <w:noWrap/>
          </w:tcPr>
          <w:p w14:paraId="129EC36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E-potpis digitalne osobne iskaznice</w:t>
            </w:r>
          </w:p>
        </w:tc>
        <w:tc>
          <w:tcPr>
            <w:tcW w:w="1954" w:type="dxa"/>
            <w:tcBorders>
              <w:top w:val="nil"/>
              <w:left w:val="nil"/>
              <w:bottom w:val="single" w:sz="4" w:space="0" w:color="auto"/>
              <w:right w:val="single" w:sz="4" w:space="0" w:color="auto"/>
            </w:tcBorders>
            <w:shd w:val="clear" w:color="auto" w:fill="C6EFCE"/>
            <w:noWrap/>
          </w:tcPr>
          <w:p w14:paraId="6FBB48B8"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Agencije AKD</w:t>
            </w:r>
          </w:p>
        </w:tc>
        <w:tc>
          <w:tcPr>
            <w:tcW w:w="1096" w:type="dxa"/>
            <w:tcBorders>
              <w:top w:val="nil"/>
              <w:left w:val="nil"/>
              <w:bottom w:val="single" w:sz="4" w:space="0" w:color="auto"/>
              <w:right w:val="single" w:sz="4" w:space="0" w:color="auto"/>
            </w:tcBorders>
            <w:shd w:val="clear" w:color="auto" w:fill="C6EFCE"/>
            <w:noWrap/>
          </w:tcPr>
          <w:p w14:paraId="7EE1A6D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nil"/>
              <w:left w:val="nil"/>
              <w:bottom w:val="single" w:sz="4" w:space="0" w:color="auto"/>
              <w:right w:val="single" w:sz="4" w:space="0" w:color="auto"/>
            </w:tcBorders>
            <w:shd w:val="clear" w:color="auto" w:fill="C6EFCE"/>
            <w:noWrap/>
          </w:tcPr>
          <w:p w14:paraId="31C9700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nil"/>
              <w:left w:val="nil"/>
              <w:bottom w:val="single" w:sz="4" w:space="0" w:color="auto"/>
              <w:right w:val="single" w:sz="4" w:space="0" w:color="auto"/>
            </w:tcBorders>
            <w:shd w:val="clear" w:color="auto" w:fill="C6EFCE"/>
            <w:noWrap/>
          </w:tcPr>
          <w:p w14:paraId="17DB76C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300 000</w:t>
            </w:r>
          </w:p>
        </w:tc>
        <w:tc>
          <w:tcPr>
            <w:tcW w:w="516" w:type="dxa"/>
            <w:tcBorders>
              <w:top w:val="nil"/>
              <w:left w:val="nil"/>
              <w:bottom w:val="single" w:sz="4" w:space="0" w:color="auto"/>
              <w:right w:val="single" w:sz="4" w:space="0" w:color="auto"/>
            </w:tcBorders>
            <w:shd w:val="clear" w:color="auto" w:fill="C6EFCE"/>
            <w:noWrap/>
          </w:tcPr>
          <w:p w14:paraId="5967F5D9" w14:textId="77777777" w:rsidR="00733DCA" w:rsidRPr="005813E8"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nil"/>
              <w:left w:val="nil"/>
              <w:bottom w:val="single" w:sz="4" w:space="0" w:color="auto"/>
              <w:right w:val="single" w:sz="4" w:space="0" w:color="auto"/>
            </w:tcBorders>
            <w:shd w:val="clear" w:color="auto" w:fill="C6EFCE"/>
            <w:noWrap/>
          </w:tcPr>
          <w:p w14:paraId="044F6BF7" w14:textId="0E9D45EB" w:rsidR="00733DCA" w:rsidRPr="005813E8"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4092" w:type="dxa"/>
            <w:tcBorders>
              <w:top w:val="nil"/>
              <w:left w:val="nil"/>
              <w:bottom w:val="single" w:sz="4" w:space="0" w:color="auto"/>
              <w:right w:val="single" w:sz="4" w:space="0" w:color="auto"/>
            </w:tcBorders>
            <w:shd w:val="clear" w:color="auto" w:fill="C6EFCE"/>
            <w:noWrap/>
          </w:tcPr>
          <w:p w14:paraId="75ED85F2" w14:textId="4D6827CA" w:rsidR="00733DCA" w:rsidRPr="005813E8" w:rsidRDefault="6C6059C2"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Mobilna aplikacija Certilia bit će preuzeta 300 000 puta putem trgovina Google Play i App. Dodatno će biti izdano 100 000 certifikata za udaljeni kvalificirani elektronički potpis. Uz korištenje Certilia mobilne aplikacije i osobne mobilne vjerodajnice više od 50 000 jedinstvenih korisnika autentificirat će se preko 700 000 puta s ciljem prijave na e-usluge.</w:t>
            </w:r>
          </w:p>
        </w:tc>
      </w:tr>
      <w:tr w:rsidR="00984D6F" w:rsidRPr="00D03199" w14:paraId="424C84F6"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61FDB4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186</w:t>
            </w:r>
          </w:p>
        </w:tc>
        <w:tc>
          <w:tcPr>
            <w:tcW w:w="849" w:type="dxa"/>
            <w:tcBorders>
              <w:top w:val="single" w:sz="4" w:space="0" w:color="auto"/>
              <w:left w:val="nil"/>
              <w:bottom w:val="single" w:sz="4" w:space="0" w:color="auto"/>
              <w:right w:val="single" w:sz="4" w:space="0" w:color="auto"/>
            </w:tcBorders>
            <w:shd w:val="clear" w:color="auto" w:fill="C6EFCE"/>
            <w:noWrap/>
          </w:tcPr>
          <w:p w14:paraId="3F2C768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R3-I6</w:t>
            </w:r>
          </w:p>
        </w:tc>
        <w:tc>
          <w:tcPr>
            <w:tcW w:w="849" w:type="dxa"/>
            <w:tcBorders>
              <w:top w:val="single" w:sz="4" w:space="0" w:color="auto"/>
              <w:left w:val="nil"/>
              <w:bottom w:val="single" w:sz="4" w:space="0" w:color="auto"/>
              <w:right w:val="single" w:sz="4" w:space="0" w:color="auto"/>
            </w:tcBorders>
            <w:shd w:val="clear" w:color="auto" w:fill="C6EFCE"/>
            <w:noWrap/>
          </w:tcPr>
          <w:p w14:paraId="27CB1DC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36428994"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mreže DII</w:t>
            </w:r>
          </w:p>
        </w:tc>
        <w:tc>
          <w:tcPr>
            <w:tcW w:w="1954" w:type="dxa"/>
            <w:tcBorders>
              <w:top w:val="single" w:sz="4" w:space="0" w:color="auto"/>
              <w:left w:val="nil"/>
              <w:bottom w:val="single" w:sz="4" w:space="0" w:color="auto"/>
              <w:right w:val="single" w:sz="4" w:space="0" w:color="auto"/>
            </w:tcBorders>
            <w:shd w:val="clear" w:color="auto" w:fill="C6EFCE"/>
            <w:noWrap/>
          </w:tcPr>
          <w:p w14:paraId="31A4B94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SDURDD-a</w:t>
            </w:r>
          </w:p>
        </w:tc>
        <w:tc>
          <w:tcPr>
            <w:tcW w:w="1096" w:type="dxa"/>
            <w:tcBorders>
              <w:top w:val="single" w:sz="4" w:space="0" w:color="auto"/>
              <w:left w:val="nil"/>
              <w:bottom w:val="single" w:sz="4" w:space="0" w:color="auto"/>
              <w:right w:val="single" w:sz="4" w:space="0" w:color="auto"/>
            </w:tcBorders>
            <w:shd w:val="clear" w:color="auto" w:fill="C6EFCE"/>
            <w:noWrap/>
          </w:tcPr>
          <w:p w14:paraId="1764895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06F5E9C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23167E5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30F8A90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4E79C6A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092" w:type="dxa"/>
            <w:tcBorders>
              <w:top w:val="single" w:sz="4" w:space="0" w:color="auto"/>
              <w:left w:val="nil"/>
              <w:bottom w:val="single" w:sz="4" w:space="0" w:color="auto"/>
              <w:right w:val="single" w:sz="4" w:space="0" w:color="auto"/>
            </w:tcBorders>
            <w:shd w:val="clear" w:color="auto" w:fill="C6EFCE"/>
            <w:noWrap/>
          </w:tcPr>
          <w:p w14:paraId="30C64B8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Nadograđena mreža DII s poboljšanim funkcijama u smislu dostupnosti, pouzdanosti i sigurnosti spremna je za operativnu upotrebu.</w:t>
            </w:r>
          </w:p>
        </w:tc>
      </w:tr>
      <w:tr w:rsidR="00984D6F" w:rsidRPr="00D03199" w14:paraId="204CCFF7"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C95A21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187</w:t>
            </w:r>
          </w:p>
        </w:tc>
        <w:tc>
          <w:tcPr>
            <w:tcW w:w="849" w:type="dxa"/>
            <w:tcBorders>
              <w:top w:val="single" w:sz="4" w:space="0" w:color="auto"/>
              <w:left w:val="nil"/>
              <w:bottom w:val="single" w:sz="4" w:space="0" w:color="auto"/>
              <w:right w:val="single" w:sz="4" w:space="0" w:color="auto"/>
            </w:tcBorders>
            <w:shd w:val="clear" w:color="auto" w:fill="C6EFCE"/>
            <w:noWrap/>
          </w:tcPr>
          <w:p w14:paraId="637731B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R3-I6</w:t>
            </w:r>
          </w:p>
        </w:tc>
        <w:tc>
          <w:tcPr>
            <w:tcW w:w="849" w:type="dxa"/>
            <w:tcBorders>
              <w:top w:val="single" w:sz="4" w:space="0" w:color="auto"/>
              <w:left w:val="nil"/>
              <w:bottom w:val="single" w:sz="4" w:space="0" w:color="auto"/>
              <w:right w:val="single" w:sz="4" w:space="0" w:color="auto"/>
            </w:tcBorders>
            <w:shd w:val="clear" w:color="auto" w:fill="C6EFCE"/>
            <w:noWrap/>
          </w:tcPr>
          <w:p w14:paraId="6EBAA3D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092BC2E7"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korisnici mreže DII</w:t>
            </w:r>
          </w:p>
        </w:tc>
        <w:tc>
          <w:tcPr>
            <w:tcW w:w="1954" w:type="dxa"/>
            <w:tcBorders>
              <w:top w:val="single" w:sz="4" w:space="0" w:color="auto"/>
              <w:left w:val="nil"/>
              <w:bottom w:val="single" w:sz="4" w:space="0" w:color="auto"/>
              <w:right w:val="single" w:sz="4" w:space="0" w:color="auto"/>
            </w:tcBorders>
            <w:shd w:val="clear" w:color="auto" w:fill="C6EFCE"/>
            <w:noWrap/>
          </w:tcPr>
          <w:p w14:paraId="6EE0C51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Izvješće SDURDD-a </w:t>
            </w:r>
          </w:p>
        </w:tc>
        <w:tc>
          <w:tcPr>
            <w:tcW w:w="1096" w:type="dxa"/>
            <w:tcBorders>
              <w:top w:val="single" w:sz="4" w:space="0" w:color="auto"/>
              <w:left w:val="nil"/>
              <w:bottom w:val="single" w:sz="4" w:space="0" w:color="auto"/>
              <w:right w:val="single" w:sz="4" w:space="0" w:color="auto"/>
            </w:tcBorders>
            <w:shd w:val="clear" w:color="auto" w:fill="C6EFCE"/>
            <w:noWrap/>
          </w:tcPr>
          <w:p w14:paraId="3FF63E3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single" w:sz="4" w:space="0" w:color="auto"/>
              <w:left w:val="nil"/>
              <w:bottom w:val="single" w:sz="4" w:space="0" w:color="auto"/>
              <w:right w:val="single" w:sz="4" w:space="0" w:color="auto"/>
            </w:tcBorders>
            <w:shd w:val="clear" w:color="auto" w:fill="C6EFCE"/>
            <w:noWrap/>
          </w:tcPr>
          <w:p w14:paraId="64BE118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w:t>
            </w:r>
          </w:p>
        </w:tc>
        <w:tc>
          <w:tcPr>
            <w:tcW w:w="958" w:type="dxa"/>
            <w:tcBorders>
              <w:top w:val="single" w:sz="4" w:space="0" w:color="auto"/>
              <w:left w:val="nil"/>
              <w:bottom w:val="single" w:sz="4" w:space="0" w:color="auto"/>
              <w:right w:val="single" w:sz="4" w:space="0" w:color="auto"/>
            </w:tcBorders>
            <w:shd w:val="clear" w:color="auto" w:fill="C6EFCE"/>
            <w:noWrap/>
          </w:tcPr>
          <w:p w14:paraId="6AB28B4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136</w:t>
            </w:r>
          </w:p>
        </w:tc>
        <w:tc>
          <w:tcPr>
            <w:tcW w:w="516" w:type="dxa"/>
            <w:tcBorders>
              <w:top w:val="single" w:sz="4" w:space="0" w:color="auto"/>
              <w:left w:val="nil"/>
              <w:bottom w:val="single" w:sz="4" w:space="0" w:color="auto"/>
              <w:right w:val="single" w:sz="4" w:space="0" w:color="auto"/>
            </w:tcBorders>
            <w:shd w:val="clear" w:color="auto" w:fill="C6EFCE"/>
            <w:noWrap/>
          </w:tcPr>
          <w:p w14:paraId="5E9627F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418719C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092" w:type="dxa"/>
            <w:tcBorders>
              <w:top w:val="single" w:sz="4" w:space="0" w:color="auto"/>
              <w:left w:val="nil"/>
              <w:bottom w:val="single" w:sz="4" w:space="0" w:color="auto"/>
              <w:right w:val="single" w:sz="4" w:space="0" w:color="auto"/>
            </w:tcBorders>
            <w:shd w:val="clear" w:color="auto" w:fill="C6EFCE"/>
            <w:noWrap/>
          </w:tcPr>
          <w:p w14:paraId="76F496D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100 novih korisnika povezano je s mrežom državne informacijske infrastrukture, na svakoj lokaciji na kojoj se koriste mrežnim resursima, zahvaljujući terminalnoj opremi i svjetlovodnoj infrastrukturi za svaku lokaciju.</w:t>
            </w:r>
          </w:p>
        </w:tc>
      </w:tr>
      <w:tr w:rsidR="00984D6F" w:rsidRPr="00D03199" w14:paraId="4F8BD7BC"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DD3006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188</w:t>
            </w:r>
          </w:p>
        </w:tc>
        <w:tc>
          <w:tcPr>
            <w:tcW w:w="849" w:type="dxa"/>
            <w:tcBorders>
              <w:top w:val="single" w:sz="4" w:space="0" w:color="auto"/>
              <w:left w:val="nil"/>
              <w:bottom w:val="single" w:sz="4" w:space="0" w:color="auto"/>
              <w:right w:val="single" w:sz="4" w:space="0" w:color="auto"/>
            </w:tcBorders>
            <w:shd w:val="clear" w:color="auto" w:fill="C6EFCE"/>
            <w:noWrap/>
          </w:tcPr>
          <w:p w14:paraId="62C29EA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R3-I7</w:t>
            </w:r>
          </w:p>
        </w:tc>
        <w:tc>
          <w:tcPr>
            <w:tcW w:w="849" w:type="dxa"/>
            <w:tcBorders>
              <w:top w:val="single" w:sz="4" w:space="0" w:color="auto"/>
              <w:left w:val="nil"/>
              <w:bottom w:val="single" w:sz="4" w:space="0" w:color="auto"/>
              <w:right w:val="single" w:sz="4" w:space="0" w:color="auto"/>
            </w:tcBorders>
            <w:shd w:val="clear" w:color="auto" w:fill="C6EFCE"/>
            <w:noWrap/>
          </w:tcPr>
          <w:p w14:paraId="5F4D011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2830F2A8"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Digitalni prostorni planovi </w:t>
            </w:r>
          </w:p>
        </w:tc>
        <w:tc>
          <w:tcPr>
            <w:tcW w:w="1954" w:type="dxa"/>
            <w:tcBorders>
              <w:top w:val="single" w:sz="4" w:space="0" w:color="auto"/>
              <w:left w:val="nil"/>
              <w:bottom w:val="single" w:sz="4" w:space="0" w:color="auto"/>
              <w:right w:val="single" w:sz="4" w:space="0" w:color="auto"/>
            </w:tcBorders>
            <w:shd w:val="clear" w:color="auto" w:fill="C6EFCE"/>
            <w:noWrap/>
          </w:tcPr>
          <w:p w14:paraId="78D9DC30"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Izvješće MPGI-ja</w:t>
            </w:r>
          </w:p>
        </w:tc>
        <w:tc>
          <w:tcPr>
            <w:tcW w:w="1096" w:type="dxa"/>
            <w:tcBorders>
              <w:top w:val="single" w:sz="4" w:space="0" w:color="auto"/>
              <w:left w:val="nil"/>
              <w:bottom w:val="single" w:sz="4" w:space="0" w:color="auto"/>
              <w:right w:val="single" w:sz="4" w:space="0" w:color="auto"/>
            </w:tcBorders>
            <w:shd w:val="clear" w:color="auto" w:fill="C6EFCE"/>
            <w:noWrap/>
          </w:tcPr>
          <w:p w14:paraId="58E1106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single" w:sz="4" w:space="0" w:color="auto"/>
              <w:left w:val="nil"/>
              <w:bottom w:val="single" w:sz="4" w:space="0" w:color="auto"/>
              <w:right w:val="single" w:sz="4" w:space="0" w:color="auto"/>
            </w:tcBorders>
            <w:shd w:val="clear" w:color="auto" w:fill="C6EFCE"/>
            <w:noWrap/>
          </w:tcPr>
          <w:p w14:paraId="4D3E254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single" w:sz="4" w:space="0" w:color="auto"/>
              <w:left w:val="nil"/>
              <w:bottom w:val="single" w:sz="4" w:space="0" w:color="auto"/>
              <w:right w:val="single" w:sz="4" w:space="0" w:color="auto"/>
            </w:tcBorders>
            <w:shd w:val="clear" w:color="auto" w:fill="C6EFCE"/>
            <w:noWrap/>
          </w:tcPr>
          <w:p w14:paraId="64296FB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570</w:t>
            </w:r>
          </w:p>
        </w:tc>
        <w:tc>
          <w:tcPr>
            <w:tcW w:w="516" w:type="dxa"/>
            <w:tcBorders>
              <w:top w:val="single" w:sz="4" w:space="0" w:color="auto"/>
              <w:left w:val="nil"/>
              <w:bottom w:val="single" w:sz="4" w:space="0" w:color="auto"/>
              <w:right w:val="single" w:sz="4" w:space="0" w:color="auto"/>
            </w:tcBorders>
            <w:shd w:val="clear" w:color="auto" w:fill="C6EFCE"/>
            <w:noWrap/>
          </w:tcPr>
          <w:p w14:paraId="24B04FB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1AEE35AF" w14:textId="67AABF66"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2025.</w:t>
            </w:r>
          </w:p>
        </w:tc>
        <w:tc>
          <w:tcPr>
            <w:tcW w:w="4092" w:type="dxa"/>
            <w:tcBorders>
              <w:top w:val="single" w:sz="4" w:space="0" w:color="auto"/>
              <w:left w:val="nil"/>
              <w:bottom w:val="single" w:sz="4" w:space="0" w:color="auto"/>
              <w:right w:val="single" w:sz="4" w:space="0" w:color="auto"/>
            </w:tcBorders>
            <w:shd w:val="clear" w:color="auto" w:fill="C6EFCE"/>
            <w:noWrap/>
          </w:tcPr>
          <w:p w14:paraId="3F8E4222"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Izrada 570 prostornih planova sljedeće generacije (prostorni planovi u digitalnom obliku)</w:t>
            </w:r>
          </w:p>
        </w:tc>
      </w:tr>
      <w:tr w:rsidR="00984D6F" w:rsidRPr="00D03199" w14:paraId="12F0A3C9"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2E028C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189</w:t>
            </w:r>
          </w:p>
        </w:tc>
        <w:tc>
          <w:tcPr>
            <w:tcW w:w="849" w:type="dxa"/>
            <w:tcBorders>
              <w:top w:val="single" w:sz="4" w:space="0" w:color="auto"/>
              <w:left w:val="nil"/>
              <w:bottom w:val="single" w:sz="4" w:space="0" w:color="auto"/>
              <w:right w:val="single" w:sz="4" w:space="0" w:color="auto"/>
            </w:tcBorders>
            <w:shd w:val="clear" w:color="auto" w:fill="C6EFCE"/>
            <w:noWrap/>
          </w:tcPr>
          <w:p w14:paraId="2C89403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R3-I7</w:t>
            </w:r>
          </w:p>
        </w:tc>
        <w:tc>
          <w:tcPr>
            <w:tcW w:w="849" w:type="dxa"/>
            <w:tcBorders>
              <w:top w:val="single" w:sz="4" w:space="0" w:color="auto"/>
              <w:left w:val="nil"/>
              <w:bottom w:val="single" w:sz="4" w:space="0" w:color="auto"/>
              <w:right w:val="single" w:sz="4" w:space="0" w:color="auto"/>
            </w:tcBorders>
            <w:shd w:val="clear" w:color="auto" w:fill="C6EFCE"/>
            <w:noWrap/>
          </w:tcPr>
          <w:p w14:paraId="2870993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02B22DF8"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Nadogradnja informacijskog sustava prostornih planova</w:t>
            </w:r>
          </w:p>
        </w:tc>
        <w:tc>
          <w:tcPr>
            <w:tcW w:w="1954" w:type="dxa"/>
            <w:tcBorders>
              <w:top w:val="single" w:sz="4" w:space="0" w:color="auto"/>
              <w:left w:val="nil"/>
              <w:bottom w:val="single" w:sz="4" w:space="0" w:color="auto"/>
              <w:right w:val="single" w:sz="4" w:space="0" w:color="auto"/>
            </w:tcBorders>
            <w:shd w:val="clear" w:color="auto" w:fill="C6EFCE"/>
            <w:noWrap/>
          </w:tcPr>
          <w:p w14:paraId="089A40EA"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br/>
              <w:t>Izvješće MPGI-ja</w:t>
            </w:r>
          </w:p>
        </w:tc>
        <w:tc>
          <w:tcPr>
            <w:tcW w:w="1096" w:type="dxa"/>
            <w:tcBorders>
              <w:top w:val="single" w:sz="4" w:space="0" w:color="auto"/>
              <w:left w:val="nil"/>
              <w:bottom w:val="single" w:sz="4" w:space="0" w:color="auto"/>
              <w:right w:val="single" w:sz="4" w:space="0" w:color="auto"/>
            </w:tcBorders>
            <w:shd w:val="clear" w:color="auto" w:fill="C6EFCE"/>
            <w:noWrap/>
          </w:tcPr>
          <w:p w14:paraId="20B8FEDE"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74165B6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18BDB4C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40CC3E0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7674A4A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092" w:type="dxa"/>
            <w:tcBorders>
              <w:top w:val="single" w:sz="4" w:space="0" w:color="auto"/>
              <w:left w:val="nil"/>
              <w:bottom w:val="single" w:sz="4" w:space="0" w:color="auto"/>
              <w:right w:val="single" w:sz="4" w:space="0" w:color="auto"/>
            </w:tcBorders>
            <w:shd w:val="clear" w:color="auto" w:fill="C6EFCE"/>
            <w:noWrap/>
          </w:tcPr>
          <w:p w14:paraId="73DD7C2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Uspostavit će se elektronički moduli za digitalizaciju postupaka prostornog uređenja, izgradnje i državne imovine u okviru Informacijskog sustava prostornog uređenja.</w:t>
            </w:r>
          </w:p>
        </w:tc>
      </w:tr>
      <w:tr w:rsidR="00984D6F" w:rsidRPr="00D03199" w14:paraId="2C600668"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4C811B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190</w:t>
            </w:r>
          </w:p>
        </w:tc>
        <w:tc>
          <w:tcPr>
            <w:tcW w:w="849" w:type="dxa"/>
            <w:tcBorders>
              <w:top w:val="single" w:sz="4" w:space="0" w:color="auto"/>
              <w:left w:val="nil"/>
              <w:bottom w:val="single" w:sz="4" w:space="0" w:color="auto"/>
              <w:right w:val="single" w:sz="4" w:space="0" w:color="auto"/>
            </w:tcBorders>
            <w:shd w:val="clear" w:color="auto" w:fill="C6EFCE"/>
            <w:noWrap/>
          </w:tcPr>
          <w:p w14:paraId="7A5D509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R3-I8</w:t>
            </w:r>
          </w:p>
        </w:tc>
        <w:tc>
          <w:tcPr>
            <w:tcW w:w="849" w:type="dxa"/>
            <w:tcBorders>
              <w:top w:val="single" w:sz="4" w:space="0" w:color="auto"/>
              <w:left w:val="nil"/>
              <w:bottom w:val="single" w:sz="4" w:space="0" w:color="auto"/>
              <w:right w:val="single" w:sz="4" w:space="0" w:color="auto"/>
            </w:tcBorders>
            <w:shd w:val="clear" w:color="auto" w:fill="C6EFCE"/>
            <w:noWrap/>
          </w:tcPr>
          <w:p w14:paraId="68E9448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57F81975"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Elektroničke javne usluge integrirane u novu mobilnu platformu </w:t>
            </w:r>
          </w:p>
        </w:tc>
        <w:tc>
          <w:tcPr>
            <w:tcW w:w="1954" w:type="dxa"/>
            <w:tcBorders>
              <w:top w:val="single" w:sz="4" w:space="0" w:color="auto"/>
              <w:left w:val="nil"/>
              <w:bottom w:val="single" w:sz="4" w:space="0" w:color="auto"/>
              <w:right w:val="single" w:sz="4" w:space="0" w:color="auto"/>
            </w:tcBorders>
            <w:shd w:val="clear" w:color="auto" w:fill="C6EFCE"/>
            <w:noWrap/>
          </w:tcPr>
          <w:p w14:paraId="63F592D7"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Izvješće SDURDD-a kojim se potvrđuje da je 20 eUsluga integrirano i spremno za operativnu upotrebu</w:t>
            </w:r>
          </w:p>
        </w:tc>
        <w:tc>
          <w:tcPr>
            <w:tcW w:w="1096" w:type="dxa"/>
            <w:tcBorders>
              <w:top w:val="single" w:sz="4" w:space="0" w:color="auto"/>
              <w:left w:val="nil"/>
              <w:bottom w:val="single" w:sz="4" w:space="0" w:color="auto"/>
              <w:right w:val="single" w:sz="4" w:space="0" w:color="auto"/>
            </w:tcBorders>
            <w:shd w:val="clear" w:color="auto" w:fill="C6EFCE"/>
            <w:noWrap/>
          </w:tcPr>
          <w:p w14:paraId="5F0F2D2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single" w:sz="4" w:space="0" w:color="auto"/>
              <w:left w:val="nil"/>
              <w:bottom w:val="single" w:sz="4" w:space="0" w:color="auto"/>
              <w:right w:val="single" w:sz="4" w:space="0" w:color="auto"/>
            </w:tcBorders>
            <w:shd w:val="clear" w:color="auto" w:fill="C6EFCE"/>
            <w:noWrap/>
          </w:tcPr>
          <w:p w14:paraId="644506D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single" w:sz="4" w:space="0" w:color="auto"/>
              <w:left w:val="nil"/>
              <w:bottom w:val="single" w:sz="4" w:space="0" w:color="auto"/>
              <w:right w:val="single" w:sz="4" w:space="0" w:color="auto"/>
            </w:tcBorders>
            <w:shd w:val="clear" w:color="auto" w:fill="C6EFCE"/>
            <w:noWrap/>
          </w:tcPr>
          <w:p w14:paraId="47244AB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w:t>
            </w:r>
          </w:p>
        </w:tc>
        <w:tc>
          <w:tcPr>
            <w:tcW w:w="516" w:type="dxa"/>
            <w:tcBorders>
              <w:top w:val="single" w:sz="4" w:space="0" w:color="auto"/>
              <w:left w:val="nil"/>
              <w:bottom w:val="single" w:sz="4" w:space="0" w:color="auto"/>
              <w:right w:val="single" w:sz="4" w:space="0" w:color="auto"/>
            </w:tcBorders>
            <w:shd w:val="clear" w:color="auto" w:fill="C6EFCE"/>
            <w:noWrap/>
          </w:tcPr>
          <w:p w14:paraId="5653E5F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6BA9FC2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092" w:type="dxa"/>
            <w:tcBorders>
              <w:top w:val="single" w:sz="4" w:space="0" w:color="auto"/>
              <w:left w:val="nil"/>
              <w:bottom w:val="single" w:sz="4" w:space="0" w:color="auto"/>
              <w:right w:val="single" w:sz="4" w:space="0" w:color="auto"/>
            </w:tcBorders>
            <w:shd w:val="clear" w:color="auto" w:fill="C6EFCE"/>
            <w:noWrap/>
          </w:tcPr>
          <w:p w14:paraId="733AA88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20 eUsluga integrirano je u mobilnu platformu i spremno za operativnu upotrebu: zahtjev za dokaz o potvrdi rođenja, zahtjev za dokaz prebivališta, prijavljivanje za financiranje studija tercijarnog obrazovanja, podnošenje početnog zahtjeva za prijem u javnu ustanovu visokog obrazovanja, zahtjev za akademsko priznavanje diploma, svjedodžbi ili drugog dokaza o studiju ili tečajevima, obavještavanje o promjenama u osobnim ili profesionalnim okolnostima osobe koja prima beneficije socijalnog osiguranja, zahtjev za europsku karticu zdravstvenog osiguranja, podnošenje prijave poreza na dohodak, registriranje promjene adrese, registriranje motornog vozila podrijetlom iz ili već registrirano u državi članici, u standardnim postupcima, dobivanje naljepnica za upotrebu državne cestovne infrastrukture: vremenske naknade (vinjeta), naknade na temelju udaljenosti (cestarina), koje izdaje javno tijelo ili ustanova, dobivanje emisijskih naljepnica koje je izdalo javno tijelo ili institucija, potraživanje mirovinskih i pred mirovinskih naknada iz obveznih programa, zahtjev za podatke o mirovinama iz obveznih programa, obavijest o poslovnoj djelatnosti, dozvola za obavljanje poslovne djelatnosti, promjene poslovne aktivnosti i prestanak poslovne aktivnosti koja ne uključuje postupke stečaja ili likvidacije, isključujući početnu registraciju poslovne djelatnosti u poslovnom registru i isključujući postupke u vezi s Ustavom ili svako naknadno podnošenje zahtjeva od strane tvrtki, registracija poslodavca (fizičke osobe) u obveznim mirovinskim i osiguravajućim sustavima, registracija zaposlenika u obveznim mirovinskim i osiguravajućim sustavima, podnošenje prijave poreza na dobit, podnošenje prijave o porezu na dobit, obavijest o shemi socijalne sigurnosti o prestanku ugovora sa zaposlenikom, isključujući postupke za kolektivni otkaz ugovora sa zaposlenikom, uplata socijalnih doprinosa za zaposlenike, putovanje s pravom na dokaz.</w:t>
            </w:r>
          </w:p>
        </w:tc>
      </w:tr>
      <w:tr w:rsidR="00984D6F" w:rsidRPr="00D03199" w14:paraId="5F6AD336" w14:textId="77777777" w:rsidTr="007306B5">
        <w:trPr>
          <w:trHeight w:val="156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AE282A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191</w:t>
            </w:r>
          </w:p>
        </w:tc>
        <w:tc>
          <w:tcPr>
            <w:tcW w:w="849" w:type="dxa"/>
            <w:tcBorders>
              <w:top w:val="single" w:sz="4" w:space="0" w:color="auto"/>
              <w:left w:val="nil"/>
              <w:bottom w:val="single" w:sz="4" w:space="0" w:color="auto"/>
              <w:right w:val="single" w:sz="4" w:space="0" w:color="auto"/>
            </w:tcBorders>
            <w:shd w:val="clear" w:color="auto" w:fill="C6EFCE"/>
            <w:noWrap/>
          </w:tcPr>
          <w:p w14:paraId="5EBADCF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R3-I9</w:t>
            </w:r>
          </w:p>
        </w:tc>
        <w:tc>
          <w:tcPr>
            <w:tcW w:w="849" w:type="dxa"/>
            <w:tcBorders>
              <w:top w:val="single" w:sz="4" w:space="0" w:color="auto"/>
              <w:left w:val="nil"/>
              <w:bottom w:val="single" w:sz="4" w:space="0" w:color="auto"/>
              <w:right w:val="single" w:sz="4" w:space="0" w:color="auto"/>
            </w:tcBorders>
            <w:shd w:val="clear" w:color="auto" w:fill="C6EFCE"/>
            <w:noWrap/>
          </w:tcPr>
          <w:p w14:paraId="41BCC93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02807E75"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nove platforme javne nabave i mobilne aplikacije</w:t>
            </w:r>
          </w:p>
        </w:tc>
        <w:tc>
          <w:tcPr>
            <w:tcW w:w="1954" w:type="dxa"/>
            <w:tcBorders>
              <w:top w:val="single" w:sz="4" w:space="0" w:color="auto"/>
              <w:left w:val="nil"/>
              <w:bottom w:val="single" w:sz="4" w:space="0" w:color="auto"/>
              <w:right w:val="single" w:sz="4" w:space="0" w:color="auto"/>
            </w:tcBorders>
            <w:shd w:val="clear" w:color="auto" w:fill="C6EFCE"/>
            <w:noWrap/>
          </w:tcPr>
          <w:p w14:paraId="167FED74"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Pokrenut prvi postupak javne nabave na novoj platformi Elektroničkog oglasnika javne nabave</w:t>
            </w:r>
          </w:p>
        </w:tc>
        <w:tc>
          <w:tcPr>
            <w:tcW w:w="1096" w:type="dxa"/>
            <w:tcBorders>
              <w:top w:val="single" w:sz="4" w:space="0" w:color="auto"/>
              <w:left w:val="nil"/>
              <w:bottom w:val="single" w:sz="4" w:space="0" w:color="auto"/>
              <w:right w:val="single" w:sz="4" w:space="0" w:color="auto"/>
            </w:tcBorders>
            <w:shd w:val="clear" w:color="auto" w:fill="C6EFCE"/>
            <w:noWrap/>
          </w:tcPr>
          <w:p w14:paraId="44C52F4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5BB42AE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29DEFE3E"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6ACC62F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7" w:type="dxa"/>
            <w:tcBorders>
              <w:top w:val="single" w:sz="4" w:space="0" w:color="auto"/>
              <w:left w:val="nil"/>
              <w:bottom w:val="single" w:sz="4" w:space="0" w:color="auto"/>
              <w:right w:val="single" w:sz="4" w:space="0" w:color="auto"/>
            </w:tcBorders>
            <w:shd w:val="clear" w:color="auto" w:fill="C6EFCE"/>
            <w:noWrap/>
          </w:tcPr>
          <w:p w14:paraId="3DFCB04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092" w:type="dxa"/>
            <w:tcBorders>
              <w:top w:val="single" w:sz="4" w:space="0" w:color="auto"/>
              <w:left w:val="nil"/>
              <w:bottom w:val="single" w:sz="4" w:space="0" w:color="auto"/>
              <w:right w:val="single" w:sz="4" w:space="0" w:color="auto"/>
            </w:tcBorders>
            <w:shd w:val="clear" w:color="auto" w:fill="C6EFCE"/>
            <w:noWrap/>
          </w:tcPr>
          <w:p w14:paraId="2202C5CB"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Nova platforma za provođenje postupaka javne nabave i mobilna aplikacija bit će operativne, a postupak javne nabave pokrenut na novoj platformi Elektroničkog oglasnika javne nabave. </w:t>
            </w:r>
          </w:p>
        </w:tc>
      </w:tr>
      <w:tr w:rsidR="00984D6F" w:rsidRPr="00D03199" w14:paraId="6540E9BB"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035AFF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192</w:t>
            </w:r>
          </w:p>
        </w:tc>
        <w:tc>
          <w:tcPr>
            <w:tcW w:w="849" w:type="dxa"/>
            <w:tcBorders>
              <w:top w:val="single" w:sz="4" w:space="0" w:color="auto"/>
              <w:left w:val="nil"/>
              <w:bottom w:val="single" w:sz="4" w:space="0" w:color="auto"/>
              <w:right w:val="single" w:sz="4" w:space="0" w:color="auto"/>
            </w:tcBorders>
            <w:shd w:val="clear" w:color="auto" w:fill="C6EFCE"/>
            <w:noWrap/>
          </w:tcPr>
          <w:p w14:paraId="46AD299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R3-I10</w:t>
            </w:r>
          </w:p>
        </w:tc>
        <w:tc>
          <w:tcPr>
            <w:tcW w:w="849" w:type="dxa"/>
            <w:tcBorders>
              <w:top w:val="single" w:sz="4" w:space="0" w:color="auto"/>
              <w:left w:val="nil"/>
              <w:bottom w:val="single" w:sz="4" w:space="0" w:color="auto"/>
              <w:right w:val="single" w:sz="4" w:space="0" w:color="auto"/>
            </w:tcBorders>
            <w:shd w:val="clear" w:color="auto" w:fill="C6EFCE"/>
            <w:noWrap/>
          </w:tcPr>
          <w:p w14:paraId="7C20836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065DFD8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Sustav za upravljanje digitalnim identitetima i sustav za upravljanje ljudskim resursima HZZ-a  </w:t>
            </w:r>
          </w:p>
        </w:tc>
        <w:tc>
          <w:tcPr>
            <w:tcW w:w="1954" w:type="dxa"/>
            <w:tcBorders>
              <w:top w:val="single" w:sz="4" w:space="0" w:color="auto"/>
              <w:left w:val="nil"/>
              <w:bottom w:val="single" w:sz="4" w:space="0" w:color="auto"/>
              <w:right w:val="single" w:sz="4" w:space="0" w:color="auto"/>
            </w:tcBorders>
            <w:shd w:val="clear" w:color="auto" w:fill="C6EFCE"/>
            <w:noWrap/>
          </w:tcPr>
          <w:p w14:paraId="5ED5033B"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HZZ-a</w:t>
            </w:r>
          </w:p>
        </w:tc>
        <w:tc>
          <w:tcPr>
            <w:tcW w:w="1096" w:type="dxa"/>
            <w:tcBorders>
              <w:top w:val="single" w:sz="4" w:space="0" w:color="auto"/>
              <w:left w:val="nil"/>
              <w:bottom w:val="single" w:sz="4" w:space="0" w:color="auto"/>
              <w:right w:val="single" w:sz="4" w:space="0" w:color="auto"/>
            </w:tcBorders>
            <w:shd w:val="clear" w:color="auto" w:fill="C6EFCE"/>
            <w:noWrap/>
          </w:tcPr>
          <w:p w14:paraId="2CE9D5B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21B77FF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17B4844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0342E94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38FB90E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092" w:type="dxa"/>
            <w:tcBorders>
              <w:top w:val="single" w:sz="4" w:space="0" w:color="auto"/>
              <w:left w:val="nil"/>
              <w:bottom w:val="single" w:sz="4" w:space="0" w:color="auto"/>
              <w:right w:val="single" w:sz="4" w:space="0" w:color="auto"/>
            </w:tcBorders>
            <w:shd w:val="clear" w:color="auto" w:fill="C6EFCE"/>
            <w:noWrap/>
          </w:tcPr>
          <w:p w14:paraId="25F28E11"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Sustav za upravljanje digitalnim identitetima i sustav za upravljanje digitalnim ljudskim resursima HZZ-a bit će uspostavljeni i operativni. </w:t>
            </w:r>
          </w:p>
        </w:tc>
      </w:tr>
      <w:tr w:rsidR="00984D6F" w:rsidRPr="00D03199" w14:paraId="7799472F"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65396A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193</w:t>
            </w:r>
          </w:p>
        </w:tc>
        <w:tc>
          <w:tcPr>
            <w:tcW w:w="849" w:type="dxa"/>
            <w:tcBorders>
              <w:top w:val="single" w:sz="4" w:space="0" w:color="auto"/>
              <w:left w:val="nil"/>
              <w:bottom w:val="single" w:sz="4" w:space="0" w:color="auto"/>
              <w:right w:val="single" w:sz="4" w:space="0" w:color="auto"/>
            </w:tcBorders>
            <w:shd w:val="clear" w:color="auto" w:fill="C6EFCE"/>
            <w:noWrap/>
          </w:tcPr>
          <w:p w14:paraId="4FC872B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R3-I10</w:t>
            </w:r>
          </w:p>
        </w:tc>
        <w:tc>
          <w:tcPr>
            <w:tcW w:w="849" w:type="dxa"/>
            <w:tcBorders>
              <w:top w:val="single" w:sz="4" w:space="0" w:color="auto"/>
              <w:left w:val="nil"/>
              <w:bottom w:val="single" w:sz="4" w:space="0" w:color="auto"/>
              <w:right w:val="single" w:sz="4" w:space="0" w:color="auto"/>
            </w:tcBorders>
            <w:shd w:val="clear" w:color="auto" w:fill="C6EFCE"/>
            <w:noWrap/>
          </w:tcPr>
          <w:p w14:paraId="57E4D63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00FA63E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Dovršetak digitalizacije HZZ-a </w:t>
            </w:r>
          </w:p>
        </w:tc>
        <w:tc>
          <w:tcPr>
            <w:tcW w:w="1954" w:type="dxa"/>
            <w:tcBorders>
              <w:top w:val="single" w:sz="4" w:space="0" w:color="auto"/>
              <w:left w:val="nil"/>
              <w:bottom w:val="single" w:sz="4" w:space="0" w:color="auto"/>
              <w:right w:val="single" w:sz="4" w:space="0" w:color="auto"/>
            </w:tcBorders>
            <w:shd w:val="clear" w:color="auto" w:fill="C6EFCE"/>
            <w:noWrap/>
          </w:tcPr>
          <w:p w14:paraId="20D86F8A"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HZZ-a</w:t>
            </w:r>
          </w:p>
        </w:tc>
        <w:tc>
          <w:tcPr>
            <w:tcW w:w="1096" w:type="dxa"/>
            <w:tcBorders>
              <w:top w:val="single" w:sz="4" w:space="0" w:color="auto"/>
              <w:left w:val="nil"/>
              <w:bottom w:val="single" w:sz="4" w:space="0" w:color="auto"/>
              <w:right w:val="single" w:sz="4" w:space="0" w:color="auto"/>
            </w:tcBorders>
            <w:shd w:val="clear" w:color="auto" w:fill="C6EFCE"/>
            <w:noWrap/>
          </w:tcPr>
          <w:p w14:paraId="2A3BBEF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51194FF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531ED86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61615CE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6F35260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6501229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Završena digitalizacija HZZ-a: Uspostavit će se sustav za upravljanje sigurnosnim incidentima i događajima te sustav za potporu temeljnim procesima, sustav eSavjetnik i dovršiti projekt digitalizacije arhive te uspostaviti računovodstveni sustav i dovršiti projekt upravljanja digitalnom dokumentacijom.</w:t>
            </w:r>
          </w:p>
        </w:tc>
      </w:tr>
      <w:tr w:rsidR="00984D6F" w:rsidRPr="00D03199" w14:paraId="4A748D08"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E4CBCB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194</w:t>
            </w:r>
          </w:p>
        </w:tc>
        <w:tc>
          <w:tcPr>
            <w:tcW w:w="849" w:type="dxa"/>
            <w:tcBorders>
              <w:top w:val="single" w:sz="4" w:space="0" w:color="auto"/>
              <w:left w:val="nil"/>
              <w:bottom w:val="single" w:sz="4" w:space="0" w:color="auto"/>
              <w:right w:val="single" w:sz="4" w:space="0" w:color="auto"/>
            </w:tcBorders>
            <w:shd w:val="clear" w:color="auto" w:fill="C6EFCE"/>
            <w:noWrap/>
          </w:tcPr>
          <w:p w14:paraId="70F0FFB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R3-I11</w:t>
            </w:r>
          </w:p>
        </w:tc>
        <w:tc>
          <w:tcPr>
            <w:tcW w:w="849" w:type="dxa"/>
            <w:tcBorders>
              <w:top w:val="single" w:sz="4" w:space="0" w:color="auto"/>
              <w:left w:val="nil"/>
              <w:bottom w:val="single" w:sz="4" w:space="0" w:color="auto"/>
              <w:right w:val="single" w:sz="4" w:space="0" w:color="auto"/>
            </w:tcBorders>
            <w:shd w:val="clear" w:color="auto" w:fill="C6EFCE"/>
            <w:noWrap/>
          </w:tcPr>
          <w:p w14:paraId="688EE8A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4D7FE1C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Nadogradnja IT sustava HZMO-a </w:t>
            </w:r>
          </w:p>
        </w:tc>
        <w:tc>
          <w:tcPr>
            <w:tcW w:w="1954" w:type="dxa"/>
            <w:tcBorders>
              <w:top w:val="single" w:sz="4" w:space="0" w:color="auto"/>
              <w:left w:val="nil"/>
              <w:bottom w:val="single" w:sz="4" w:space="0" w:color="auto"/>
              <w:right w:val="single" w:sz="4" w:space="0" w:color="auto"/>
            </w:tcBorders>
            <w:shd w:val="clear" w:color="auto" w:fill="C6EFCE"/>
            <w:noWrap/>
          </w:tcPr>
          <w:p w14:paraId="3E054EFC"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Izvješće HZMO-a</w:t>
            </w:r>
          </w:p>
        </w:tc>
        <w:tc>
          <w:tcPr>
            <w:tcW w:w="1096" w:type="dxa"/>
            <w:tcBorders>
              <w:top w:val="single" w:sz="4" w:space="0" w:color="auto"/>
              <w:left w:val="nil"/>
              <w:bottom w:val="single" w:sz="4" w:space="0" w:color="auto"/>
              <w:right w:val="single" w:sz="4" w:space="0" w:color="auto"/>
            </w:tcBorders>
            <w:shd w:val="clear" w:color="auto" w:fill="C6EFCE"/>
            <w:noWrap/>
          </w:tcPr>
          <w:p w14:paraId="6CB3DC2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4B11D6B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0667828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4C0635A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25460B2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0B25F6AA"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informacijski sustav i osnovni poslovni procesi HZMO-a u funkciji su</w:t>
            </w:r>
          </w:p>
        </w:tc>
      </w:tr>
      <w:tr w:rsidR="00984D6F" w:rsidRPr="00D03199" w14:paraId="4BB50A0A"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4534B5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195</w:t>
            </w:r>
          </w:p>
        </w:tc>
        <w:tc>
          <w:tcPr>
            <w:tcW w:w="849" w:type="dxa"/>
            <w:tcBorders>
              <w:top w:val="single" w:sz="4" w:space="0" w:color="auto"/>
              <w:left w:val="nil"/>
              <w:bottom w:val="single" w:sz="4" w:space="0" w:color="auto"/>
              <w:right w:val="single" w:sz="4" w:space="0" w:color="auto"/>
            </w:tcBorders>
            <w:shd w:val="clear" w:color="auto" w:fill="C6EFCE"/>
            <w:noWrap/>
          </w:tcPr>
          <w:p w14:paraId="3A7F185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R3-I12</w:t>
            </w:r>
          </w:p>
        </w:tc>
        <w:tc>
          <w:tcPr>
            <w:tcW w:w="849" w:type="dxa"/>
            <w:tcBorders>
              <w:top w:val="single" w:sz="4" w:space="0" w:color="auto"/>
              <w:left w:val="nil"/>
              <w:bottom w:val="single" w:sz="4" w:space="0" w:color="auto"/>
              <w:right w:val="single" w:sz="4" w:space="0" w:color="auto"/>
            </w:tcBorders>
            <w:shd w:val="clear" w:color="auto" w:fill="C6EFCE"/>
            <w:noWrap/>
          </w:tcPr>
          <w:p w14:paraId="38D658B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12162F6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Digitalni arhiv HZMO-a</w:t>
            </w:r>
          </w:p>
        </w:tc>
        <w:tc>
          <w:tcPr>
            <w:tcW w:w="1954" w:type="dxa"/>
            <w:tcBorders>
              <w:top w:val="single" w:sz="4" w:space="0" w:color="auto"/>
              <w:left w:val="nil"/>
              <w:bottom w:val="single" w:sz="4" w:space="0" w:color="auto"/>
              <w:right w:val="single" w:sz="4" w:space="0" w:color="auto"/>
            </w:tcBorders>
            <w:shd w:val="clear" w:color="auto" w:fill="C6EFCE"/>
            <w:noWrap/>
          </w:tcPr>
          <w:p w14:paraId="78259B32"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Zapisnik HZMO-a o primopredaji operativnog sustava za upravljanje digitalnim arhivom</w:t>
            </w:r>
          </w:p>
        </w:tc>
        <w:tc>
          <w:tcPr>
            <w:tcW w:w="1096" w:type="dxa"/>
            <w:tcBorders>
              <w:top w:val="single" w:sz="4" w:space="0" w:color="auto"/>
              <w:left w:val="nil"/>
              <w:bottom w:val="single" w:sz="4" w:space="0" w:color="auto"/>
              <w:right w:val="single" w:sz="4" w:space="0" w:color="auto"/>
            </w:tcBorders>
            <w:shd w:val="clear" w:color="auto" w:fill="C6EFCE"/>
            <w:noWrap/>
          </w:tcPr>
          <w:p w14:paraId="55BFB50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36902B0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53CE82F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3482B05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14B2FFE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092" w:type="dxa"/>
            <w:tcBorders>
              <w:top w:val="single" w:sz="4" w:space="0" w:color="auto"/>
              <w:left w:val="nil"/>
              <w:bottom w:val="single" w:sz="4" w:space="0" w:color="auto"/>
              <w:right w:val="single" w:sz="4" w:space="0" w:color="auto"/>
            </w:tcBorders>
            <w:shd w:val="clear" w:color="auto" w:fill="C6EFCE"/>
            <w:noWrap/>
          </w:tcPr>
          <w:p w14:paraId="3210DB2D" w14:textId="7CF4F0BE"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 za upravljanje digitalnim arhivom u funkciji je</w:t>
            </w:r>
          </w:p>
        </w:tc>
      </w:tr>
      <w:tr w:rsidR="00984D6F" w:rsidRPr="00D03199" w14:paraId="40190DC7"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B4F006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196</w:t>
            </w:r>
          </w:p>
        </w:tc>
        <w:tc>
          <w:tcPr>
            <w:tcW w:w="849" w:type="dxa"/>
            <w:tcBorders>
              <w:top w:val="single" w:sz="4" w:space="0" w:color="auto"/>
              <w:left w:val="nil"/>
              <w:bottom w:val="single" w:sz="4" w:space="0" w:color="auto"/>
              <w:right w:val="single" w:sz="4" w:space="0" w:color="auto"/>
            </w:tcBorders>
            <w:shd w:val="clear" w:color="auto" w:fill="C6EFCE"/>
            <w:noWrap/>
          </w:tcPr>
          <w:p w14:paraId="20CFDA1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R3-I12</w:t>
            </w:r>
          </w:p>
        </w:tc>
        <w:tc>
          <w:tcPr>
            <w:tcW w:w="849" w:type="dxa"/>
            <w:tcBorders>
              <w:top w:val="single" w:sz="4" w:space="0" w:color="auto"/>
              <w:left w:val="nil"/>
              <w:bottom w:val="single" w:sz="4" w:space="0" w:color="auto"/>
              <w:right w:val="single" w:sz="4" w:space="0" w:color="auto"/>
            </w:tcBorders>
            <w:shd w:val="clear" w:color="auto" w:fill="C6EFCE"/>
            <w:noWrap/>
          </w:tcPr>
          <w:p w14:paraId="60EEA0A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3D965A5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Broj stranica u novom digitalnom arhivu</w:t>
            </w:r>
          </w:p>
        </w:tc>
        <w:tc>
          <w:tcPr>
            <w:tcW w:w="1954" w:type="dxa"/>
            <w:tcBorders>
              <w:top w:val="single" w:sz="4" w:space="0" w:color="auto"/>
              <w:left w:val="nil"/>
              <w:bottom w:val="single" w:sz="4" w:space="0" w:color="auto"/>
              <w:right w:val="single" w:sz="4" w:space="0" w:color="auto"/>
            </w:tcBorders>
            <w:shd w:val="clear" w:color="auto" w:fill="C6EFCE"/>
            <w:noWrap/>
          </w:tcPr>
          <w:p w14:paraId="4C14D1D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Zapisnik HZMO-a o primopredaji skeniranih i indeksiranih stranica u digitalnom obliku </w:t>
            </w:r>
          </w:p>
        </w:tc>
        <w:tc>
          <w:tcPr>
            <w:tcW w:w="1096" w:type="dxa"/>
            <w:tcBorders>
              <w:top w:val="single" w:sz="4" w:space="0" w:color="auto"/>
              <w:left w:val="nil"/>
              <w:bottom w:val="single" w:sz="4" w:space="0" w:color="auto"/>
              <w:right w:val="single" w:sz="4" w:space="0" w:color="auto"/>
            </w:tcBorders>
            <w:shd w:val="clear" w:color="auto" w:fill="C6EFCE"/>
            <w:noWrap/>
          </w:tcPr>
          <w:p w14:paraId="55C2DFD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single" w:sz="4" w:space="0" w:color="auto"/>
              <w:left w:val="nil"/>
              <w:bottom w:val="single" w:sz="4" w:space="0" w:color="auto"/>
              <w:right w:val="single" w:sz="4" w:space="0" w:color="auto"/>
            </w:tcBorders>
            <w:shd w:val="clear" w:color="auto" w:fill="C6EFCE"/>
            <w:noWrap/>
          </w:tcPr>
          <w:p w14:paraId="3012714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single" w:sz="4" w:space="0" w:color="auto"/>
              <w:left w:val="nil"/>
              <w:bottom w:val="single" w:sz="4" w:space="0" w:color="auto"/>
              <w:right w:val="single" w:sz="4" w:space="0" w:color="auto"/>
            </w:tcBorders>
            <w:shd w:val="clear" w:color="auto" w:fill="C6EFCE"/>
            <w:noWrap/>
          </w:tcPr>
          <w:p w14:paraId="4E8FBA4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50 000 000</w:t>
            </w:r>
          </w:p>
        </w:tc>
        <w:tc>
          <w:tcPr>
            <w:tcW w:w="516" w:type="dxa"/>
            <w:tcBorders>
              <w:top w:val="single" w:sz="4" w:space="0" w:color="auto"/>
              <w:left w:val="nil"/>
              <w:bottom w:val="single" w:sz="4" w:space="0" w:color="auto"/>
              <w:right w:val="single" w:sz="4" w:space="0" w:color="auto"/>
            </w:tcBorders>
            <w:shd w:val="clear" w:color="auto" w:fill="C6EFCE"/>
            <w:noWrap/>
          </w:tcPr>
          <w:p w14:paraId="7AE9422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619CAE2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52D13CD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Ukupno 50 000 000 milijuna stranica iz državnog arhiva skenirano je i indeksirano u novom Digitalnom arhivu</w:t>
            </w:r>
          </w:p>
        </w:tc>
      </w:tr>
      <w:tr w:rsidR="00984D6F" w:rsidRPr="00D03199" w14:paraId="21445CA0"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C32722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197</w:t>
            </w:r>
          </w:p>
        </w:tc>
        <w:tc>
          <w:tcPr>
            <w:tcW w:w="849" w:type="dxa"/>
            <w:tcBorders>
              <w:top w:val="single" w:sz="4" w:space="0" w:color="auto"/>
              <w:left w:val="nil"/>
              <w:bottom w:val="single" w:sz="4" w:space="0" w:color="auto"/>
              <w:right w:val="single" w:sz="4" w:space="0" w:color="auto"/>
            </w:tcBorders>
            <w:shd w:val="clear" w:color="auto" w:fill="C6EFCE"/>
            <w:noWrap/>
          </w:tcPr>
          <w:p w14:paraId="5652C48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R3-I13</w:t>
            </w:r>
          </w:p>
        </w:tc>
        <w:tc>
          <w:tcPr>
            <w:tcW w:w="849" w:type="dxa"/>
            <w:tcBorders>
              <w:top w:val="single" w:sz="4" w:space="0" w:color="auto"/>
              <w:left w:val="nil"/>
              <w:bottom w:val="single" w:sz="4" w:space="0" w:color="auto"/>
              <w:right w:val="single" w:sz="4" w:space="0" w:color="auto"/>
            </w:tcBorders>
            <w:shd w:val="clear" w:color="auto" w:fill="C6EFCE"/>
            <w:noWrap/>
          </w:tcPr>
          <w:p w14:paraId="404A078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7310488B"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 informacijski sustav Porezne uprave </w:t>
            </w:r>
          </w:p>
        </w:tc>
        <w:tc>
          <w:tcPr>
            <w:tcW w:w="1954" w:type="dxa"/>
            <w:tcBorders>
              <w:top w:val="single" w:sz="4" w:space="0" w:color="auto"/>
              <w:left w:val="nil"/>
              <w:bottom w:val="single" w:sz="4" w:space="0" w:color="auto"/>
              <w:right w:val="single" w:sz="4" w:space="0" w:color="auto"/>
            </w:tcBorders>
            <w:shd w:val="clear" w:color="auto" w:fill="C6EFCE"/>
            <w:noWrap/>
          </w:tcPr>
          <w:p w14:paraId="52BBEFA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o provedbi koje je izradio MINFIN – Porezna uprava, a u kojem se navodi da je novi informacijski sustav Porezne uprave u funkciji</w:t>
            </w:r>
          </w:p>
        </w:tc>
        <w:tc>
          <w:tcPr>
            <w:tcW w:w="1096" w:type="dxa"/>
            <w:tcBorders>
              <w:top w:val="single" w:sz="4" w:space="0" w:color="auto"/>
              <w:left w:val="nil"/>
              <w:bottom w:val="single" w:sz="4" w:space="0" w:color="auto"/>
              <w:right w:val="single" w:sz="4" w:space="0" w:color="auto"/>
            </w:tcBorders>
            <w:shd w:val="clear" w:color="auto" w:fill="C6EFCE"/>
            <w:noWrap/>
          </w:tcPr>
          <w:p w14:paraId="0EE6074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29B2035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2D35E9B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08538FD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08C1B85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0ACACDC3"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porezni informacijski sustav operativan je i sadržava nove funkcije (npr. nova platforma za analizu podataka, novi dizajn korisničkog iskustva za porezne obveznike i porezne službenike, nadograđena infrastruktura IKT-a, digitalizirani svi procesi povezani s tim funkcijama, pojednostavnjeni i ubrzani procesi, osiguran kontinuitet poslovanja u kriznim situacijama, ojačana razina sigurnosti infrastrukture IKT-a, konsolidirana i optimizirana informacijska i komunikacijska infrastruktura)</w:t>
            </w:r>
          </w:p>
        </w:tc>
      </w:tr>
      <w:tr w:rsidR="00984D6F" w:rsidRPr="00D03199" w14:paraId="35ECA80C"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6A2351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198</w:t>
            </w:r>
          </w:p>
        </w:tc>
        <w:tc>
          <w:tcPr>
            <w:tcW w:w="849" w:type="dxa"/>
            <w:tcBorders>
              <w:top w:val="single" w:sz="4" w:space="0" w:color="auto"/>
              <w:left w:val="nil"/>
              <w:bottom w:val="single" w:sz="4" w:space="0" w:color="auto"/>
              <w:right w:val="single" w:sz="4" w:space="0" w:color="auto"/>
            </w:tcBorders>
            <w:shd w:val="clear" w:color="auto" w:fill="C6EFCE"/>
            <w:noWrap/>
          </w:tcPr>
          <w:p w14:paraId="27DBEB2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R3-I13</w:t>
            </w:r>
          </w:p>
        </w:tc>
        <w:tc>
          <w:tcPr>
            <w:tcW w:w="849" w:type="dxa"/>
            <w:tcBorders>
              <w:top w:val="single" w:sz="4" w:space="0" w:color="auto"/>
              <w:left w:val="nil"/>
              <w:bottom w:val="single" w:sz="4" w:space="0" w:color="auto"/>
              <w:right w:val="single" w:sz="4" w:space="0" w:color="auto"/>
            </w:tcBorders>
            <w:shd w:val="clear" w:color="auto" w:fill="C6EFCE"/>
            <w:noWrap/>
          </w:tcPr>
          <w:p w14:paraId="3AD926A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37AD060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Postotak postupaka utvrđivanja i naplate poreza koji se provode digitalno u novom sustavu</w:t>
            </w:r>
          </w:p>
        </w:tc>
        <w:tc>
          <w:tcPr>
            <w:tcW w:w="1954" w:type="dxa"/>
            <w:tcBorders>
              <w:top w:val="single" w:sz="4" w:space="0" w:color="auto"/>
              <w:left w:val="nil"/>
              <w:bottom w:val="single" w:sz="4" w:space="0" w:color="auto"/>
              <w:right w:val="single" w:sz="4" w:space="0" w:color="auto"/>
            </w:tcBorders>
            <w:shd w:val="clear" w:color="auto" w:fill="C6EFCE"/>
            <w:noWrap/>
          </w:tcPr>
          <w:p w14:paraId="03CCEBDA"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MINFIN-a – Porezna uprava</w:t>
            </w:r>
          </w:p>
        </w:tc>
        <w:tc>
          <w:tcPr>
            <w:tcW w:w="1096" w:type="dxa"/>
            <w:tcBorders>
              <w:top w:val="single" w:sz="4" w:space="0" w:color="auto"/>
              <w:left w:val="nil"/>
              <w:bottom w:val="single" w:sz="4" w:space="0" w:color="auto"/>
              <w:right w:val="single" w:sz="4" w:space="0" w:color="auto"/>
            </w:tcBorders>
            <w:shd w:val="clear" w:color="auto" w:fill="C6EFCE"/>
            <w:noWrap/>
          </w:tcPr>
          <w:p w14:paraId="6780AB3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5" w:type="dxa"/>
            <w:tcBorders>
              <w:top w:val="single" w:sz="4" w:space="0" w:color="auto"/>
              <w:left w:val="nil"/>
              <w:bottom w:val="single" w:sz="4" w:space="0" w:color="auto"/>
              <w:right w:val="single" w:sz="4" w:space="0" w:color="auto"/>
            </w:tcBorders>
            <w:shd w:val="clear" w:color="auto" w:fill="C6EFCE"/>
            <w:noWrap/>
          </w:tcPr>
          <w:p w14:paraId="4E3620F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single" w:sz="4" w:space="0" w:color="auto"/>
              <w:left w:val="nil"/>
              <w:bottom w:val="single" w:sz="4" w:space="0" w:color="auto"/>
              <w:right w:val="single" w:sz="4" w:space="0" w:color="auto"/>
            </w:tcBorders>
            <w:shd w:val="clear" w:color="auto" w:fill="C6EFCE"/>
            <w:noWrap/>
          </w:tcPr>
          <w:p w14:paraId="0D9BB3D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80</w:t>
            </w:r>
          </w:p>
        </w:tc>
        <w:tc>
          <w:tcPr>
            <w:tcW w:w="516" w:type="dxa"/>
            <w:tcBorders>
              <w:top w:val="single" w:sz="4" w:space="0" w:color="auto"/>
              <w:left w:val="nil"/>
              <w:bottom w:val="single" w:sz="4" w:space="0" w:color="auto"/>
              <w:right w:val="single" w:sz="4" w:space="0" w:color="auto"/>
            </w:tcBorders>
            <w:shd w:val="clear" w:color="auto" w:fill="C6EFCE"/>
            <w:noWrap/>
          </w:tcPr>
          <w:p w14:paraId="294E3E1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39B0675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3F799241"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80 % postojećih postupaka utvrđivanja i naplate poreza provodi se digitalno, putem novog moderniziranog poreznog informacijskog sustava</w:t>
            </w:r>
          </w:p>
        </w:tc>
      </w:tr>
      <w:tr w:rsidR="00984D6F" w:rsidRPr="00D03199" w14:paraId="3BF748FE"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2F7A56E"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199</w:t>
            </w:r>
          </w:p>
        </w:tc>
        <w:tc>
          <w:tcPr>
            <w:tcW w:w="849" w:type="dxa"/>
            <w:tcBorders>
              <w:top w:val="single" w:sz="4" w:space="0" w:color="auto"/>
              <w:left w:val="nil"/>
              <w:bottom w:val="single" w:sz="4" w:space="0" w:color="auto"/>
              <w:right w:val="single" w:sz="4" w:space="0" w:color="auto"/>
            </w:tcBorders>
            <w:shd w:val="clear" w:color="auto" w:fill="C6EFCE"/>
            <w:noWrap/>
          </w:tcPr>
          <w:p w14:paraId="01925B5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R3-I14</w:t>
            </w:r>
          </w:p>
        </w:tc>
        <w:tc>
          <w:tcPr>
            <w:tcW w:w="849" w:type="dxa"/>
            <w:tcBorders>
              <w:top w:val="single" w:sz="4" w:space="0" w:color="auto"/>
              <w:left w:val="nil"/>
              <w:bottom w:val="single" w:sz="4" w:space="0" w:color="auto"/>
              <w:right w:val="single" w:sz="4" w:space="0" w:color="auto"/>
            </w:tcBorders>
            <w:shd w:val="clear" w:color="auto" w:fill="C6EFCE"/>
            <w:noWrap/>
          </w:tcPr>
          <w:p w14:paraId="66C694B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6B43D2D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Sustav za e-račune i digitalno knjigovodstvo u sustavu PDV-a </w:t>
            </w:r>
          </w:p>
        </w:tc>
        <w:tc>
          <w:tcPr>
            <w:tcW w:w="1954" w:type="dxa"/>
            <w:tcBorders>
              <w:top w:val="single" w:sz="4" w:space="0" w:color="auto"/>
              <w:left w:val="nil"/>
              <w:bottom w:val="single" w:sz="4" w:space="0" w:color="auto"/>
              <w:right w:val="single" w:sz="4" w:space="0" w:color="auto"/>
            </w:tcBorders>
            <w:shd w:val="clear" w:color="auto" w:fill="C6EFCE"/>
            <w:noWrap/>
          </w:tcPr>
          <w:p w14:paraId="23FDA8A1" w14:textId="14DE0439"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MINFIN-a – Porezna uprava</w:t>
            </w:r>
          </w:p>
        </w:tc>
        <w:tc>
          <w:tcPr>
            <w:tcW w:w="1096" w:type="dxa"/>
            <w:tcBorders>
              <w:top w:val="single" w:sz="4" w:space="0" w:color="auto"/>
              <w:left w:val="nil"/>
              <w:bottom w:val="single" w:sz="4" w:space="0" w:color="auto"/>
              <w:right w:val="single" w:sz="4" w:space="0" w:color="auto"/>
            </w:tcBorders>
            <w:shd w:val="clear" w:color="auto" w:fill="C6EFCE"/>
            <w:noWrap/>
          </w:tcPr>
          <w:p w14:paraId="553AE67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4FA7D24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743B857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2A7D5BD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7" w:type="dxa"/>
            <w:tcBorders>
              <w:top w:val="single" w:sz="4" w:space="0" w:color="auto"/>
              <w:left w:val="nil"/>
              <w:bottom w:val="single" w:sz="4" w:space="0" w:color="auto"/>
              <w:right w:val="single" w:sz="4" w:space="0" w:color="auto"/>
            </w:tcBorders>
            <w:shd w:val="clear" w:color="auto" w:fill="C6EFCE"/>
            <w:noWrap/>
          </w:tcPr>
          <w:p w14:paraId="26380C0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092" w:type="dxa"/>
            <w:tcBorders>
              <w:top w:val="single" w:sz="4" w:space="0" w:color="auto"/>
              <w:left w:val="nil"/>
              <w:bottom w:val="single" w:sz="4" w:space="0" w:color="auto"/>
              <w:right w:val="single" w:sz="4" w:space="0" w:color="auto"/>
            </w:tcBorders>
            <w:shd w:val="clear" w:color="auto" w:fill="C6EFCE"/>
            <w:noWrap/>
          </w:tcPr>
          <w:p w14:paraId="4F319393" w14:textId="50E98DE5"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 sustav za registraciju elektroničkih računa u Poreznoj upravi za sve korisnike (model B2B i obveznici javne nabave) i napredno digitalno knjigovodstvo u sustavu PDV-a operativni su i spremni za upotrebu</w:t>
            </w:r>
          </w:p>
        </w:tc>
      </w:tr>
      <w:tr w:rsidR="00984D6F" w:rsidRPr="00D03199" w14:paraId="3CC38D49"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8B802E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200</w:t>
            </w:r>
          </w:p>
        </w:tc>
        <w:tc>
          <w:tcPr>
            <w:tcW w:w="849" w:type="dxa"/>
            <w:tcBorders>
              <w:top w:val="single" w:sz="4" w:space="0" w:color="auto"/>
              <w:left w:val="nil"/>
              <w:bottom w:val="single" w:sz="4" w:space="0" w:color="auto"/>
              <w:right w:val="single" w:sz="4" w:space="0" w:color="auto"/>
            </w:tcBorders>
            <w:shd w:val="clear" w:color="auto" w:fill="C6EFCE"/>
            <w:noWrap/>
          </w:tcPr>
          <w:p w14:paraId="66542E7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R3-I15</w:t>
            </w:r>
          </w:p>
        </w:tc>
        <w:tc>
          <w:tcPr>
            <w:tcW w:w="849" w:type="dxa"/>
            <w:tcBorders>
              <w:top w:val="single" w:sz="4" w:space="0" w:color="auto"/>
              <w:left w:val="nil"/>
              <w:bottom w:val="single" w:sz="4" w:space="0" w:color="auto"/>
              <w:right w:val="single" w:sz="4" w:space="0" w:color="auto"/>
            </w:tcBorders>
            <w:shd w:val="clear" w:color="auto" w:fill="C6EFCE"/>
            <w:noWrap/>
          </w:tcPr>
          <w:p w14:paraId="468736D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4C4FA501"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 alati u turističkom informacijskom sustavu </w:t>
            </w:r>
          </w:p>
        </w:tc>
        <w:tc>
          <w:tcPr>
            <w:tcW w:w="1954" w:type="dxa"/>
            <w:tcBorders>
              <w:top w:val="single" w:sz="4" w:space="0" w:color="auto"/>
              <w:left w:val="nil"/>
              <w:bottom w:val="single" w:sz="4" w:space="0" w:color="auto"/>
              <w:right w:val="single" w:sz="4" w:space="0" w:color="auto"/>
            </w:tcBorders>
            <w:shd w:val="clear" w:color="auto" w:fill="C6EFCE"/>
            <w:noWrap/>
          </w:tcPr>
          <w:p w14:paraId="2679FB78"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Izvješće Ministarstva turizma i sporta (MINTS)</w:t>
            </w:r>
          </w:p>
        </w:tc>
        <w:tc>
          <w:tcPr>
            <w:tcW w:w="1096" w:type="dxa"/>
            <w:tcBorders>
              <w:top w:val="single" w:sz="4" w:space="0" w:color="auto"/>
              <w:left w:val="nil"/>
              <w:bottom w:val="single" w:sz="4" w:space="0" w:color="auto"/>
              <w:right w:val="single" w:sz="4" w:space="0" w:color="auto"/>
            </w:tcBorders>
            <w:shd w:val="clear" w:color="auto" w:fill="C6EFCE"/>
            <w:noWrap/>
          </w:tcPr>
          <w:p w14:paraId="30B0F7D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single" w:sz="4" w:space="0" w:color="auto"/>
              <w:left w:val="nil"/>
              <w:bottom w:val="single" w:sz="4" w:space="0" w:color="auto"/>
              <w:right w:val="single" w:sz="4" w:space="0" w:color="auto"/>
            </w:tcBorders>
            <w:shd w:val="clear" w:color="auto" w:fill="C6EFCE"/>
            <w:noWrap/>
          </w:tcPr>
          <w:p w14:paraId="1020FDB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single" w:sz="4" w:space="0" w:color="auto"/>
              <w:left w:val="nil"/>
              <w:bottom w:val="single" w:sz="4" w:space="0" w:color="auto"/>
              <w:right w:val="single" w:sz="4" w:space="0" w:color="auto"/>
            </w:tcBorders>
            <w:shd w:val="clear" w:color="auto" w:fill="C6EFCE"/>
            <w:noWrap/>
          </w:tcPr>
          <w:p w14:paraId="5CB27D6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516" w:type="dxa"/>
            <w:tcBorders>
              <w:top w:val="single" w:sz="4" w:space="0" w:color="auto"/>
              <w:left w:val="nil"/>
              <w:bottom w:val="single" w:sz="4" w:space="0" w:color="auto"/>
              <w:right w:val="single" w:sz="4" w:space="0" w:color="auto"/>
            </w:tcBorders>
            <w:shd w:val="clear" w:color="auto" w:fill="C6EFCE"/>
            <w:noWrap/>
          </w:tcPr>
          <w:p w14:paraId="468167B4" w14:textId="50CBDA91"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6D744053" w14:textId="5BFF9442"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1FD4AB7D"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 funkciji su sljedeći novi alati:</w:t>
            </w:r>
            <w:r>
              <w:rPr>
                <w:rFonts w:ascii="Calibri" w:hAnsi="Calibri"/>
                <w:noProof/>
                <w:color w:val="000000"/>
                <w:sz w:val="20"/>
              </w:rPr>
              <w:br/>
              <w:t xml:space="preserve">1. za integrirane upravne i neupravne postupke koji će olakšati poslovanje poduzetnika i komunikaciju s javnom upravom  </w:t>
            </w:r>
            <w:r>
              <w:rPr>
                <w:rFonts w:ascii="Calibri" w:hAnsi="Calibri"/>
                <w:noProof/>
                <w:color w:val="000000"/>
                <w:sz w:val="20"/>
              </w:rPr>
              <w:br/>
              <w:t xml:space="preserve"> 2. za upravljanje destinacijama i uspostavljanje lanaca vrijednosti, uključujući i rješenje za upravljanje turističkim tokovima </w:t>
            </w:r>
            <w:r>
              <w:rPr>
                <w:rFonts w:ascii="Calibri" w:hAnsi="Calibri"/>
                <w:noProof/>
                <w:color w:val="000000"/>
                <w:sz w:val="20"/>
              </w:rPr>
              <w:br/>
              <w:t>3. „</w:t>
            </w:r>
            <w:r>
              <w:rPr>
                <w:rFonts w:ascii="Calibri" w:hAnsi="Calibri"/>
                <w:i/>
                <w:iCs/>
                <w:noProof/>
                <w:color w:val="000000"/>
                <w:sz w:val="20"/>
              </w:rPr>
              <w:t>business intelligence</w:t>
            </w:r>
            <w:r>
              <w:rPr>
                <w:rFonts w:ascii="Calibri" w:hAnsi="Calibri"/>
                <w:noProof/>
                <w:color w:val="000000"/>
                <w:sz w:val="20"/>
              </w:rPr>
              <w:t>” sustav u turizmu kako bi se omogućila podrška poduzetnicima u donošenju poslovnih odluka, a javnom sektoru u donošenju odluka u kreiranju javnih politika</w:t>
            </w:r>
            <w:r>
              <w:rPr>
                <w:rFonts w:ascii="Calibri" w:hAnsi="Calibri"/>
                <w:noProof/>
                <w:color w:val="000000"/>
                <w:sz w:val="20"/>
              </w:rPr>
              <w:br/>
              <w:t xml:space="preserve"> 4. Nastavak digitalizacije sustava CROSTO </w:t>
            </w:r>
          </w:p>
        </w:tc>
      </w:tr>
      <w:tr w:rsidR="00984D6F" w:rsidRPr="00D03199" w14:paraId="60CD74E6"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510102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201</w:t>
            </w:r>
          </w:p>
        </w:tc>
        <w:tc>
          <w:tcPr>
            <w:tcW w:w="849" w:type="dxa"/>
            <w:tcBorders>
              <w:top w:val="single" w:sz="4" w:space="0" w:color="auto"/>
              <w:left w:val="nil"/>
              <w:bottom w:val="single" w:sz="4" w:space="0" w:color="auto"/>
              <w:right w:val="single" w:sz="4" w:space="0" w:color="auto"/>
            </w:tcBorders>
            <w:shd w:val="clear" w:color="auto" w:fill="C6EFCE"/>
            <w:noWrap/>
          </w:tcPr>
          <w:p w14:paraId="44493BF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R3-I16</w:t>
            </w:r>
          </w:p>
        </w:tc>
        <w:tc>
          <w:tcPr>
            <w:tcW w:w="849" w:type="dxa"/>
            <w:tcBorders>
              <w:top w:val="single" w:sz="4" w:space="0" w:color="auto"/>
              <w:left w:val="nil"/>
              <w:bottom w:val="single" w:sz="4" w:space="0" w:color="auto"/>
              <w:right w:val="single" w:sz="4" w:space="0" w:color="auto"/>
            </w:tcBorders>
            <w:shd w:val="clear" w:color="auto" w:fill="C6EFCE"/>
            <w:noWrap/>
          </w:tcPr>
          <w:p w14:paraId="488ED76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2AEABF12"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 aplikativni moduli informacijskog sustava u sportu </w:t>
            </w:r>
          </w:p>
        </w:tc>
        <w:tc>
          <w:tcPr>
            <w:tcW w:w="1954" w:type="dxa"/>
            <w:tcBorders>
              <w:top w:val="single" w:sz="4" w:space="0" w:color="auto"/>
              <w:left w:val="nil"/>
              <w:bottom w:val="single" w:sz="4" w:space="0" w:color="auto"/>
              <w:right w:val="single" w:sz="4" w:space="0" w:color="auto"/>
            </w:tcBorders>
            <w:shd w:val="clear" w:color="auto" w:fill="C6EFCE"/>
            <w:noWrap/>
          </w:tcPr>
          <w:p w14:paraId="0AB0ECE9"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Izvješće Ministarstva turizma i sporta (MINTS)</w:t>
            </w:r>
          </w:p>
        </w:tc>
        <w:tc>
          <w:tcPr>
            <w:tcW w:w="1096" w:type="dxa"/>
            <w:tcBorders>
              <w:top w:val="single" w:sz="4" w:space="0" w:color="auto"/>
              <w:left w:val="nil"/>
              <w:bottom w:val="single" w:sz="4" w:space="0" w:color="auto"/>
              <w:right w:val="single" w:sz="4" w:space="0" w:color="auto"/>
            </w:tcBorders>
            <w:shd w:val="clear" w:color="auto" w:fill="C6EFCE"/>
            <w:noWrap/>
          </w:tcPr>
          <w:p w14:paraId="407D522E"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single" w:sz="4" w:space="0" w:color="auto"/>
              <w:left w:val="nil"/>
              <w:bottom w:val="single" w:sz="4" w:space="0" w:color="auto"/>
              <w:right w:val="single" w:sz="4" w:space="0" w:color="auto"/>
            </w:tcBorders>
            <w:shd w:val="clear" w:color="auto" w:fill="C6EFCE"/>
            <w:noWrap/>
          </w:tcPr>
          <w:p w14:paraId="22C676A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single" w:sz="4" w:space="0" w:color="auto"/>
              <w:left w:val="nil"/>
              <w:bottom w:val="single" w:sz="4" w:space="0" w:color="auto"/>
              <w:right w:val="single" w:sz="4" w:space="0" w:color="auto"/>
            </w:tcBorders>
            <w:shd w:val="clear" w:color="auto" w:fill="C6EFCE"/>
            <w:noWrap/>
          </w:tcPr>
          <w:p w14:paraId="32C259CE"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516" w:type="dxa"/>
            <w:tcBorders>
              <w:top w:val="single" w:sz="4" w:space="0" w:color="auto"/>
              <w:left w:val="nil"/>
              <w:bottom w:val="single" w:sz="4" w:space="0" w:color="auto"/>
              <w:right w:val="single" w:sz="4" w:space="0" w:color="auto"/>
            </w:tcBorders>
            <w:shd w:val="clear" w:color="auto" w:fill="C6EFCE"/>
            <w:noWrap/>
          </w:tcPr>
          <w:p w14:paraId="64FC00B6" w14:textId="4EDFCBAC"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32B42DE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4551739F"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Tri nova aplikativna modula integrirana su u nadograđeni Informacijski sustav u sportu (ISS): </w:t>
            </w:r>
            <w:r>
              <w:rPr>
                <w:rFonts w:ascii="Calibri" w:hAnsi="Calibri"/>
                <w:noProof/>
                <w:color w:val="000000"/>
                <w:sz w:val="20"/>
              </w:rPr>
              <w:br/>
              <w:t xml:space="preserve">1. aplikativni modul za omogućavanje direktnog pristupa osnovnim evidencijama i registrima Informacijskog sustava u sportu od strane sportskih klubova; </w:t>
            </w:r>
            <w:r>
              <w:rPr>
                <w:rFonts w:ascii="Calibri" w:hAnsi="Calibri"/>
                <w:noProof/>
                <w:color w:val="000000"/>
                <w:sz w:val="20"/>
              </w:rPr>
              <w:br/>
              <w:t xml:space="preserve">2. aplikativni modul za financiranje javnih potreba u sportu jedinica lokalne i regionalne uprave; </w:t>
            </w:r>
            <w:r>
              <w:rPr>
                <w:rFonts w:ascii="Calibri" w:hAnsi="Calibri"/>
                <w:noProof/>
                <w:color w:val="000000"/>
                <w:sz w:val="20"/>
              </w:rPr>
              <w:br/>
              <w:t>3. aplikativni modul za prikupljanje podataka o sportu i zdravstveno usmjerenom tjelesnom vježbanju.</w:t>
            </w:r>
          </w:p>
        </w:tc>
      </w:tr>
      <w:tr w:rsidR="00984D6F" w:rsidRPr="00D03199" w14:paraId="5F384463"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50A891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w:t>
            </w:r>
          </w:p>
        </w:tc>
        <w:tc>
          <w:tcPr>
            <w:tcW w:w="849" w:type="dxa"/>
            <w:tcBorders>
              <w:top w:val="single" w:sz="4" w:space="0" w:color="auto"/>
              <w:left w:val="nil"/>
              <w:bottom w:val="single" w:sz="4" w:space="0" w:color="auto"/>
              <w:right w:val="single" w:sz="4" w:space="0" w:color="auto"/>
            </w:tcBorders>
            <w:shd w:val="clear" w:color="auto" w:fill="C6EFCE"/>
            <w:noWrap/>
          </w:tcPr>
          <w:p w14:paraId="403A735A"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R4</w:t>
            </w:r>
          </w:p>
        </w:tc>
        <w:tc>
          <w:tcPr>
            <w:tcW w:w="849" w:type="dxa"/>
            <w:tcBorders>
              <w:top w:val="single" w:sz="4" w:space="0" w:color="auto"/>
              <w:left w:val="nil"/>
              <w:bottom w:val="single" w:sz="4" w:space="0" w:color="auto"/>
              <w:right w:val="single" w:sz="4" w:space="0" w:color="auto"/>
            </w:tcBorders>
            <w:shd w:val="clear" w:color="auto" w:fill="C6EFCE"/>
            <w:noWrap/>
          </w:tcPr>
          <w:p w14:paraId="1D68136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3CBDD3E7"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Optimizacija postupka izdavanja dozvola za ulaganja u povezivost </w:t>
            </w:r>
          </w:p>
        </w:tc>
        <w:tc>
          <w:tcPr>
            <w:tcW w:w="1954" w:type="dxa"/>
            <w:tcBorders>
              <w:top w:val="single" w:sz="4" w:space="0" w:color="auto"/>
              <w:left w:val="nil"/>
              <w:bottom w:val="single" w:sz="4" w:space="0" w:color="auto"/>
              <w:right w:val="single" w:sz="4" w:space="0" w:color="auto"/>
            </w:tcBorders>
            <w:shd w:val="clear" w:color="auto" w:fill="C6EFCE"/>
            <w:noWrap/>
          </w:tcPr>
          <w:p w14:paraId="59770B33"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izmijenjenog pravnog okvira</w:t>
            </w:r>
          </w:p>
        </w:tc>
        <w:tc>
          <w:tcPr>
            <w:tcW w:w="1096" w:type="dxa"/>
            <w:tcBorders>
              <w:top w:val="single" w:sz="4" w:space="0" w:color="auto"/>
              <w:left w:val="nil"/>
              <w:bottom w:val="single" w:sz="4" w:space="0" w:color="auto"/>
              <w:right w:val="single" w:sz="4" w:space="0" w:color="auto"/>
            </w:tcBorders>
            <w:shd w:val="clear" w:color="auto" w:fill="C6EFCE"/>
            <w:noWrap/>
          </w:tcPr>
          <w:p w14:paraId="46F58BE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5504F7B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3AA0A078"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3F38E5C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04D3B00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092" w:type="dxa"/>
            <w:tcBorders>
              <w:top w:val="single" w:sz="4" w:space="0" w:color="auto"/>
              <w:left w:val="nil"/>
              <w:bottom w:val="single" w:sz="4" w:space="0" w:color="auto"/>
              <w:right w:val="single" w:sz="4" w:space="0" w:color="auto"/>
            </w:tcBorders>
            <w:shd w:val="clear" w:color="auto" w:fill="C6EFCE"/>
            <w:noWrap/>
          </w:tcPr>
          <w:p w14:paraId="4814C0E1"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Izmijenjenim pravnim okvirom podupire se optimizacija postupka izdavanja dozvola i omogućuje predstavljanje elektroničke komunikacijske infrastrukture u prostornim planovima. Novim će se okvirom smanjiti administrativno opterećenje i regulatorne prepreke povezane s izgradnjom mreža vrlo velikog kapaciteta, uključujući mreže 5G.</w:t>
            </w:r>
          </w:p>
        </w:tc>
      </w:tr>
      <w:tr w:rsidR="00984D6F" w:rsidRPr="00D03199" w14:paraId="3B95D243"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CA4833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203</w:t>
            </w:r>
          </w:p>
        </w:tc>
        <w:tc>
          <w:tcPr>
            <w:tcW w:w="849" w:type="dxa"/>
            <w:tcBorders>
              <w:top w:val="single" w:sz="4" w:space="0" w:color="auto"/>
              <w:left w:val="nil"/>
              <w:bottom w:val="single" w:sz="4" w:space="0" w:color="auto"/>
              <w:right w:val="single" w:sz="4" w:space="0" w:color="auto"/>
            </w:tcBorders>
            <w:shd w:val="clear" w:color="auto" w:fill="C6EFCE"/>
            <w:noWrap/>
          </w:tcPr>
          <w:p w14:paraId="1E4A115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R4-I1</w:t>
            </w:r>
          </w:p>
        </w:tc>
        <w:tc>
          <w:tcPr>
            <w:tcW w:w="849" w:type="dxa"/>
            <w:tcBorders>
              <w:top w:val="single" w:sz="4" w:space="0" w:color="auto"/>
              <w:left w:val="nil"/>
              <w:bottom w:val="single" w:sz="4" w:space="0" w:color="auto"/>
              <w:right w:val="single" w:sz="4" w:space="0" w:color="auto"/>
            </w:tcBorders>
            <w:shd w:val="clear" w:color="auto" w:fill="C6EFCE"/>
            <w:noWrap/>
          </w:tcPr>
          <w:p w14:paraId="1A874FCE"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540D6395"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Potpisivanje ugovora o dodjeli bespovratnih sredstava za provedbu projekata u sklopu Okvirnog nacionalnog programa razvoja infrastrukture širokopojasnog pristupa (ONP) </w:t>
            </w:r>
          </w:p>
        </w:tc>
        <w:tc>
          <w:tcPr>
            <w:tcW w:w="1954" w:type="dxa"/>
            <w:tcBorders>
              <w:top w:val="single" w:sz="4" w:space="0" w:color="auto"/>
              <w:left w:val="nil"/>
              <w:bottom w:val="single" w:sz="4" w:space="0" w:color="auto"/>
              <w:right w:val="single" w:sz="4" w:space="0" w:color="auto"/>
            </w:tcBorders>
            <w:shd w:val="clear" w:color="auto" w:fill="C6EFCE"/>
            <w:noWrap/>
          </w:tcPr>
          <w:p w14:paraId="20B22B7D"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Ministarstva mora, prometa i infrastrukture (MSTI)</w:t>
            </w:r>
          </w:p>
        </w:tc>
        <w:tc>
          <w:tcPr>
            <w:tcW w:w="1096" w:type="dxa"/>
            <w:tcBorders>
              <w:top w:val="single" w:sz="4" w:space="0" w:color="auto"/>
              <w:left w:val="nil"/>
              <w:bottom w:val="single" w:sz="4" w:space="0" w:color="auto"/>
              <w:right w:val="single" w:sz="4" w:space="0" w:color="auto"/>
            </w:tcBorders>
            <w:shd w:val="clear" w:color="auto" w:fill="C6EFCE"/>
            <w:noWrap/>
          </w:tcPr>
          <w:p w14:paraId="6E3B2483"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6DF4A81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5DE0F61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1A4D765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7" w:type="dxa"/>
            <w:tcBorders>
              <w:top w:val="single" w:sz="4" w:space="0" w:color="auto"/>
              <w:left w:val="nil"/>
              <w:bottom w:val="single" w:sz="4" w:space="0" w:color="auto"/>
              <w:right w:val="single" w:sz="4" w:space="0" w:color="auto"/>
            </w:tcBorders>
            <w:shd w:val="clear" w:color="auto" w:fill="C6EFCE"/>
            <w:noWrap/>
          </w:tcPr>
          <w:p w14:paraId="28C1EB55"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092" w:type="dxa"/>
            <w:tcBorders>
              <w:top w:val="single" w:sz="4" w:space="0" w:color="auto"/>
              <w:left w:val="nil"/>
              <w:bottom w:val="single" w:sz="4" w:space="0" w:color="auto"/>
              <w:right w:val="single" w:sz="4" w:space="0" w:color="auto"/>
            </w:tcBorders>
            <w:shd w:val="clear" w:color="auto" w:fill="C6EFCE"/>
            <w:noWrap/>
          </w:tcPr>
          <w:p w14:paraId="326DDBCB"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Nakon postupka odabira potpisat će se ugovori o dodjeli bespovratnih sredstava za 20 projekata u okviru ONP-a.</w:t>
            </w:r>
          </w:p>
        </w:tc>
      </w:tr>
      <w:tr w:rsidR="00984D6F" w:rsidRPr="00D03199" w14:paraId="0FC9F222"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DB0342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204</w:t>
            </w:r>
          </w:p>
        </w:tc>
        <w:tc>
          <w:tcPr>
            <w:tcW w:w="849" w:type="dxa"/>
            <w:tcBorders>
              <w:top w:val="single" w:sz="4" w:space="0" w:color="auto"/>
              <w:left w:val="nil"/>
              <w:bottom w:val="single" w:sz="4" w:space="0" w:color="auto"/>
              <w:right w:val="single" w:sz="4" w:space="0" w:color="auto"/>
            </w:tcBorders>
            <w:shd w:val="clear" w:color="auto" w:fill="C6EFCE"/>
            <w:noWrap/>
          </w:tcPr>
          <w:p w14:paraId="6BCE620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R4-I1</w:t>
            </w:r>
          </w:p>
        </w:tc>
        <w:tc>
          <w:tcPr>
            <w:tcW w:w="849" w:type="dxa"/>
            <w:tcBorders>
              <w:top w:val="single" w:sz="4" w:space="0" w:color="auto"/>
              <w:left w:val="nil"/>
              <w:bottom w:val="single" w:sz="4" w:space="0" w:color="auto"/>
              <w:right w:val="single" w:sz="4" w:space="0" w:color="auto"/>
            </w:tcBorders>
            <w:shd w:val="clear" w:color="auto" w:fill="C6EFCE"/>
            <w:noWrap/>
          </w:tcPr>
          <w:p w14:paraId="6793DC6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2E7AE28A"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Širokopojasni pristup za kućanstva na područjima na kojima nema širokopojasne mreže sljedeće generacije </w:t>
            </w:r>
            <w:r>
              <w:rPr>
                <w:rFonts w:ascii="Calibri" w:hAnsi="Calibri"/>
                <w:noProof/>
                <w:color w:val="000000"/>
                <w:sz w:val="20"/>
              </w:rPr>
              <w:br/>
              <w:t xml:space="preserve"> </w:t>
            </w:r>
          </w:p>
        </w:tc>
        <w:tc>
          <w:tcPr>
            <w:tcW w:w="1954" w:type="dxa"/>
            <w:tcBorders>
              <w:top w:val="single" w:sz="4" w:space="0" w:color="auto"/>
              <w:left w:val="nil"/>
              <w:bottom w:val="single" w:sz="4" w:space="0" w:color="auto"/>
              <w:right w:val="single" w:sz="4" w:space="0" w:color="auto"/>
            </w:tcBorders>
            <w:shd w:val="clear" w:color="auto" w:fill="C6EFCE"/>
            <w:noWrap/>
          </w:tcPr>
          <w:p w14:paraId="3B51856D"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Ministarstva mora, prometa i infrastrukture (MSTI)</w:t>
            </w:r>
          </w:p>
        </w:tc>
        <w:tc>
          <w:tcPr>
            <w:tcW w:w="1096" w:type="dxa"/>
            <w:tcBorders>
              <w:top w:val="single" w:sz="4" w:space="0" w:color="auto"/>
              <w:left w:val="nil"/>
              <w:bottom w:val="single" w:sz="4" w:space="0" w:color="auto"/>
              <w:right w:val="single" w:sz="4" w:space="0" w:color="auto"/>
            </w:tcBorders>
            <w:shd w:val="clear" w:color="auto" w:fill="C6EFCE"/>
            <w:noWrap/>
          </w:tcPr>
          <w:p w14:paraId="4178706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5" w:type="dxa"/>
            <w:tcBorders>
              <w:top w:val="single" w:sz="4" w:space="0" w:color="auto"/>
              <w:left w:val="nil"/>
              <w:bottom w:val="single" w:sz="4" w:space="0" w:color="auto"/>
              <w:right w:val="single" w:sz="4" w:space="0" w:color="auto"/>
            </w:tcBorders>
            <w:shd w:val="clear" w:color="auto" w:fill="C6EFCE"/>
            <w:noWrap/>
          </w:tcPr>
          <w:p w14:paraId="447CF60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386 000</w:t>
            </w:r>
          </w:p>
        </w:tc>
        <w:tc>
          <w:tcPr>
            <w:tcW w:w="958" w:type="dxa"/>
            <w:tcBorders>
              <w:top w:val="single" w:sz="4" w:space="0" w:color="auto"/>
              <w:left w:val="nil"/>
              <w:bottom w:val="single" w:sz="4" w:space="0" w:color="auto"/>
              <w:right w:val="single" w:sz="4" w:space="0" w:color="auto"/>
            </w:tcBorders>
            <w:shd w:val="clear" w:color="auto" w:fill="C6EFCE"/>
            <w:noWrap/>
          </w:tcPr>
          <w:p w14:paraId="08F79037"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486 000</w:t>
            </w:r>
          </w:p>
        </w:tc>
        <w:tc>
          <w:tcPr>
            <w:tcW w:w="516" w:type="dxa"/>
            <w:tcBorders>
              <w:top w:val="single" w:sz="4" w:space="0" w:color="auto"/>
              <w:left w:val="nil"/>
              <w:bottom w:val="single" w:sz="4" w:space="0" w:color="auto"/>
              <w:right w:val="single" w:sz="4" w:space="0" w:color="auto"/>
            </w:tcBorders>
            <w:shd w:val="clear" w:color="auto" w:fill="C6EFCE"/>
            <w:noWrap/>
          </w:tcPr>
          <w:p w14:paraId="1C643266"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4AEE312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2EE12EB7" w14:textId="77777777" w:rsidR="00733DCA" w:rsidRPr="00D03199"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 xml:space="preserve">Najmanje 100 000 dodatnih kućanstava na područjima na kojima nema širokopojasne mreže sljedeće generacije bit će pokriveno širokopojasnim pristupom od najmanje 100 Mbit/s (koji se može nadograditi na 1 giga) u smjeru korisnika (preuzimanje) </w:t>
            </w:r>
          </w:p>
        </w:tc>
      </w:tr>
      <w:tr w:rsidR="00984D6F" w:rsidRPr="00D03199" w14:paraId="19F8CBBC"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15AB90C" w14:textId="77777777" w:rsidR="00733DCA" w:rsidRPr="00D03199"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205</w:t>
            </w:r>
          </w:p>
        </w:tc>
        <w:tc>
          <w:tcPr>
            <w:tcW w:w="849" w:type="dxa"/>
            <w:tcBorders>
              <w:top w:val="single" w:sz="4" w:space="0" w:color="auto"/>
              <w:left w:val="nil"/>
              <w:bottom w:val="single" w:sz="4" w:space="0" w:color="auto"/>
              <w:right w:val="single" w:sz="4" w:space="0" w:color="auto"/>
            </w:tcBorders>
            <w:shd w:val="clear" w:color="auto" w:fill="C6EFCE"/>
            <w:noWrap/>
          </w:tcPr>
          <w:p w14:paraId="2079F22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R4-I2</w:t>
            </w:r>
          </w:p>
        </w:tc>
        <w:tc>
          <w:tcPr>
            <w:tcW w:w="849" w:type="dxa"/>
            <w:tcBorders>
              <w:top w:val="single" w:sz="4" w:space="0" w:color="auto"/>
              <w:left w:val="nil"/>
              <w:bottom w:val="single" w:sz="4" w:space="0" w:color="auto"/>
              <w:right w:val="single" w:sz="4" w:space="0" w:color="auto"/>
            </w:tcBorders>
            <w:shd w:val="clear" w:color="auto" w:fill="C6EFCE"/>
            <w:noWrap/>
          </w:tcPr>
          <w:p w14:paraId="014A9DA1"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6" w:type="dxa"/>
            <w:tcBorders>
              <w:top w:val="single" w:sz="4" w:space="0" w:color="auto"/>
              <w:left w:val="nil"/>
              <w:bottom w:val="single" w:sz="4" w:space="0" w:color="auto"/>
              <w:right w:val="single" w:sz="4" w:space="0" w:color="auto"/>
            </w:tcBorders>
            <w:shd w:val="clear" w:color="auto" w:fill="C6EFCE"/>
            <w:noWrap/>
          </w:tcPr>
          <w:p w14:paraId="268DE176"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Potpisivanje ugovora o dodjeli bespovratnih sredstava za izgradnju pasivne elektroničke komunikacijske infrastrukture</w:t>
            </w:r>
          </w:p>
        </w:tc>
        <w:tc>
          <w:tcPr>
            <w:tcW w:w="1954" w:type="dxa"/>
            <w:tcBorders>
              <w:top w:val="single" w:sz="4" w:space="0" w:color="auto"/>
              <w:left w:val="nil"/>
              <w:bottom w:val="single" w:sz="4" w:space="0" w:color="auto"/>
              <w:right w:val="single" w:sz="4" w:space="0" w:color="auto"/>
            </w:tcBorders>
            <w:shd w:val="clear" w:color="auto" w:fill="C6EFCE"/>
            <w:noWrap/>
          </w:tcPr>
          <w:p w14:paraId="2C0F39A5"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br/>
              <w:t>Izvješće Ministarstva mora, prometa i infrastrukture (MSTI)</w:t>
            </w:r>
          </w:p>
        </w:tc>
        <w:tc>
          <w:tcPr>
            <w:tcW w:w="1096" w:type="dxa"/>
            <w:tcBorders>
              <w:top w:val="single" w:sz="4" w:space="0" w:color="auto"/>
              <w:left w:val="nil"/>
              <w:bottom w:val="single" w:sz="4" w:space="0" w:color="auto"/>
              <w:right w:val="single" w:sz="4" w:space="0" w:color="auto"/>
            </w:tcBorders>
            <w:shd w:val="clear" w:color="auto" w:fill="C6EFCE"/>
            <w:noWrap/>
          </w:tcPr>
          <w:p w14:paraId="5F2342B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5" w:type="dxa"/>
            <w:tcBorders>
              <w:top w:val="single" w:sz="4" w:space="0" w:color="auto"/>
              <w:left w:val="nil"/>
              <w:bottom w:val="single" w:sz="4" w:space="0" w:color="auto"/>
              <w:right w:val="single" w:sz="4" w:space="0" w:color="auto"/>
            </w:tcBorders>
            <w:shd w:val="clear" w:color="auto" w:fill="C6EFCE"/>
            <w:noWrap/>
          </w:tcPr>
          <w:p w14:paraId="66C48CB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58" w:type="dxa"/>
            <w:tcBorders>
              <w:top w:val="single" w:sz="4" w:space="0" w:color="auto"/>
              <w:left w:val="nil"/>
              <w:bottom w:val="single" w:sz="4" w:space="0" w:color="auto"/>
              <w:right w:val="single" w:sz="4" w:space="0" w:color="auto"/>
            </w:tcBorders>
            <w:shd w:val="clear" w:color="auto" w:fill="C6EFCE"/>
            <w:noWrap/>
          </w:tcPr>
          <w:p w14:paraId="1D580DA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16" w:type="dxa"/>
            <w:tcBorders>
              <w:top w:val="single" w:sz="4" w:space="0" w:color="auto"/>
              <w:left w:val="nil"/>
              <w:bottom w:val="single" w:sz="4" w:space="0" w:color="auto"/>
              <w:right w:val="single" w:sz="4" w:space="0" w:color="auto"/>
            </w:tcBorders>
            <w:shd w:val="clear" w:color="auto" w:fill="C6EFCE"/>
            <w:noWrap/>
          </w:tcPr>
          <w:p w14:paraId="56113F3F"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7" w:type="dxa"/>
            <w:tcBorders>
              <w:top w:val="single" w:sz="4" w:space="0" w:color="auto"/>
              <w:left w:val="nil"/>
              <w:bottom w:val="single" w:sz="4" w:space="0" w:color="auto"/>
              <w:right w:val="single" w:sz="4" w:space="0" w:color="auto"/>
            </w:tcBorders>
            <w:shd w:val="clear" w:color="auto" w:fill="C6EFCE"/>
            <w:noWrap/>
          </w:tcPr>
          <w:p w14:paraId="6EB443D4"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092" w:type="dxa"/>
            <w:tcBorders>
              <w:top w:val="single" w:sz="4" w:space="0" w:color="auto"/>
              <w:left w:val="nil"/>
              <w:bottom w:val="single" w:sz="4" w:space="0" w:color="auto"/>
              <w:right w:val="single" w:sz="4" w:space="0" w:color="auto"/>
            </w:tcBorders>
            <w:shd w:val="clear" w:color="auto" w:fill="C6EFCE"/>
            <w:noWrap/>
          </w:tcPr>
          <w:p w14:paraId="149B0418"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Potpisivanje ugovora o dodjeli bespovratnih sredstava i početak provedbe projekta za izgradnju pasivne elektroničke komunikacijske infrastrukture </w:t>
            </w:r>
          </w:p>
        </w:tc>
      </w:tr>
      <w:tr w:rsidR="00984D6F" w:rsidRPr="00D03199" w14:paraId="04E578C0" w14:textId="77777777" w:rsidTr="007306B5">
        <w:trPr>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8ACBBE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206</w:t>
            </w:r>
          </w:p>
        </w:tc>
        <w:tc>
          <w:tcPr>
            <w:tcW w:w="849" w:type="dxa"/>
            <w:tcBorders>
              <w:top w:val="single" w:sz="4" w:space="0" w:color="auto"/>
              <w:left w:val="nil"/>
              <w:bottom w:val="single" w:sz="4" w:space="0" w:color="auto"/>
              <w:right w:val="single" w:sz="4" w:space="0" w:color="auto"/>
            </w:tcBorders>
            <w:shd w:val="clear" w:color="auto" w:fill="C6EFCE"/>
            <w:noWrap/>
          </w:tcPr>
          <w:p w14:paraId="15B2114C"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C2.3. R4-I2</w:t>
            </w:r>
          </w:p>
        </w:tc>
        <w:tc>
          <w:tcPr>
            <w:tcW w:w="849" w:type="dxa"/>
            <w:tcBorders>
              <w:top w:val="single" w:sz="4" w:space="0" w:color="auto"/>
              <w:left w:val="nil"/>
              <w:bottom w:val="single" w:sz="4" w:space="0" w:color="auto"/>
              <w:right w:val="single" w:sz="4" w:space="0" w:color="auto"/>
            </w:tcBorders>
            <w:shd w:val="clear" w:color="auto" w:fill="C6EFCE"/>
            <w:noWrap/>
          </w:tcPr>
          <w:p w14:paraId="6B4E4BE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6" w:type="dxa"/>
            <w:tcBorders>
              <w:top w:val="single" w:sz="4" w:space="0" w:color="auto"/>
              <w:left w:val="nil"/>
              <w:bottom w:val="single" w:sz="4" w:space="0" w:color="auto"/>
              <w:right w:val="single" w:sz="4" w:space="0" w:color="auto"/>
            </w:tcBorders>
            <w:shd w:val="clear" w:color="auto" w:fill="C6EFCE"/>
            <w:noWrap/>
          </w:tcPr>
          <w:p w14:paraId="35C1C437"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Stanovništvo koje ima pristup mrežama 5G</w:t>
            </w:r>
          </w:p>
        </w:tc>
        <w:tc>
          <w:tcPr>
            <w:tcW w:w="1954" w:type="dxa"/>
            <w:tcBorders>
              <w:top w:val="single" w:sz="4" w:space="0" w:color="auto"/>
              <w:left w:val="nil"/>
              <w:bottom w:val="single" w:sz="4" w:space="0" w:color="auto"/>
              <w:right w:val="single" w:sz="4" w:space="0" w:color="auto"/>
            </w:tcBorders>
            <w:shd w:val="clear" w:color="auto" w:fill="C6EFCE"/>
            <w:noWrap/>
          </w:tcPr>
          <w:p w14:paraId="659144ED"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Izvješće Ministarstva mora, prometa i infrastrukture (MSTI)</w:t>
            </w:r>
          </w:p>
        </w:tc>
        <w:tc>
          <w:tcPr>
            <w:tcW w:w="1096" w:type="dxa"/>
            <w:tcBorders>
              <w:top w:val="single" w:sz="4" w:space="0" w:color="auto"/>
              <w:left w:val="nil"/>
              <w:bottom w:val="single" w:sz="4" w:space="0" w:color="auto"/>
              <w:right w:val="single" w:sz="4" w:space="0" w:color="auto"/>
            </w:tcBorders>
            <w:shd w:val="clear" w:color="auto" w:fill="C6EFCE"/>
            <w:noWrap/>
          </w:tcPr>
          <w:p w14:paraId="110E14DD"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5" w:type="dxa"/>
            <w:tcBorders>
              <w:top w:val="single" w:sz="4" w:space="0" w:color="auto"/>
              <w:left w:val="nil"/>
              <w:bottom w:val="single" w:sz="4" w:space="0" w:color="auto"/>
              <w:right w:val="single" w:sz="4" w:space="0" w:color="auto"/>
            </w:tcBorders>
            <w:shd w:val="clear" w:color="auto" w:fill="C6EFCE"/>
            <w:noWrap/>
          </w:tcPr>
          <w:p w14:paraId="644310D0"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58" w:type="dxa"/>
            <w:tcBorders>
              <w:top w:val="single" w:sz="4" w:space="0" w:color="auto"/>
              <w:left w:val="nil"/>
              <w:bottom w:val="single" w:sz="4" w:space="0" w:color="auto"/>
              <w:right w:val="single" w:sz="4" w:space="0" w:color="auto"/>
            </w:tcBorders>
            <w:shd w:val="clear" w:color="auto" w:fill="C6EFCE"/>
            <w:noWrap/>
          </w:tcPr>
          <w:p w14:paraId="7BE8F40B"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80</w:t>
            </w:r>
          </w:p>
        </w:tc>
        <w:tc>
          <w:tcPr>
            <w:tcW w:w="516" w:type="dxa"/>
            <w:tcBorders>
              <w:top w:val="single" w:sz="4" w:space="0" w:color="auto"/>
              <w:left w:val="nil"/>
              <w:bottom w:val="single" w:sz="4" w:space="0" w:color="auto"/>
              <w:right w:val="single" w:sz="4" w:space="0" w:color="auto"/>
            </w:tcBorders>
            <w:shd w:val="clear" w:color="auto" w:fill="C6EFCE"/>
            <w:noWrap/>
          </w:tcPr>
          <w:p w14:paraId="32E74D32"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7" w:type="dxa"/>
            <w:tcBorders>
              <w:top w:val="single" w:sz="4" w:space="0" w:color="auto"/>
              <w:left w:val="nil"/>
              <w:bottom w:val="single" w:sz="4" w:space="0" w:color="auto"/>
              <w:right w:val="single" w:sz="4" w:space="0" w:color="auto"/>
            </w:tcBorders>
            <w:shd w:val="clear" w:color="auto" w:fill="C6EFCE"/>
            <w:noWrap/>
          </w:tcPr>
          <w:p w14:paraId="6E895319" w14:textId="77777777" w:rsidR="00733DCA" w:rsidRPr="00D031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092" w:type="dxa"/>
            <w:tcBorders>
              <w:top w:val="single" w:sz="4" w:space="0" w:color="auto"/>
              <w:left w:val="nil"/>
              <w:bottom w:val="single" w:sz="4" w:space="0" w:color="auto"/>
              <w:right w:val="single" w:sz="4" w:space="0" w:color="auto"/>
            </w:tcBorders>
            <w:shd w:val="clear" w:color="auto" w:fill="C6EFCE"/>
            <w:noWrap/>
          </w:tcPr>
          <w:p w14:paraId="2545E16A" w14:textId="77777777" w:rsidR="00733DCA" w:rsidRPr="00D031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okviru projekta najmanje 80 % ruralnih i rijetko naseljenih područja (prosječne gustoće naseljenosti manje od 20/km²) bit će pokriveno mobilnim signalom 5G. </w:t>
            </w:r>
          </w:p>
        </w:tc>
      </w:tr>
    </w:tbl>
    <w:p w14:paraId="72561E09" w14:textId="77777777" w:rsidR="00733DCA" w:rsidRPr="00BC0323" w:rsidRDefault="00733DCA" w:rsidP="0001477B">
      <w:pPr>
        <w:rPr>
          <w:noProof/>
        </w:rPr>
        <w:sectPr w:rsidR="00733DCA" w:rsidRPr="00BC0323" w:rsidSect="0001477B">
          <w:headerReference w:type="even" r:id="rId180"/>
          <w:headerReference w:type="default" r:id="rId181"/>
          <w:footerReference w:type="even" r:id="rId182"/>
          <w:footerReference w:type="default" r:id="rId183"/>
          <w:headerReference w:type="first" r:id="rId184"/>
          <w:footerReference w:type="first" r:id="rId185"/>
          <w:pgSz w:w="15840" w:h="12240" w:orient="landscape"/>
          <w:pgMar w:top="1440" w:right="1440" w:bottom="1440" w:left="1440" w:header="708" w:footer="708" w:gutter="0"/>
          <w:cols w:space="708"/>
          <w:docGrid w:linePitch="360"/>
        </w:sectPr>
      </w:pPr>
    </w:p>
    <w:p w14:paraId="6CCB39A0" w14:textId="77777777" w:rsidR="00733DCA" w:rsidRDefault="00733DCA" w:rsidP="0001477B">
      <w:pPr>
        <w:pStyle w:val="paragraph"/>
        <w:spacing w:before="0" w:beforeAutospacing="0" w:after="0" w:afterAutospacing="0"/>
        <w:ind w:left="705"/>
        <w:jc w:val="both"/>
        <w:textAlignment w:val="baseline"/>
        <w:rPr>
          <w:rFonts w:ascii="Segoe UI" w:hAnsi="Segoe UI" w:cs="Segoe UI"/>
          <w:noProof/>
          <w:sz w:val="18"/>
          <w:szCs w:val="18"/>
        </w:rPr>
      </w:pPr>
      <w:r>
        <w:rPr>
          <w:rStyle w:val="normaltextrun"/>
          <w:b/>
          <w:noProof/>
        </w:rPr>
        <w:t xml:space="preserve">I.3. </w:t>
      </w:r>
      <w:r>
        <w:rPr>
          <w:noProof/>
        </w:rPr>
        <w:tab/>
      </w:r>
      <w:r>
        <w:rPr>
          <w:rStyle w:val="normaltextrun"/>
          <w:b/>
          <w:noProof/>
        </w:rPr>
        <w:t>Opis reformi i ulaganja za zajam </w:t>
      </w:r>
      <w:r>
        <w:rPr>
          <w:rStyle w:val="eop"/>
          <w:noProof/>
        </w:rPr>
        <w:t> </w:t>
      </w:r>
    </w:p>
    <w:p w14:paraId="4B6EA0CA" w14:textId="77777777" w:rsidR="00733DCA" w:rsidRDefault="00733DCA" w:rsidP="0001477B">
      <w:pPr>
        <w:pStyle w:val="paragraph"/>
        <w:spacing w:before="0" w:beforeAutospacing="0" w:after="0" w:afterAutospacing="0"/>
        <w:ind w:left="840"/>
        <w:jc w:val="both"/>
        <w:textAlignment w:val="baseline"/>
        <w:rPr>
          <w:rStyle w:val="eop"/>
          <w:noProof/>
        </w:rPr>
      </w:pPr>
      <w:r>
        <w:rPr>
          <w:rStyle w:val="normaltextrun"/>
          <w:noProof/>
        </w:rPr>
        <w:t> </w:t>
      </w:r>
      <w:r>
        <w:rPr>
          <w:rStyle w:val="eop"/>
          <w:noProof/>
        </w:rPr>
        <w:t> </w:t>
      </w:r>
    </w:p>
    <w:p w14:paraId="6E1B5459" w14:textId="4CB31672" w:rsidR="00733DCA" w:rsidRPr="005813E8" w:rsidRDefault="00733DCA" w:rsidP="0001477B">
      <w:pPr>
        <w:spacing w:before="120" w:after="120" w:line="240" w:lineRule="auto"/>
        <w:ind w:left="851"/>
        <w:jc w:val="both"/>
        <w:textAlignment w:val="baseline"/>
        <w:rPr>
          <w:rFonts w:ascii="Times New Roman" w:eastAsia="Calibri" w:hAnsi="Times New Roman" w:cs="Times New Roman"/>
          <w:noProof/>
          <w:sz w:val="24"/>
          <w:szCs w:val="24"/>
          <w:u w:val="single"/>
        </w:rPr>
      </w:pPr>
      <w:r>
        <w:rPr>
          <w:rFonts w:ascii="Times New Roman" w:hAnsi="Times New Roman"/>
          <w:noProof/>
          <w:sz w:val="24"/>
          <w:u w:val="single"/>
        </w:rPr>
        <w:t>Ulaganje C2.3. R3-I17: Uspostava Registra stanovništva, obitelji i kućanstava</w:t>
      </w:r>
    </w:p>
    <w:p w14:paraId="297FDAE9" w14:textId="77777777"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uspostava Registra stanovništva, obitelji i kućanstava (hrvatski: Registar stanovništva, obitelji i kućanstva; u nastavku: Registar SOK), koji će sadržavati podatke o prihodima i imovini stanovništva, obitelji i kućanstava koje će preuzimati iz raznih registara i informacijskih sustava. </w:t>
      </w:r>
    </w:p>
    <w:p w14:paraId="28FDEACC" w14:textId="77777777" w:rsidR="00733DCA" w:rsidRDefault="00733DCA" w:rsidP="0001477B">
      <w:pPr>
        <w:spacing w:before="120" w:after="120" w:line="240" w:lineRule="auto"/>
        <w:jc w:val="both"/>
        <w:rPr>
          <w:noProof/>
        </w:rPr>
      </w:pPr>
      <w:r>
        <w:rPr>
          <w:rFonts w:ascii="Times New Roman" w:hAnsi="Times New Roman"/>
          <w:noProof/>
          <w:sz w:val="24"/>
        </w:rPr>
        <w:t>Njime će se, usporedivoj vremenskoj i prostornoj dimenziji, ujednačiti postupke i definicije pojmova za utvrđivanje prava i obveza koji ovise o prihodima ili imovini fizičkih osoba, obitelji ili kućanstava. Cilj je tog ulaganja omogućiti točnu i ažurnu statistiku nužnu za rad javnih tijela i Porezne uprave.</w:t>
      </w:r>
    </w:p>
    <w:p w14:paraId="302558E5" w14:textId="6D99C080" w:rsidR="00733DC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23D0194B"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01670C65" w14:textId="77777777" w:rsidR="00733DCA" w:rsidRDefault="00733DCA" w:rsidP="0001477B">
      <w:pPr>
        <w:pStyle w:val="paragraph"/>
        <w:spacing w:before="0" w:beforeAutospacing="0" w:after="0" w:afterAutospacing="0"/>
        <w:ind w:left="840"/>
        <w:jc w:val="both"/>
        <w:textAlignment w:val="baseline"/>
        <w:rPr>
          <w:rStyle w:val="normaltextrun"/>
          <w:b/>
          <w:bCs/>
          <w:noProof/>
          <w:lang w:val="en-GB"/>
        </w:rPr>
        <w:sectPr w:rsidR="00733DCA" w:rsidSect="0001477B">
          <w:headerReference w:type="even" r:id="rId186"/>
          <w:headerReference w:type="default" r:id="rId187"/>
          <w:footerReference w:type="even" r:id="rId188"/>
          <w:footerReference w:type="default" r:id="rId189"/>
          <w:headerReference w:type="first" r:id="rId190"/>
          <w:footerReference w:type="first" r:id="rId191"/>
          <w:pgSz w:w="12240" w:h="15840"/>
          <w:pgMar w:top="1440" w:right="1440" w:bottom="1440" w:left="1440" w:header="708" w:footer="708" w:gutter="0"/>
          <w:cols w:space="708"/>
          <w:docGrid w:linePitch="360"/>
        </w:sectPr>
      </w:pPr>
    </w:p>
    <w:p w14:paraId="6953305E"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I.4.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p w14:paraId="37737066" w14:textId="77777777" w:rsidR="00733DCA" w:rsidRDefault="00733DCA" w:rsidP="0001477B">
      <w:pPr>
        <w:pStyle w:val="paragraph"/>
        <w:spacing w:before="0" w:beforeAutospacing="0" w:after="0" w:afterAutospacing="0"/>
        <w:ind w:left="840"/>
        <w:jc w:val="both"/>
        <w:rPr>
          <w:rStyle w:val="eop"/>
          <w:noProof/>
          <w:color w:val="4F81BD"/>
        </w:rPr>
      </w:pPr>
    </w:p>
    <w:tbl>
      <w:tblPr>
        <w:tblW w:w="15318" w:type="dxa"/>
        <w:jc w:val="center"/>
        <w:tblCellMar>
          <w:top w:w="28" w:type="dxa"/>
          <w:left w:w="28" w:type="dxa"/>
          <w:bottom w:w="28" w:type="dxa"/>
          <w:right w:w="28" w:type="dxa"/>
        </w:tblCellMar>
        <w:tblLook w:val="04A0" w:firstRow="1" w:lastRow="0" w:firstColumn="1" w:lastColumn="0" w:noHBand="0" w:noVBand="1"/>
      </w:tblPr>
      <w:tblGrid>
        <w:gridCol w:w="1129"/>
        <w:gridCol w:w="849"/>
        <w:gridCol w:w="836"/>
        <w:gridCol w:w="2135"/>
        <w:gridCol w:w="1954"/>
        <w:gridCol w:w="1096"/>
        <w:gridCol w:w="836"/>
        <w:gridCol w:w="958"/>
        <w:gridCol w:w="516"/>
        <w:gridCol w:w="627"/>
        <w:gridCol w:w="4430"/>
      </w:tblGrid>
      <w:tr w:rsidR="00733DCA" w:rsidRPr="00D03199" w14:paraId="719EAE64" w14:textId="77777777" w:rsidTr="008D7238">
        <w:trPr>
          <w:trHeight w:val="300"/>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62ABCDB9" w14:textId="0EAA4A56" w:rsidR="00733DCA" w:rsidRPr="00D03199"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740015C9"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Mjera</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250A938"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Ključna etapa / ciljna vrijednost</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2B78A415"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Naziv</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E3B9232"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879"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5E645676"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132" w:type="dxa"/>
            <w:gridSpan w:val="2"/>
            <w:tcBorders>
              <w:top w:val="single" w:sz="4" w:space="0" w:color="auto"/>
              <w:left w:val="nil"/>
              <w:bottom w:val="single" w:sz="4" w:space="0" w:color="auto"/>
              <w:right w:val="single" w:sz="4" w:space="0" w:color="auto"/>
            </w:tcBorders>
            <w:shd w:val="clear" w:color="auto" w:fill="BDD7EE"/>
            <w:hideMark/>
          </w:tcPr>
          <w:p w14:paraId="4A55E5F3"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Vrijeme</w:t>
            </w:r>
          </w:p>
        </w:tc>
        <w:tc>
          <w:tcPr>
            <w:tcW w:w="443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C63897F"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Opis svake ključne etape i ciljne vrijednosti</w:t>
            </w:r>
          </w:p>
        </w:tc>
      </w:tr>
      <w:tr w:rsidR="00733DCA" w:rsidRPr="00D03199" w14:paraId="4A29624F" w14:textId="77777777" w:rsidTr="35F5F8E0">
        <w:trPr>
          <w:trHeight w:val="300"/>
          <w:tblHeader/>
          <w:jc w:val="center"/>
        </w:trPr>
        <w:tc>
          <w:tcPr>
            <w:tcW w:w="1129" w:type="dxa"/>
            <w:vMerge/>
            <w:hideMark/>
          </w:tcPr>
          <w:p w14:paraId="6F9529B0"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849" w:type="dxa"/>
            <w:vMerge/>
            <w:hideMark/>
          </w:tcPr>
          <w:p w14:paraId="486D2C6A"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810" w:type="dxa"/>
            <w:vMerge/>
            <w:hideMark/>
          </w:tcPr>
          <w:p w14:paraId="1F4DB281"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2135" w:type="dxa"/>
            <w:vMerge/>
            <w:hideMark/>
          </w:tcPr>
          <w:p w14:paraId="02C5CA18"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1954" w:type="dxa"/>
            <w:vMerge/>
            <w:hideMark/>
          </w:tcPr>
          <w:p w14:paraId="78E6BC47"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1096" w:type="dxa"/>
            <w:tcBorders>
              <w:top w:val="nil"/>
              <w:left w:val="single" w:sz="4" w:space="0" w:color="auto"/>
              <w:bottom w:val="single" w:sz="4" w:space="0" w:color="auto"/>
              <w:right w:val="single" w:sz="4" w:space="0" w:color="auto"/>
            </w:tcBorders>
            <w:shd w:val="clear" w:color="auto" w:fill="BDD7EE"/>
            <w:hideMark/>
          </w:tcPr>
          <w:p w14:paraId="46D1ED86"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Jedinica</w:t>
            </w:r>
          </w:p>
        </w:tc>
        <w:tc>
          <w:tcPr>
            <w:tcW w:w="825" w:type="dxa"/>
            <w:tcBorders>
              <w:top w:val="nil"/>
              <w:left w:val="nil"/>
              <w:bottom w:val="single" w:sz="4" w:space="0" w:color="auto"/>
              <w:right w:val="single" w:sz="4" w:space="0" w:color="auto"/>
            </w:tcBorders>
            <w:shd w:val="clear" w:color="auto" w:fill="BDD7EE"/>
            <w:hideMark/>
          </w:tcPr>
          <w:p w14:paraId="7E9216A7"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Osnovna vrijednost</w:t>
            </w:r>
          </w:p>
        </w:tc>
        <w:tc>
          <w:tcPr>
            <w:tcW w:w="958" w:type="dxa"/>
            <w:tcBorders>
              <w:top w:val="nil"/>
              <w:left w:val="nil"/>
              <w:bottom w:val="single" w:sz="4" w:space="0" w:color="auto"/>
              <w:right w:val="single" w:sz="4" w:space="0" w:color="auto"/>
            </w:tcBorders>
            <w:shd w:val="clear" w:color="auto" w:fill="BDD7EE"/>
            <w:hideMark/>
          </w:tcPr>
          <w:p w14:paraId="457BF0DD"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Cilj</w:t>
            </w:r>
          </w:p>
        </w:tc>
        <w:tc>
          <w:tcPr>
            <w:tcW w:w="516" w:type="dxa"/>
            <w:tcBorders>
              <w:top w:val="nil"/>
              <w:left w:val="nil"/>
              <w:bottom w:val="single" w:sz="4" w:space="0" w:color="auto"/>
              <w:right w:val="single" w:sz="4" w:space="0" w:color="auto"/>
            </w:tcBorders>
            <w:shd w:val="clear" w:color="auto" w:fill="BDD7EE"/>
            <w:hideMark/>
          </w:tcPr>
          <w:p w14:paraId="3ED43337"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Q</w:t>
            </w:r>
          </w:p>
        </w:tc>
        <w:tc>
          <w:tcPr>
            <w:tcW w:w="616" w:type="dxa"/>
            <w:tcBorders>
              <w:top w:val="nil"/>
              <w:left w:val="nil"/>
              <w:bottom w:val="single" w:sz="4" w:space="0" w:color="auto"/>
              <w:right w:val="single" w:sz="4" w:space="0" w:color="auto"/>
            </w:tcBorders>
            <w:shd w:val="clear" w:color="auto" w:fill="BDD7EE"/>
            <w:hideMark/>
          </w:tcPr>
          <w:p w14:paraId="6DBD9227" w14:textId="77777777" w:rsidR="00733DCA" w:rsidRPr="00D03199" w:rsidRDefault="00733DCA">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Godina</w:t>
            </w:r>
          </w:p>
        </w:tc>
        <w:tc>
          <w:tcPr>
            <w:tcW w:w="4430" w:type="dxa"/>
            <w:vMerge/>
            <w:hideMark/>
          </w:tcPr>
          <w:p w14:paraId="1C9CE5D2" w14:textId="77777777" w:rsidR="00733DCA" w:rsidRPr="00D03199" w:rsidRDefault="00733DCA">
            <w:pPr>
              <w:spacing w:after="0" w:line="276" w:lineRule="auto"/>
              <w:rPr>
                <w:rFonts w:ascii="Times New Roman" w:eastAsia="Times New Roman" w:hAnsi="Times New Roman" w:cs="Times New Roman"/>
                <w:b/>
                <w:noProof/>
                <w:lang w:val="en-GB" w:eastAsia="en-GB"/>
              </w:rPr>
            </w:pPr>
          </w:p>
        </w:tc>
      </w:tr>
      <w:tr w:rsidR="00733DCA" w14:paraId="3B6C2416" w14:textId="77777777" w:rsidTr="008D7238">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0AD534E" w14:textId="6D1DBCC4" w:rsidR="00733DCA" w:rsidRPr="001C35D6" w:rsidRDefault="00B9121B" w:rsidP="0001477B">
            <w:pPr>
              <w:spacing w:after="0" w:line="276" w:lineRule="auto"/>
              <w:jc w:val="center"/>
              <w:rPr>
                <w:rFonts w:ascii="Calibri" w:eastAsia="Calibri" w:hAnsi="Calibri" w:cs="Arial"/>
                <w:noProof/>
                <w:color w:val="000000"/>
                <w:sz w:val="20"/>
                <w:szCs w:val="20"/>
              </w:rPr>
            </w:pPr>
            <w:r>
              <w:rPr>
                <w:rFonts w:ascii="Calibri" w:hAnsi="Calibri"/>
                <w:noProof/>
                <w:color w:val="000000"/>
                <w:sz w:val="20"/>
              </w:rPr>
              <w:t>394</w:t>
            </w:r>
          </w:p>
        </w:tc>
        <w:tc>
          <w:tcPr>
            <w:tcW w:w="849" w:type="dxa"/>
            <w:tcBorders>
              <w:top w:val="single" w:sz="4" w:space="0" w:color="auto"/>
              <w:left w:val="nil"/>
              <w:bottom w:val="single" w:sz="4" w:space="0" w:color="auto"/>
              <w:right w:val="single" w:sz="4" w:space="0" w:color="auto"/>
            </w:tcBorders>
            <w:shd w:val="clear" w:color="auto" w:fill="C6EFCE"/>
            <w:noWrap/>
          </w:tcPr>
          <w:p w14:paraId="0461B2AD" w14:textId="77777777" w:rsidR="00733DCA" w:rsidRPr="001C35D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C2.3. R3- I17</w:t>
            </w:r>
          </w:p>
        </w:tc>
        <w:tc>
          <w:tcPr>
            <w:tcW w:w="810" w:type="dxa"/>
            <w:tcBorders>
              <w:top w:val="single" w:sz="4" w:space="0" w:color="auto"/>
              <w:left w:val="nil"/>
              <w:bottom w:val="single" w:sz="4" w:space="0" w:color="auto"/>
              <w:right w:val="single" w:sz="4" w:space="0" w:color="auto"/>
            </w:tcBorders>
            <w:shd w:val="clear" w:color="auto" w:fill="C6EFCE"/>
            <w:noWrap/>
          </w:tcPr>
          <w:p w14:paraId="33105A6F" w14:textId="77777777" w:rsidR="00733DCA" w:rsidRPr="001C35D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w:t>
            </w:r>
          </w:p>
        </w:tc>
        <w:tc>
          <w:tcPr>
            <w:tcW w:w="2135" w:type="dxa"/>
            <w:tcBorders>
              <w:top w:val="single" w:sz="4" w:space="0" w:color="auto"/>
              <w:left w:val="nil"/>
              <w:bottom w:val="single" w:sz="4" w:space="0" w:color="auto"/>
              <w:right w:val="single" w:sz="4" w:space="0" w:color="auto"/>
            </w:tcBorders>
            <w:shd w:val="clear" w:color="auto" w:fill="C6EFCE"/>
            <w:noWrap/>
          </w:tcPr>
          <w:p w14:paraId="156A2806" w14:textId="77777777" w:rsidR="00733DCA" w:rsidRPr="001C35D6"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 xml:space="preserve">Registar stanovništva, obitelji i kućanstava (Registar SOK) </w:t>
            </w:r>
          </w:p>
        </w:tc>
        <w:tc>
          <w:tcPr>
            <w:tcW w:w="1954" w:type="dxa"/>
            <w:tcBorders>
              <w:top w:val="single" w:sz="4" w:space="0" w:color="auto"/>
              <w:left w:val="nil"/>
              <w:bottom w:val="single" w:sz="4" w:space="0" w:color="auto"/>
              <w:right w:val="single" w:sz="4" w:space="0" w:color="auto"/>
            </w:tcBorders>
            <w:shd w:val="clear" w:color="auto" w:fill="C6EFCE"/>
            <w:noWrap/>
          </w:tcPr>
          <w:p w14:paraId="248E1D89" w14:textId="77777777" w:rsidR="00733DCA" w:rsidRPr="001C35D6"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Izvješće Ministarstva financija </w:t>
            </w:r>
          </w:p>
        </w:tc>
        <w:tc>
          <w:tcPr>
            <w:tcW w:w="1096" w:type="dxa"/>
            <w:tcBorders>
              <w:top w:val="nil"/>
              <w:left w:val="nil"/>
              <w:bottom w:val="single" w:sz="4" w:space="0" w:color="auto"/>
              <w:right w:val="single" w:sz="4" w:space="0" w:color="auto"/>
            </w:tcBorders>
            <w:shd w:val="clear" w:color="auto" w:fill="C6EFCE"/>
            <w:noWrap/>
          </w:tcPr>
          <w:p w14:paraId="7B0FE2D0" w14:textId="77777777" w:rsidR="00733DCA" w:rsidRPr="001C35D6" w:rsidRDefault="00733DCA" w:rsidP="0001477B">
            <w:pPr>
              <w:spacing w:after="200" w:line="276" w:lineRule="auto"/>
              <w:jc w:val="center"/>
              <w:rPr>
                <w:rFonts w:ascii="Calibri" w:eastAsia="Calibri" w:hAnsi="Calibri" w:cs="Arial"/>
                <w:noProof/>
                <w:color w:val="000000"/>
                <w:sz w:val="20"/>
                <w:szCs w:val="20"/>
                <w:lang w:val="en-GB"/>
              </w:rPr>
            </w:pPr>
          </w:p>
        </w:tc>
        <w:tc>
          <w:tcPr>
            <w:tcW w:w="825" w:type="dxa"/>
            <w:tcBorders>
              <w:top w:val="nil"/>
              <w:left w:val="nil"/>
              <w:bottom w:val="single" w:sz="4" w:space="0" w:color="auto"/>
              <w:right w:val="single" w:sz="4" w:space="0" w:color="auto"/>
            </w:tcBorders>
            <w:shd w:val="clear" w:color="auto" w:fill="C6EFCE"/>
            <w:noWrap/>
          </w:tcPr>
          <w:p w14:paraId="2B7D41CC" w14:textId="77777777" w:rsidR="00733DCA" w:rsidRPr="001C35D6" w:rsidRDefault="00733DCA" w:rsidP="0001477B">
            <w:pPr>
              <w:spacing w:after="200" w:line="276" w:lineRule="auto"/>
              <w:jc w:val="center"/>
              <w:rPr>
                <w:rFonts w:ascii="Calibri" w:eastAsia="Calibri" w:hAnsi="Calibri" w:cs="Arial"/>
                <w:noProof/>
                <w:color w:val="000000"/>
                <w:sz w:val="20"/>
                <w:szCs w:val="20"/>
                <w:lang w:val="en-GB"/>
              </w:rPr>
            </w:pPr>
          </w:p>
        </w:tc>
        <w:tc>
          <w:tcPr>
            <w:tcW w:w="958" w:type="dxa"/>
            <w:tcBorders>
              <w:top w:val="nil"/>
              <w:left w:val="nil"/>
              <w:bottom w:val="single" w:sz="4" w:space="0" w:color="auto"/>
              <w:right w:val="single" w:sz="4" w:space="0" w:color="auto"/>
            </w:tcBorders>
            <w:shd w:val="clear" w:color="auto" w:fill="C6EFCE"/>
            <w:noWrap/>
          </w:tcPr>
          <w:p w14:paraId="7F51E8E0" w14:textId="77777777" w:rsidR="00733DCA" w:rsidRPr="001C35D6" w:rsidRDefault="00733DCA" w:rsidP="0001477B">
            <w:pPr>
              <w:spacing w:after="200" w:line="276" w:lineRule="auto"/>
              <w:jc w:val="center"/>
              <w:rPr>
                <w:rFonts w:ascii="Calibri" w:eastAsia="Calibri" w:hAnsi="Calibri" w:cs="Arial"/>
                <w:noProof/>
                <w:color w:val="000000"/>
                <w:sz w:val="20"/>
                <w:szCs w:val="20"/>
                <w:lang w:val="en-GB"/>
              </w:rPr>
            </w:pPr>
          </w:p>
        </w:tc>
        <w:tc>
          <w:tcPr>
            <w:tcW w:w="516" w:type="dxa"/>
            <w:tcBorders>
              <w:top w:val="nil"/>
              <w:left w:val="nil"/>
              <w:bottom w:val="single" w:sz="4" w:space="0" w:color="auto"/>
              <w:right w:val="single" w:sz="4" w:space="0" w:color="auto"/>
            </w:tcBorders>
            <w:shd w:val="clear" w:color="auto" w:fill="C6EFCE"/>
            <w:noWrap/>
          </w:tcPr>
          <w:p w14:paraId="045FDB4E" w14:textId="670C3841" w:rsidR="00733DCA" w:rsidRPr="001C35D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themeColor="text1"/>
                <w:sz w:val="20"/>
              </w:rPr>
              <w:t>4.</w:t>
            </w:r>
          </w:p>
        </w:tc>
        <w:tc>
          <w:tcPr>
            <w:tcW w:w="616" w:type="dxa"/>
            <w:tcBorders>
              <w:top w:val="nil"/>
              <w:left w:val="nil"/>
              <w:bottom w:val="single" w:sz="4" w:space="0" w:color="auto"/>
              <w:right w:val="single" w:sz="4" w:space="0" w:color="auto"/>
            </w:tcBorders>
            <w:shd w:val="clear" w:color="auto" w:fill="C6EFCE"/>
            <w:noWrap/>
          </w:tcPr>
          <w:p w14:paraId="6C6CF19C" w14:textId="77777777" w:rsidR="00733DCA" w:rsidRPr="001C35D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2025.</w:t>
            </w:r>
          </w:p>
        </w:tc>
        <w:tc>
          <w:tcPr>
            <w:tcW w:w="4430" w:type="dxa"/>
            <w:tcBorders>
              <w:top w:val="single" w:sz="4" w:space="0" w:color="auto"/>
              <w:left w:val="nil"/>
              <w:bottom w:val="single" w:sz="4" w:space="0" w:color="auto"/>
              <w:right w:val="single" w:sz="4" w:space="0" w:color="auto"/>
            </w:tcBorders>
            <w:shd w:val="clear" w:color="auto" w:fill="C6EFCE"/>
            <w:noWrap/>
          </w:tcPr>
          <w:p w14:paraId="2A7DE94E" w14:textId="77777777" w:rsidR="00733DCA" w:rsidRPr="001C35D6"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 xml:space="preserve">Registar stanovništva, obitelji i kućanstava (Registar SOK) u funkciji je i dostupan za korištenje. </w:t>
            </w:r>
          </w:p>
        </w:tc>
      </w:tr>
      <w:tr w:rsidR="00733DCA" w14:paraId="5E8F59C3" w14:textId="77777777" w:rsidTr="0001477B">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EB13629" w14:textId="496C4413" w:rsidR="00733DCA" w:rsidRPr="001C35D6" w:rsidRDefault="00B9121B" w:rsidP="0001477B">
            <w:pPr>
              <w:spacing w:after="0" w:line="276" w:lineRule="auto"/>
              <w:jc w:val="center"/>
              <w:rPr>
                <w:rFonts w:ascii="Calibri" w:eastAsia="Calibri" w:hAnsi="Calibri" w:cs="Arial"/>
                <w:noProof/>
                <w:color w:val="000000"/>
                <w:sz w:val="20"/>
                <w:szCs w:val="20"/>
              </w:rPr>
            </w:pPr>
            <w:r>
              <w:rPr>
                <w:rFonts w:ascii="Calibri" w:hAnsi="Calibri"/>
                <w:noProof/>
                <w:color w:val="000000"/>
                <w:sz w:val="20"/>
              </w:rPr>
              <w:t>395</w:t>
            </w:r>
          </w:p>
        </w:tc>
        <w:tc>
          <w:tcPr>
            <w:tcW w:w="849" w:type="dxa"/>
            <w:tcBorders>
              <w:top w:val="single" w:sz="4" w:space="0" w:color="auto"/>
              <w:left w:val="nil"/>
              <w:bottom w:val="single" w:sz="4" w:space="0" w:color="auto"/>
              <w:right w:val="single" w:sz="4" w:space="0" w:color="auto"/>
            </w:tcBorders>
            <w:shd w:val="clear" w:color="auto" w:fill="C6EFCE"/>
            <w:noWrap/>
          </w:tcPr>
          <w:p w14:paraId="2F779864" w14:textId="77777777" w:rsidR="00733DCA" w:rsidRPr="001C35D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C2.3. R3- I17</w:t>
            </w:r>
          </w:p>
          <w:p w14:paraId="1A1DF179" w14:textId="77777777" w:rsidR="00733DCA" w:rsidRPr="001C35D6" w:rsidRDefault="00733DCA" w:rsidP="0001477B">
            <w:pPr>
              <w:spacing w:after="200" w:line="276" w:lineRule="auto"/>
              <w:jc w:val="center"/>
              <w:rPr>
                <w:rFonts w:ascii="Calibri" w:eastAsia="Calibri" w:hAnsi="Calibri" w:cs="Arial"/>
                <w:noProof/>
                <w:color w:val="000000"/>
                <w:sz w:val="20"/>
                <w:szCs w:val="20"/>
                <w:lang w:val="en-GB"/>
              </w:rPr>
            </w:pPr>
          </w:p>
        </w:tc>
        <w:tc>
          <w:tcPr>
            <w:tcW w:w="810" w:type="dxa"/>
            <w:tcBorders>
              <w:top w:val="single" w:sz="4" w:space="0" w:color="auto"/>
              <w:left w:val="nil"/>
              <w:bottom w:val="single" w:sz="4" w:space="0" w:color="auto"/>
              <w:right w:val="single" w:sz="4" w:space="0" w:color="auto"/>
            </w:tcBorders>
            <w:shd w:val="clear" w:color="auto" w:fill="C6EFCE"/>
            <w:noWrap/>
          </w:tcPr>
          <w:p w14:paraId="09C56AD4" w14:textId="77777777" w:rsidR="00733DCA" w:rsidRPr="001C35D6" w:rsidRDefault="00733DCA" w:rsidP="0001477B">
            <w:pPr>
              <w:spacing w:after="200" w:line="276" w:lineRule="auto"/>
              <w:jc w:val="center"/>
              <w:rPr>
                <w:rFonts w:ascii="Calibri" w:eastAsia="Calibri" w:hAnsi="Calibri" w:cs="Calibri"/>
                <w:noProof/>
                <w:sz w:val="20"/>
                <w:szCs w:val="20"/>
              </w:rPr>
            </w:pPr>
            <w:r>
              <w:rPr>
                <w:rFonts w:ascii="Calibri" w:hAnsi="Calibri"/>
                <w:noProof/>
                <w:color w:val="000000" w:themeColor="text1"/>
                <w:sz w:val="20"/>
              </w:rPr>
              <w:t>Ključna etapa</w:t>
            </w:r>
          </w:p>
        </w:tc>
        <w:tc>
          <w:tcPr>
            <w:tcW w:w="2135" w:type="dxa"/>
            <w:tcBorders>
              <w:top w:val="single" w:sz="4" w:space="0" w:color="auto"/>
              <w:left w:val="nil"/>
              <w:bottom w:val="single" w:sz="4" w:space="0" w:color="auto"/>
              <w:right w:val="single" w:sz="4" w:space="0" w:color="auto"/>
            </w:tcBorders>
            <w:shd w:val="clear" w:color="auto" w:fill="C6EFCE"/>
            <w:noWrap/>
          </w:tcPr>
          <w:p w14:paraId="759FFF82" w14:textId="77777777" w:rsidR="00733DCA" w:rsidRPr="001C35D6"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Registar stanovništva, obitelji i kućanstava (Registar SOK) povezan sa sustavom ePorezna</w:t>
            </w:r>
          </w:p>
        </w:tc>
        <w:tc>
          <w:tcPr>
            <w:tcW w:w="1954" w:type="dxa"/>
            <w:tcBorders>
              <w:top w:val="single" w:sz="4" w:space="0" w:color="auto"/>
              <w:left w:val="nil"/>
              <w:bottom w:val="single" w:sz="4" w:space="0" w:color="auto"/>
              <w:right w:val="single" w:sz="4" w:space="0" w:color="auto"/>
            </w:tcBorders>
            <w:shd w:val="clear" w:color="auto" w:fill="C6EFCE"/>
            <w:noWrap/>
          </w:tcPr>
          <w:p w14:paraId="161A1CC9" w14:textId="77777777" w:rsidR="00733DCA" w:rsidRPr="001C35D6"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Izvješće Ministarstva financija</w:t>
            </w:r>
          </w:p>
          <w:p w14:paraId="02CEF68F" w14:textId="77777777" w:rsidR="00733DCA" w:rsidRPr="001C35D6" w:rsidRDefault="00733DCA" w:rsidP="0001477B">
            <w:pPr>
              <w:spacing w:after="200" w:line="276" w:lineRule="auto"/>
              <w:rPr>
                <w:rFonts w:ascii="Calibri" w:eastAsia="Calibri" w:hAnsi="Calibri" w:cs="Arial"/>
                <w:noProof/>
                <w:color w:val="000000"/>
                <w:sz w:val="20"/>
                <w:szCs w:val="20"/>
                <w:lang w:val="en-GB"/>
              </w:rPr>
            </w:pPr>
          </w:p>
        </w:tc>
        <w:tc>
          <w:tcPr>
            <w:tcW w:w="1096" w:type="dxa"/>
            <w:tcBorders>
              <w:top w:val="nil"/>
              <w:left w:val="nil"/>
              <w:bottom w:val="single" w:sz="4" w:space="0" w:color="auto"/>
              <w:right w:val="single" w:sz="4" w:space="0" w:color="auto"/>
            </w:tcBorders>
            <w:shd w:val="clear" w:color="auto" w:fill="C6EFCE"/>
            <w:noWrap/>
          </w:tcPr>
          <w:p w14:paraId="58D56D84" w14:textId="77777777" w:rsidR="00733DCA" w:rsidRPr="001C35D6" w:rsidRDefault="00733DCA" w:rsidP="0001477B">
            <w:pPr>
              <w:spacing w:after="200" w:line="276" w:lineRule="auto"/>
              <w:jc w:val="center"/>
              <w:rPr>
                <w:rFonts w:ascii="Calibri" w:eastAsia="Calibri" w:hAnsi="Calibri" w:cs="Arial"/>
                <w:noProof/>
                <w:color w:val="000000"/>
                <w:sz w:val="20"/>
                <w:szCs w:val="20"/>
                <w:lang w:val="en-GB"/>
              </w:rPr>
            </w:pPr>
          </w:p>
        </w:tc>
        <w:tc>
          <w:tcPr>
            <w:tcW w:w="825" w:type="dxa"/>
            <w:tcBorders>
              <w:top w:val="nil"/>
              <w:left w:val="nil"/>
              <w:bottom w:val="single" w:sz="4" w:space="0" w:color="auto"/>
              <w:right w:val="single" w:sz="4" w:space="0" w:color="auto"/>
            </w:tcBorders>
            <w:shd w:val="clear" w:color="auto" w:fill="C6EFCE"/>
            <w:noWrap/>
          </w:tcPr>
          <w:p w14:paraId="0ED7492F" w14:textId="77777777" w:rsidR="00733DCA" w:rsidRPr="001C35D6" w:rsidRDefault="00733DCA" w:rsidP="0001477B">
            <w:pPr>
              <w:spacing w:after="200" w:line="276" w:lineRule="auto"/>
              <w:jc w:val="center"/>
              <w:rPr>
                <w:rFonts w:ascii="Calibri" w:eastAsia="Calibri" w:hAnsi="Calibri" w:cs="Arial"/>
                <w:noProof/>
                <w:color w:val="000000"/>
                <w:sz w:val="20"/>
                <w:szCs w:val="20"/>
                <w:lang w:val="en-GB"/>
              </w:rPr>
            </w:pPr>
          </w:p>
        </w:tc>
        <w:tc>
          <w:tcPr>
            <w:tcW w:w="958" w:type="dxa"/>
            <w:tcBorders>
              <w:top w:val="nil"/>
              <w:left w:val="nil"/>
              <w:bottom w:val="single" w:sz="4" w:space="0" w:color="auto"/>
              <w:right w:val="single" w:sz="4" w:space="0" w:color="auto"/>
            </w:tcBorders>
            <w:shd w:val="clear" w:color="auto" w:fill="C6EFCE"/>
            <w:noWrap/>
          </w:tcPr>
          <w:p w14:paraId="741F4D96" w14:textId="77777777" w:rsidR="00733DCA" w:rsidRPr="001C35D6" w:rsidRDefault="00733DCA" w:rsidP="0001477B">
            <w:pPr>
              <w:spacing w:after="200" w:line="276" w:lineRule="auto"/>
              <w:jc w:val="center"/>
              <w:rPr>
                <w:rFonts w:ascii="Calibri" w:eastAsia="Calibri" w:hAnsi="Calibri" w:cs="Arial"/>
                <w:noProof/>
                <w:color w:val="000000"/>
                <w:sz w:val="20"/>
                <w:szCs w:val="20"/>
                <w:lang w:val="en-GB"/>
              </w:rPr>
            </w:pPr>
          </w:p>
        </w:tc>
        <w:tc>
          <w:tcPr>
            <w:tcW w:w="516" w:type="dxa"/>
            <w:tcBorders>
              <w:top w:val="nil"/>
              <w:left w:val="nil"/>
              <w:bottom w:val="single" w:sz="4" w:space="0" w:color="auto"/>
              <w:right w:val="single" w:sz="4" w:space="0" w:color="auto"/>
            </w:tcBorders>
            <w:shd w:val="clear" w:color="auto" w:fill="C6EFCE"/>
            <w:noWrap/>
          </w:tcPr>
          <w:p w14:paraId="6FF07890" w14:textId="77777777" w:rsidR="00733DCA" w:rsidRPr="001C35D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themeColor="text1"/>
                <w:sz w:val="20"/>
              </w:rPr>
              <w:t>2.</w:t>
            </w:r>
          </w:p>
        </w:tc>
        <w:tc>
          <w:tcPr>
            <w:tcW w:w="616" w:type="dxa"/>
            <w:tcBorders>
              <w:top w:val="nil"/>
              <w:left w:val="nil"/>
              <w:bottom w:val="single" w:sz="4" w:space="0" w:color="auto"/>
              <w:right w:val="single" w:sz="4" w:space="0" w:color="auto"/>
            </w:tcBorders>
            <w:shd w:val="clear" w:color="auto" w:fill="C6EFCE"/>
            <w:noWrap/>
          </w:tcPr>
          <w:p w14:paraId="774E1CED" w14:textId="77777777" w:rsidR="00733DCA" w:rsidRPr="001C35D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themeColor="text1"/>
                <w:sz w:val="20"/>
              </w:rPr>
              <w:t>2026.</w:t>
            </w:r>
          </w:p>
        </w:tc>
        <w:tc>
          <w:tcPr>
            <w:tcW w:w="4430" w:type="dxa"/>
            <w:tcBorders>
              <w:top w:val="single" w:sz="4" w:space="0" w:color="auto"/>
              <w:left w:val="nil"/>
              <w:bottom w:val="single" w:sz="4" w:space="0" w:color="auto"/>
              <w:right w:val="single" w:sz="4" w:space="0" w:color="auto"/>
            </w:tcBorders>
            <w:shd w:val="clear" w:color="auto" w:fill="C6EFCE"/>
            <w:noWrap/>
          </w:tcPr>
          <w:p w14:paraId="0AB8B09A" w14:textId="6F84D387" w:rsidR="00733DCA" w:rsidRPr="001C35D6"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Registar stanovništva, obitelji i kućanstava (Registar SOK) povezan je sa sustavom ePorezna.</w:t>
            </w:r>
          </w:p>
          <w:p w14:paraId="6A5BCB33" w14:textId="77777777" w:rsidR="00733DCA" w:rsidRPr="001C35D6" w:rsidRDefault="00733DCA" w:rsidP="0001477B">
            <w:pPr>
              <w:spacing w:after="200" w:line="276" w:lineRule="auto"/>
              <w:rPr>
                <w:rFonts w:ascii="Calibri" w:eastAsia="Calibri" w:hAnsi="Calibri" w:cs="Arial"/>
                <w:noProof/>
                <w:color w:val="000000"/>
                <w:sz w:val="20"/>
                <w:szCs w:val="20"/>
                <w:lang w:val="en-GB"/>
              </w:rPr>
            </w:pPr>
          </w:p>
        </w:tc>
      </w:tr>
    </w:tbl>
    <w:p w14:paraId="3C737FCE" w14:textId="77777777" w:rsidR="00733DCA" w:rsidRPr="001C35D6" w:rsidRDefault="00733DCA" w:rsidP="0001477B">
      <w:pPr>
        <w:pStyle w:val="paragraph"/>
        <w:spacing w:before="0" w:beforeAutospacing="0" w:after="0" w:afterAutospacing="0"/>
        <w:ind w:left="840"/>
        <w:jc w:val="both"/>
        <w:rPr>
          <w:rStyle w:val="eop"/>
          <w:noProof/>
          <w:color w:val="4F81BD"/>
          <w:lang w:val="en-GB"/>
        </w:rPr>
      </w:pPr>
    </w:p>
    <w:p w14:paraId="35FAE63E" w14:textId="77777777" w:rsidR="00733DCA" w:rsidRDefault="00733DCA" w:rsidP="0001477B">
      <w:pPr>
        <w:pStyle w:val="paragraph"/>
        <w:spacing w:before="0" w:beforeAutospacing="0" w:after="0" w:afterAutospacing="0"/>
        <w:ind w:left="840"/>
        <w:jc w:val="both"/>
        <w:rPr>
          <w:rStyle w:val="eop"/>
          <w:noProof/>
          <w:color w:val="4F81BD"/>
        </w:rPr>
      </w:pPr>
    </w:p>
    <w:p w14:paraId="755F9B48" w14:textId="77777777" w:rsidR="00733DCA" w:rsidRDefault="00733DCA" w:rsidP="0001477B">
      <w:pPr>
        <w:pStyle w:val="paragraph"/>
        <w:spacing w:before="0" w:beforeAutospacing="0" w:after="0" w:afterAutospacing="0"/>
        <w:jc w:val="both"/>
        <w:textAlignment w:val="baseline"/>
        <w:rPr>
          <w:rFonts w:ascii="Segoe UI" w:hAnsi="Segoe UI" w:cs="Segoe UI"/>
          <w:noProof/>
          <w:sz w:val="18"/>
          <w:szCs w:val="18"/>
        </w:rPr>
      </w:pPr>
      <w:r>
        <w:rPr>
          <w:rStyle w:val="eop"/>
          <w:noProof/>
        </w:rPr>
        <w:t> </w:t>
      </w:r>
    </w:p>
    <w:p w14:paraId="7CC81FF2" w14:textId="77777777" w:rsidR="00733DCA" w:rsidRDefault="00733DCA">
      <w:pPr>
        <w:rPr>
          <w:noProof/>
        </w:rPr>
        <w:sectPr w:rsidR="00733DCA" w:rsidSect="0001477B">
          <w:headerReference w:type="even" r:id="rId192"/>
          <w:headerReference w:type="default" r:id="rId193"/>
          <w:footerReference w:type="even" r:id="rId194"/>
          <w:footerReference w:type="default" r:id="rId195"/>
          <w:headerReference w:type="first" r:id="rId196"/>
          <w:footerReference w:type="first" r:id="rId197"/>
          <w:pgSz w:w="15840" w:h="12240" w:orient="landscape"/>
          <w:pgMar w:top="1440" w:right="1440" w:bottom="1440" w:left="1440" w:header="708" w:footer="708" w:gutter="0"/>
          <w:cols w:space="708"/>
          <w:docGrid w:linePitch="360"/>
        </w:sectPr>
      </w:pPr>
    </w:p>
    <w:p w14:paraId="0483D7FB" w14:textId="77777777" w:rsidR="00733DCA" w:rsidRPr="00733DCA" w:rsidRDefault="00733DCA" w:rsidP="00733DCA">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J. KOMPONENTA 2.4.: UNAPREĐENJE UPRAVLJANJA DRŽAVNOM IMOVINOM</w:t>
      </w:r>
    </w:p>
    <w:p w14:paraId="51016F08" w14:textId="77777777" w:rsidR="00733DCA" w:rsidRPr="00733DCA" w:rsidRDefault="00733DCA" w:rsidP="00733DCA">
      <w:pPr>
        <w:spacing w:before="40" w:after="120" w:line="252" w:lineRule="auto"/>
        <w:jc w:val="both"/>
        <w:rPr>
          <w:rFonts w:ascii="Times New Roman" w:eastAsia="Times New Roman" w:hAnsi="Times New Roman" w:cs="Times New Roman"/>
          <w:noProof/>
          <w:sz w:val="24"/>
          <w:szCs w:val="24"/>
        </w:rPr>
      </w:pPr>
      <w:r>
        <w:rPr>
          <w:rFonts w:ascii="Times New Roman" w:hAnsi="Times New Roman"/>
          <w:noProof/>
          <w:sz w:val="24"/>
        </w:rPr>
        <w:t xml:space="preserve">Poduzeća u državnom vlasništvu stvaraju oko 7 % dodane vrijednosti cjelokupnog gospodarstva i čine oko 4 % ukupne zaposlenosti. S obzirom na važnu ulogu poduzeća u državnom vlasništvu u hrvatskom gospodarstvu, poboljšanje korporativnog upravljanja takvim poduzećima i kontinuirano smanjenje portfelja državne imovine mogu dovesti do znatnog povećanja ukupne produktivnosti. </w:t>
      </w:r>
    </w:p>
    <w:p w14:paraId="3F0D5E3F" w14:textId="77777777" w:rsidR="00733DCA" w:rsidRPr="00733DCA" w:rsidRDefault="00733DCA" w:rsidP="00733DCA">
      <w:pPr>
        <w:spacing w:before="40" w:after="0"/>
        <w:jc w:val="both"/>
        <w:rPr>
          <w:rFonts w:ascii="Times New Roman" w:eastAsia="Times New Roman" w:hAnsi="Times New Roman" w:cs="Times New Roman"/>
          <w:noProof/>
          <w:sz w:val="24"/>
          <w:szCs w:val="24"/>
        </w:rPr>
      </w:pPr>
      <w:r>
        <w:rPr>
          <w:rFonts w:ascii="Times New Roman" w:hAnsi="Times New Roman"/>
          <w:noProof/>
          <w:sz w:val="24"/>
        </w:rPr>
        <w:t>Cilj je ove komponente NPOO-a promicati gospodarski razvoj i povećati ukupnu učinkovitost poduzeća u državnom vlasništvu, i to sljedećim mjerama:</w:t>
      </w:r>
    </w:p>
    <w:p w14:paraId="7EE576A4" w14:textId="77777777" w:rsidR="00733DCA" w:rsidRPr="00733DCA" w:rsidRDefault="00733DCA" w:rsidP="00733DCA">
      <w:pPr>
        <w:numPr>
          <w:ilvl w:val="0"/>
          <w:numId w:val="35"/>
        </w:numPr>
        <w:tabs>
          <w:tab w:val="left" w:pos="426"/>
        </w:tabs>
        <w:spacing w:before="120" w:after="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dodatno smanjenje broja poduzeća u državnom vlasništvu,</w:t>
      </w:r>
    </w:p>
    <w:p w14:paraId="44057707" w14:textId="77777777" w:rsidR="00733DCA" w:rsidRPr="00733DCA" w:rsidRDefault="00733DCA" w:rsidP="00733DCA">
      <w:pPr>
        <w:numPr>
          <w:ilvl w:val="0"/>
          <w:numId w:val="35"/>
        </w:numPr>
        <w:tabs>
          <w:tab w:val="left" w:pos="426"/>
        </w:tabs>
        <w:spacing w:before="120" w:after="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unapređenje upravljanja državnom imovinom,</w:t>
      </w:r>
    </w:p>
    <w:p w14:paraId="20B40E5A" w14:textId="77777777" w:rsidR="00733DCA" w:rsidRPr="00733DCA" w:rsidRDefault="00733DCA" w:rsidP="00733DCA">
      <w:pPr>
        <w:numPr>
          <w:ilvl w:val="0"/>
          <w:numId w:val="35"/>
        </w:numPr>
        <w:tabs>
          <w:tab w:val="left" w:pos="426"/>
        </w:tabs>
        <w:spacing w:before="120" w:after="0" w:line="276" w:lineRule="auto"/>
        <w:ind w:left="714" w:hanging="357"/>
        <w:jc w:val="both"/>
        <w:rPr>
          <w:rFonts w:ascii="Times New Roman" w:eastAsia="Times New Roman" w:hAnsi="Times New Roman" w:cs="Times New Roman"/>
          <w:bCs/>
          <w:noProof/>
          <w:sz w:val="24"/>
          <w:szCs w:val="24"/>
        </w:rPr>
      </w:pPr>
      <w:r>
        <w:rPr>
          <w:rFonts w:ascii="Times New Roman" w:hAnsi="Times New Roman"/>
          <w:noProof/>
          <w:sz w:val="24"/>
        </w:rPr>
        <w:t>usklađivanje nacionalnog regulatornog okvira za korporativno upravljanje s međunarodnom dobrom praksom na temelju preporuka OECD-a,</w:t>
      </w:r>
    </w:p>
    <w:p w14:paraId="36975F20" w14:textId="77777777" w:rsidR="00733DCA" w:rsidRPr="00733DCA" w:rsidRDefault="00733DCA" w:rsidP="00733DCA">
      <w:pPr>
        <w:numPr>
          <w:ilvl w:val="0"/>
          <w:numId w:val="35"/>
        </w:numPr>
        <w:tabs>
          <w:tab w:val="left" w:pos="426"/>
        </w:tabs>
        <w:spacing w:before="120" w:after="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poboljšanje upravljanja u poduzećima u državnom vlasništvu od posebnog interesa za Republiku Hrvatsku i poduzećima u većinskom vlasništvu središnje države te jačanje koordinacije među nadležnim državnim tijelima, </w:t>
      </w:r>
    </w:p>
    <w:p w14:paraId="68290C97" w14:textId="77777777" w:rsidR="00733DCA" w:rsidRPr="00733DCA" w:rsidRDefault="00733DCA" w:rsidP="00733DCA">
      <w:pPr>
        <w:numPr>
          <w:ilvl w:val="0"/>
          <w:numId w:val="35"/>
        </w:numPr>
        <w:tabs>
          <w:tab w:val="left" w:pos="426"/>
        </w:tabs>
        <w:spacing w:before="120" w:after="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jačanje ljudskih kapaciteta za praćenje korporativnog upravljanja u poduzećima u državnom vlasništvu.</w:t>
      </w:r>
    </w:p>
    <w:p w14:paraId="09D4DF04"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Komponentom se podržava ispunjenje preporuka za Hrvatsku o poboljšanju korporativnog upravljanja poduzećima u državnom vlasništvu i o intenziviranju prodaje tih poduzeća i neaktivne imovine (4. preporuka za Hrvatsku iz 2019.). Komponentom se doprinosi i ispunjenju obveza nakon pristupanja ERM-u II. kako bi se ojačalo upravljanje poduzećima u državnom vlasništvu.</w:t>
      </w:r>
    </w:p>
    <w:p w14:paraId="467C4DFB" w14:textId="77777777" w:rsidR="00733DCA" w:rsidRPr="00BC0323" w:rsidRDefault="00733DCA" w:rsidP="00733DCA">
      <w:pPr>
        <w:spacing w:before="40" w:after="0"/>
        <w:jc w:val="both"/>
        <w:rPr>
          <w:rFonts w:ascii="Times New Roman" w:eastAsia="Times New Roman" w:hAnsi="Times New Roman" w:cs="Times New Roman"/>
          <w:bCs/>
          <w:noProof/>
          <w:sz w:val="24"/>
          <w:szCs w:val="26"/>
        </w:rPr>
      </w:pPr>
    </w:p>
    <w:p w14:paraId="29C8727F" w14:textId="77777777" w:rsidR="00733DCA" w:rsidRPr="00733DCA" w:rsidRDefault="00733DCA" w:rsidP="00733DCA">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J.1. </w:t>
      </w:r>
      <w:r>
        <w:rPr>
          <w:rFonts w:ascii="Times New Roman" w:hAnsi="Times New Roman"/>
          <w:b/>
          <w:noProof/>
          <w:sz w:val="24"/>
          <w:u w:val="single"/>
        </w:rPr>
        <w:tab/>
        <w:t>Opis reformi i ulaganja za programe bespovratne financijske potpore</w:t>
      </w:r>
    </w:p>
    <w:p w14:paraId="09DD4396" w14:textId="77777777" w:rsidR="00733DCA" w:rsidRPr="00733DCA" w:rsidRDefault="00733DCA" w:rsidP="00733DCA">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C2.4. R1 – Revidiranje popisa poduzeća u državnom vlasništvu od posebnog interesa za Hrvatsku</w:t>
      </w:r>
    </w:p>
    <w:p w14:paraId="087695FB"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 xml:space="preserve">Cilj je reforme racionalizirati državno vlasništvo donošenjem nove vlasničke politike kojom se utvrđuju kriteriji za stratešku imovinu i ažurira popis poduzeća u državnom vlasništvu koja su od posebnog interesa za Hrvatsku i objavljivanjem obrazložene odluke o tome zašto je određeno poduzeće zadržano na tom popisu. </w:t>
      </w:r>
    </w:p>
    <w:p w14:paraId="48647269" w14:textId="77777777" w:rsidR="00733DCA" w:rsidRPr="00733DCA" w:rsidRDefault="00733DCA" w:rsidP="00733DCA">
      <w:pPr>
        <w:spacing w:before="40" w:after="0"/>
        <w:jc w:val="both"/>
        <w:rPr>
          <w:rFonts w:ascii="Times New Roman" w:eastAsia="Times New Roman" w:hAnsi="Times New Roman" w:cs="Times New Roman"/>
          <w:noProof/>
          <w:sz w:val="24"/>
          <w:szCs w:val="24"/>
        </w:rPr>
      </w:pPr>
      <w:r>
        <w:rPr>
          <w:rFonts w:ascii="Times New Roman" w:hAnsi="Times New Roman"/>
          <w:noProof/>
          <w:sz w:val="24"/>
        </w:rPr>
        <w:t xml:space="preserve">Reforma će biti dovršena do 31. prosinca 2021. </w:t>
      </w:r>
    </w:p>
    <w:p w14:paraId="5085F0C6" w14:textId="77777777" w:rsidR="00733DCA" w:rsidRPr="00733DCA" w:rsidRDefault="00733DCA" w:rsidP="00733DCA">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C2.4. R2 – Poboljšanje korporativnog upravljanja u državnim poduzećima od posebnog interesa za Republiku Hrvatsku i poduzećima u većinskom vlasništvu središnje države</w:t>
      </w:r>
    </w:p>
    <w:p w14:paraId="3D72B279"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S obzirom na važnost poduzeća u državnom vlasništvu za hrvatsko gospodarstvo, cilj je reforme poboljšati korporativno upravljanje poduzećima u državnom vlasništvu.</w:t>
      </w:r>
    </w:p>
    <w:p w14:paraId="74359DED" w14:textId="77777777" w:rsidR="00733DCA" w:rsidRPr="00733DCA" w:rsidRDefault="00733DCA" w:rsidP="00733DCA">
      <w:pPr>
        <w:spacing w:before="40" w:after="0"/>
        <w:jc w:val="both"/>
        <w:rPr>
          <w:rFonts w:ascii="Calibri" w:eastAsia="Times New Roman" w:hAnsi="Calibri" w:cs="Arial"/>
          <w:noProof/>
          <w:sz w:val="24"/>
          <w:szCs w:val="24"/>
        </w:rPr>
      </w:pPr>
      <w:r>
        <w:rPr>
          <w:rFonts w:ascii="Times New Roman" w:hAnsi="Times New Roman"/>
          <w:noProof/>
          <w:sz w:val="24"/>
        </w:rPr>
        <w:t>Reforma uključuje donošenje novog posebnog zakona o državnim poduzećima radi provedbe preporuka OECD-a: i. uskladiti regulatorni okvir za korporativno upravljanje poduzećima u državnom vlasništvu; ii. uspostaviti središnju koordinacijsku jedinicu za provedbu vlasničke politike u srednjoročnom razdoblju; i iii. ojačati autonomiju i neovisnost odbora poduzeća u državnom vlasništvu.</w:t>
      </w:r>
      <w:r>
        <w:rPr>
          <w:rFonts w:ascii="Calibri" w:hAnsi="Calibri"/>
          <w:noProof/>
          <w:sz w:val="24"/>
        </w:rPr>
        <w:t xml:space="preserve"> </w:t>
      </w:r>
    </w:p>
    <w:p w14:paraId="47F8825C" w14:textId="77777777" w:rsidR="00733DCA" w:rsidRPr="00733DCA" w:rsidRDefault="00733DCA" w:rsidP="00733DCA">
      <w:pPr>
        <w:spacing w:before="40" w:after="0"/>
        <w:jc w:val="both"/>
        <w:rPr>
          <w:rFonts w:ascii="Times New Roman" w:eastAsia="Times New Roman" w:hAnsi="Times New Roman" w:cs="Times New Roman"/>
          <w:noProof/>
          <w:sz w:val="24"/>
          <w:szCs w:val="24"/>
        </w:rPr>
      </w:pPr>
      <w:r>
        <w:rPr>
          <w:rFonts w:ascii="Times New Roman" w:hAnsi="Times New Roman"/>
          <w:noProof/>
          <w:sz w:val="24"/>
        </w:rPr>
        <w:t>Reforma će biti dovršena do 31. ožujka 2024.</w:t>
      </w:r>
    </w:p>
    <w:p w14:paraId="23ADE79A" w14:textId="77777777" w:rsidR="00733DCA" w:rsidRPr="00733DCA" w:rsidRDefault="00733DCA" w:rsidP="00733DCA">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C2.4. R3 – Jačanje ljudskih kapaciteta za praćenje korporativnog upravljanja u državnim poduzećima</w:t>
      </w:r>
    </w:p>
    <w:p w14:paraId="619AD32A"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Cilj je reforme poboljšati ljudske kapacitete središnje države s pomoću osposobljavanja kako bi se utvrdili financijski i operativni ciljevi poduzeća u državnom vlasništvu i poboljšala koordinacija među nadležnim državnim tijelima.</w:t>
      </w:r>
    </w:p>
    <w:p w14:paraId="0BA3D265"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Reforma uključuje mjere za jačanje institucijskih kapaciteta pružanjem obuke javnim službenicima u pogledu specifičnih kompetencija ovisno o gospodarskom sektoru djelovanja poduzeća u državnom vlasništvu.</w:t>
      </w:r>
    </w:p>
    <w:p w14:paraId="26CB21E4" w14:textId="77777777" w:rsidR="00733DCA" w:rsidRPr="00733DCA" w:rsidRDefault="00733DCA" w:rsidP="00733DCA">
      <w:pPr>
        <w:spacing w:before="40" w:after="0"/>
        <w:jc w:val="both"/>
        <w:rPr>
          <w:rFonts w:ascii="Times New Roman" w:eastAsia="Times New Roman" w:hAnsi="Times New Roman" w:cs="Times New Roman"/>
          <w:noProof/>
          <w:sz w:val="24"/>
          <w:szCs w:val="24"/>
        </w:rPr>
      </w:pPr>
      <w:r>
        <w:rPr>
          <w:rFonts w:ascii="Times New Roman" w:hAnsi="Times New Roman"/>
          <w:noProof/>
          <w:sz w:val="24"/>
        </w:rPr>
        <w:t>Reforma će biti dovršena do 30. lipnja 2026.</w:t>
      </w:r>
    </w:p>
    <w:p w14:paraId="59E00051" w14:textId="77777777" w:rsidR="00733DCA" w:rsidRPr="00733DCA" w:rsidRDefault="00733DCA" w:rsidP="00733DCA">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C2.4. R4 – Nastavak privatizacije poduzeća u državnom vlasništvu koja nisu od posebnog interesa za Hrvatsku</w:t>
      </w:r>
    </w:p>
    <w:p w14:paraId="01791120"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Cilj je reforme nastaviti smanjivati broj poduzeća u državnom vlasništvu koja nisu od posebnog interesa za Hrvatsku prodajom putem javnog prikupljanja ponuda nakon što se, prema potrebi, ukinu postojeće rezervacije koje sprečavaju raspolaganje dionicama/udjelima tih društava.</w:t>
      </w:r>
    </w:p>
    <w:p w14:paraId="1C92A91B"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 xml:space="preserve">Reforma će biti dovršena do 30. lipnja 2026. </w:t>
      </w:r>
    </w:p>
    <w:p w14:paraId="416E384B" w14:textId="77777777" w:rsidR="00733DCA" w:rsidRPr="00733DCA" w:rsidRDefault="00733DCA" w:rsidP="00733DCA">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Reforma C2.4. R5 – Optimizacija upravljanja nekretninama u državnom vlasništvu</w:t>
      </w:r>
    </w:p>
    <w:p w14:paraId="3C725F2A"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Glavni je cilj reforme povećati komercijalizaciju i racionalizaciju, te dobit od nekretnina u državnom vlasništvu razvojem administrativnog informatičkog sustava za upravljanje portfeljem nekretnina u državnom vlasništvu. Očekuje se da će reforma dovesti do brže aktivacije i učinkovitijeg korištenja neiskorištene državne imovine.</w:t>
      </w:r>
    </w:p>
    <w:p w14:paraId="0AB99C30" w14:textId="77777777" w:rsidR="00733DCA" w:rsidRPr="00733DCA" w:rsidRDefault="00733DCA" w:rsidP="00733DCA">
      <w:pPr>
        <w:spacing w:before="120" w:after="0"/>
        <w:jc w:val="both"/>
        <w:rPr>
          <w:rFonts w:ascii="Times New Roman" w:eastAsia="Times New Roman" w:hAnsi="Times New Roman" w:cs="Times New Roman"/>
          <w:noProof/>
          <w:sz w:val="24"/>
          <w:szCs w:val="24"/>
        </w:rPr>
      </w:pPr>
      <w:r>
        <w:rPr>
          <w:rFonts w:ascii="Times New Roman" w:hAnsi="Times New Roman"/>
          <w:noProof/>
          <w:sz w:val="24"/>
        </w:rPr>
        <w:t>Reforma će biti dovršena do 30. lipnja 2026.</w:t>
      </w:r>
    </w:p>
    <w:p w14:paraId="0DA98D52" w14:textId="77777777" w:rsidR="00733DCA" w:rsidRPr="00733DCA" w:rsidRDefault="00733DCA" w:rsidP="00733DCA">
      <w:pPr>
        <w:spacing w:before="120" w:after="120" w:line="240" w:lineRule="auto"/>
        <w:jc w:val="both"/>
        <w:rPr>
          <w:rFonts w:ascii="Times New Roman" w:eastAsia="Calibri" w:hAnsi="Times New Roman" w:cs="Times New Roman"/>
          <w:noProof/>
          <w:sz w:val="24"/>
          <w:u w:val="single"/>
          <w:lang w:val="en-GB"/>
        </w:rPr>
      </w:pPr>
    </w:p>
    <w:p w14:paraId="5B7B8E56" w14:textId="77777777" w:rsidR="00733DCA" w:rsidRDefault="00733DCA">
      <w:pPr>
        <w:rPr>
          <w:noProof/>
          <w:lang w:val="en-GB"/>
        </w:rPr>
        <w:sectPr w:rsidR="00733DCA" w:rsidSect="00733DCA">
          <w:headerReference w:type="even" r:id="rId198"/>
          <w:headerReference w:type="default" r:id="rId199"/>
          <w:footerReference w:type="even" r:id="rId200"/>
          <w:footerReference w:type="default" r:id="rId201"/>
          <w:headerReference w:type="first" r:id="rId202"/>
          <w:footerReference w:type="first" r:id="rId203"/>
          <w:pgSz w:w="12240" w:h="15840"/>
          <w:pgMar w:top="1440" w:right="1440" w:bottom="1440" w:left="1440" w:header="708" w:footer="708" w:gutter="0"/>
          <w:cols w:space="708"/>
          <w:docGrid w:linePitch="360"/>
        </w:sectPr>
      </w:pPr>
    </w:p>
    <w:p w14:paraId="57E82E33" w14:textId="77777777" w:rsidR="00733DCA" w:rsidRDefault="00733DCA" w:rsidP="00733DCA">
      <w:pPr>
        <w:keepNext/>
        <w:tabs>
          <w:tab w:val="num" w:pos="850"/>
        </w:tabs>
        <w:spacing w:before="40" w:after="240"/>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u w:val="single"/>
        </w:rPr>
        <w:t xml:space="preserve">J.2. </w:t>
      </w:r>
      <w:r>
        <w:rPr>
          <w:rFonts w:ascii="Times New Roman" w:hAnsi="Times New Roman"/>
          <w:b/>
          <w:noProof/>
          <w:sz w:val="24"/>
          <w:u w:val="single"/>
        </w:rPr>
        <w:tab/>
        <w:t>Ključne etape, ciljne vrijednosti, pokazatelji i vremenski raspored za praćenje i provedbu programa bespovratne financijske potpore</w:t>
      </w:r>
    </w:p>
    <w:tbl>
      <w:tblPr>
        <w:tblW w:w="14885" w:type="dxa"/>
        <w:tblInd w:w="-256" w:type="dxa"/>
        <w:tblCellMar>
          <w:top w:w="28" w:type="dxa"/>
          <w:left w:w="28" w:type="dxa"/>
          <w:bottom w:w="28" w:type="dxa"/>
          <w:right w:w="28" w:type="dxa"/>
        </w:tblCellMar>
        <w:tblLook w:val="04A0" w:firstRow="1" w:lastRow="0" w:firstColumn="1" w:lastColumn="0" w:noHBand="0" w:noVBand="1"/>
      </w:tblPr>
      <w:tblGrid>
        <w:gridCol w:w="737"/>
        <w:gridCol w:w="850"/>
        <w:gridCol w:w="871"/>
        <w:gridCol w:w="2098"/>
        <w:gridCol w:w="1986"/>
        <w:gridCol w:w="851"/>
        <w:gridCol w:w="874"/>
        <w:gridCol w:w="969"/>
        <w:gridCol w:w="567"/>
        <w:gridCol w:w="992"/>
        <w:gridCol w:w="4111"/>
      </w:tblGrid>
      <w:tr w:rsidR="00215DFD" w14:paraId="2892C21A" w14:textId="77777777" w:rsidTr="00E942E9">
        <w:trPr>
          <w:trHeight w:val="635"/>
          <w:tblHead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1414947"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0A4C7BD"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C8F782E"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77022578"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98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864659B"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694" w:type="dxa"/>
            <w:gridSpan w:val="3"/>
            <w:tcBorders>
              <w:top w:val="single" w:sz="4" w:space="0" w:color="auto"/>
              <w:left w:val="nil"/>
              <w:bottom w:val="single" w:sz="4" w:space="0" w:color="auto"/>
              <w:right w:val="single" w:sz="4" w:space="0" w:color="auto"/>
            </w:tcBorders>
            <w:shd w:val="clear" w:color="auto" w:fill="BDD7EE"/>
            <w:vAlign w:val="center"/>
            <w:hideMark/>
          </w:tcPr>
          <w:p w14:paraId="2E9AAC46"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7ECFBF69"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EF1203" w14:textId="77777777" w:rsidR="00733DCA" w:rsidRDefault="00733DCA" w:rsidP="00733DCA">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215DFD" w14:paraId="11D8A49F" w14:textId="77777777" w:rsidTr="00E942E9">
        <w:trPr>
          <w:trHeight w:val="352"/>
          <w:tblHeader/>
        </w:trPr>
        <w:tc>
          <w:tcPr>
            <w:tcW w:w="737" w:type="dxa"/>
            <w:vMerge/>
            <w:tcBorders>
              <w:top w:val="single" w:sz="4" w:space="0" w:color="auto"/>
              <w:left w:val="single" w:sz="4" w:space="0" w:color="auto"/>
              <w:bottom w:val="single" w:sz="4" w:space="0" w:color="000000"/>
              <w:right w:val="single" w:sz="4" w:space="0" w:color="auto"/>
            </w:tcBorders>
            <w:hideMark/>
          </w:tcPr>
          <w:p w14:paraId="212D1E17" w14:textId="77777777" w:rsidR="00733DCA" w:rsidRDefault="00733DCA" w:rsidP="0001477B">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14:paraId="5AE81D23" w14:textId="77777777" w:rsidR="00733DCA" w:rsidRDefault="00733DCA" w:rsidP="0001477B">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14:paraId="15B2BE2E" w14:textId="77777777" w:rsidR="00733DCA" w:rsidRDefault="00733DCA" w:rsidP="0001477B">
            <w:pPr>
              <w:spacing w:after="0"/>
              <w:jc w:val="center"/>
              <w:rPr>
                <w:rFonts w:ascii="Times New Roman" w:eastAsia="Times New Roman" w:hAnsi="Times New Roman" w:cs="Times New Roman"/>
                <w:b/>
                <w:noProof/>
                <w:lang w:eastAsia="en-GB"/>
              </w:rPr>
            </w:pPr>
          </w:p>
        </w:tc>
        <w:tc>
          <w:tcPr>
            <w:tcW w:w="2098" w:type="dxa"/>
            <w:vMerge/>
            <w:tcBorders>
              <w:top w:val="single" w:sz="4" w:space="0" w:color="auto"/>
              <w:left w:val="nil"/>
              <w:bottom w:val="single" w:sz="4" w:space="0" w:color="000000"/>
              <w:right w:val="single" w:sz="4" w:space="0" w:color="auto"/>
            </w:tcBorders>
            <w:hideMark/>
          </w:tcPr>
          <w:p w14:paraId="0536A4DC" w14:textId="77777777" w:rsidR="00733DCA" w:rsidRDefault="00733DCA" w:rsidP="0001477B">
            <w:pPr>
              <w:spacing w:after="0"/>
              <w:rPr>
                <w:rFonts w:ascii="Times New Roman" w:eastAsia="Times New Roman" w:hAnsi="Times New Roman" w:cs="Times New Roman"/>
                <w:b/>
                <w:noProof/>
                <w:lang w:eastAsia="en-GB"/>
              </w:rPr>
            </w:pPr>
          </w:p>
        </w:tc>
        <w:tc>
          <w:tcPr>
            <w:tcW w:w="1986" w:type="dxa"/>
            <w:vMerge/>
            <w:tcBorders>
              <w:top w:val="single" w:sz="4" w:space="0" w:color="auto"/>
              <w:left w:val="single" w:sz="4" w:space="0" w:color="auto"/>
              <w:bottom w:val="single" w:sz="4" w:space="0" w:color="000000"/>
              <w:right w:val="single" w:sz="4" w:space="0" w:color="auto"/>
            </w:tcBorders>
            <w:hideMark/>
          </w:tcPr>
          <w:p w14:paraId="1C5F3D9A" w14:textId="77777777" w:rsidR="00733DCA" w:rsidRDefault="00733DCA" w:rsidP="0001477B">
            <w:pPr>
              <w:spacing w:after="0"/>
              <w:rPr>
                <w:rFonts w:ascii="Times New Roman" w:eastAsia="Times New Roman" w:hAnsi="Times New Roman" w:cs="Times New Roman"/>
                <w:b/>
                <w:noProof/>
                <w:lang w:eastAsia="en-GB"/>
              </w:rPr>
            </w:pPr>
          </w:p>
        </w:tc>
        <w:tc>
          <w:tcPr>
            <w:tcW w:w="851" w:type="dxa"/>
            <w:tcBorders>
              <w:top w:val="nil"/>
              <w:left w:val="nil"/>
              <w:bottom w:val="single" w:sz="4" w:space="0" w:color="auto"/>
              <w:right w:val="single" w:sz="4" w:space="0" w:color="auto"/>
            </w:tcBorders>
            <w:shd w:val="clear" w:color="auto" w:fill="BDD7EE"/>
            <w:vAlign w:val="center"/>
            <w:hideMark/>
          </w:tcPr>
          <w:p w14:paraId="0CCB00D5"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74" w:type="dxa"/>
            <w:tcBorders>
              <w:top w:val="nil"/>
              <w:left w:val="nil"/>
              <w:bottom w:val="single" w:sz="4" w:space="0" w:color="auto"/>
              <w:right w:val="single" w:sz="4" w:space="0" w:color="auto"/>
            </w:tcBorders>
            <w:shd w:val="clear" w:color="auto" w:fill="BDD7EE"/>
            <w:vAlign w:val="center"/>
            <w:hideMark/>
          </w:tcPr>
          <w:p w14:paraId="62EBB495"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969" w:type="dxa"/>
            <w:tcBorders>
              <w:top w:val="nil"/>
              <w:left w:val="nil"/>
              <w:bottom w:val="single" w:sz="4" w:space="0" w:color="auto"/>
              <w:right w:val="single" w:sz="4" w:space="0" w:color="auto"/>
            </w:tcBorders>
            <w:shd w:val="clear" w:color="auto" w:fill="BDD7EE"/>
            <w:vAlign w:val="center"/>
            <w:hideMark/>
          </w:tcPr>
          <w:p w14:paraId="077BA3BB"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67" w:type="dxa"/>
            <w:tcBorders>
              <w:top w:val="nil"/>
              <w:left w:val="nil"/>
              <w:bottom w:val="single" w:sz="4" w:space="0" w:color="auto"/>
              <w:right w:val="single" w:sz="4" w:space="0" w:color="auto"/>
            </w:tcBorders>
            <w:shd w:val="clear" w:color="auto" w:fill="BDD7EE"/>
            <w:vAlign w:val="center"/>
            <w:hideMark/>
          </w:tcPr>
          <w:p w14:paraId="2D44EA1E"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992" w:type="dxa"/>
            <w:tcBorders>
              <w:top w:val="nil"/>
              <w:left w:val="nil"/>
              <w:bottom w:val="single" w:sz="4" w:space="0" w:color="auto"/>
              <w:right w:val="single" w:sz="4" w:space="0" w:color="auto"/>
            </w:tcBorders>
            <w:shd w:val="clear" w:color="auto" w:fill="BDD7EE"/>
            <w:vAlign w:val="center"/>
            <w:hideMark/>
          </w:tcPr>
          <w:p w14:paraId="47D648AE" w14:textId="77777777" w:rsidR="00733DCA" w:rsidRDefault="00733DCA"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111" w:type="dxa"/>
            <w:vMerge/>
            <w:tcBorders>
              <w:top w:val="single" w:sz="4" w:space="0" w:color="auto"/>
              <w:left w:val="single" w:sz="4" w:space="0" w:color="auto"/>
              <w:bottom w:val="single" w:sz="4" w:space="0" w:color="auto"/>
              <w:right w:val="single" w:sz="4" w:space="0" w:color="auto"/>
            </w:tcBorders>
            <w:hideMark/>
          </w:tcPr>
          <w:p w14:paraId="02AF1581" w14:textId="77777777" w:rsidR="00733DCA" w:rsidRDefault="00733DCA" w:rsidP="0001477B">
            <w:pPr>
              <w:spacing w:after="0"/>
              <w:rPr>
                <w:rFonts w:ascii="Times New Roman" w:eastAsia="Times New Roman" w:hAnsi="Times New Roman" w:cs="Times New Roman"/>
                <w:b/>
                <w:noProof/>
                <w:lang w:eastAsia="en-GB"/>
              </w:rPr>
            </w:pPr>
          </w:p>
        </w:tc>
      </w:tr>
      <w:tr w:rsidR="00215DFD" w14:paraId="413B9F33" w14:textId="77777777" w:rsidTr="00E942E9">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3F30286D" w14:textId="77777777" w:rsidR="00733DCA" w:rsidRDefault="00733DCA" w:rsidP="0001477B">
            <w:pPr>
              <w:spacing w:after="0"/>
              <w:jc w:val="center"/>
              <w:rPr>
                <w:rFonts w:ascii="Times New Roman" w:hAnsi="Times New Roman" w:cs="Times New Roman"/>
                <w:noProof/>
                <w:sz w:val="20"/>
                <w:szCs w:val="20"/>
              </w:rPr>
            </w:pPr>
            <w:r>
              <w:rPr>
                <w:noProof/>
                <w:color w:val="000000"/>
                <w:sz w:val="20"/>
              </w:rPr>
              <w:t>207</w:t>
            </w:r>
          </w:p>
        </w:tc>
        <w:tc>
          <w:tcPr>
            <w:tcW w:w="850" w:type="dxa"/>
            <w:tcBorders>
              <w:top w:val="nil"/>
              <w:left w:val="nil"/>
              <w:bottom w:val="single" w:sz="4" w:space="0" w:color="auto"/>
              <w:right w:val="single" w:sz="4" w:space="0" w:color="auto"/>
            </w:tcBorders>
            <w:shd w:val="clear" w:color="auto" w:fill="C6EFCE"/>
            <w:noWrap/>
          </w:tcPr>
          <w:p w14:paraId="358BC513" w14:textId="77777777" w:rsidR="00733DCA" w:rsidRDefault="00733DCA" w:rsidP="0001477B">
            <w:pPr>
              <w:jc w:val="center"/>
              <w:rPr>
                <w:rFonts w:ascii="Times New Roman" w:hAnsi="Times New Roman" w:cs="Times New Roman"/>
                <w:noProof/>
                <w:sz w:val="20"/>
                <w:szCs w:val="20"/>
              </w:rPr>
            </w:pPr>
            <w:r>
              <w:rPr>
                <w:noProof/>
                <w:color w:val="000000"/>
                <w:sz w:val="20"/>
              </w:rPr>
              <w:t>C2.4. R1</w:t>
            </w:r>
          </w:p>
        </w:tc>
        <w:tc>
          <w:tcPr>
            <w:tcW w:w="850" w:type="dxa"/>
            <w:tcBorders>
              <w:top w:val="nil"/>
              <w:left w:val="nil"/>
              <w:bottom w:val="single" w:sz="4" w:space="0" w:color="auto"/>
              <w:right w:val="single" w:sz="4" w:space="0" w:color="auto"/>
            </w:tcBorders>
            <w:shd w:val="clear" w:color="auto" w:fill="C6EFCE"/>
            <w:noWrap/>
          </w:tcPr>
          <w:p w14:paraId="4E143DD2"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098" w:type="dxa"/>
            <w:tcBorders>
              <w:top w:val="nil"/>
              <w:left w:val="nil"/>
              <w:bottom w:val="single" w:sz="4" w:space="0" w:color="auto"/>
              <w:right w:val="single" w:sz="4" w:space="0" w:color="auto"/>
            </w:tcBorders>
            <w:shd w:val="clear" w:color="auto" w:fill="C6EFCE"/>
            <w:noWrap/>
          </w:tcPr>
          <w:p w14:paraId="79948BE9" w14:textId="77777777" w:rsidR="00733DCA" w:rsidRDefault="00733DCA" w:rsidP="0001477B">
            <w:pPr>
              <w:rPr>
                <w:rFonts w:ascii="Times New Roman" w:hAnsi="Times New Roman" w:cs="Times New Roman"/>
                <w:noProof/>
                <w:sz w:val="20"/>
                <w:szCs w:val="20"/>
              </w:rPr>
            </w:pPr>
            <w:r>
              <w:rPr>
                <w:noProof/>
                <w:color w:val="000000"/>
                <w:sz w:val="20"/>
              </w:rPr>
              <w:t xml:space="preserve">Donesena nova odluka Vlade o državnim poduzećima od posebnog interesa za Hrvatsku </w:t>
            </w:r>
          </w:p>
        </w:tc>
        <w:tc>
          <w:tcPr>
            <w:tcW w:w="1986" w:type="dxa"/>
            <w:tcBorders>
              <w:top w:val="nil"/>
              <w:left w:val="nil"/>
              <w:bottom w:val="single" w:sz="4" w:space="0" w:color="auto"/>
              <w:right w:val="single" w:sz="4" w:space="0" w:color="auto"/>
            </w:tcBorders>
            <w:shd w:val="clear" w:color="auto" w:fill="C6EFCE"/>
            <w:noWrap/>
          </w:tcPr>
          <w:p w14:paraId="52C855B1" w14:textId="77777777" w:rsidR="00733DCA" w:rsidRDefault="00733DCA" w:rsidP="0001477B">
            <w:pPr>
              <w:rPr>
                <w:rFonts w:ascii="Times New Roman" w:hAnsi="Times New Roman" w:cs="Times New Roman"/>
                <w:noProof/>
                <w:sz w:val="20"/>
                <w:szCs w:val="20"/>
              </w:rPr>
            </w:pPr>
            <w:r>
              <w:rPr>
                <w:noProof/>
                <w:color w:val="000000"/>
                <w:sz w:val="20"/>
              </w:rPr>
              <w:t>Objava revidiranog popisa poduzeća u državnom vlasništvu od posebnog interesa za Hrvatsku u skladu s utvrđenim kriterijima</w:t>
            </w:r>
          </w:p>
        </w:tc>
        <w:tc>
          <w:tcPr>
            <w:tcW w:w="851" w:type="dxa"/>
            <w:tcBorders>
              <w:top w:val="nil"/>
              <w:left w:val="nil"/>
              <w:bottom w:val="single" w:sz="4" w:space="0" w:color="auto"/>
              <w:right w:val="single" w:sz="4" w:space="0" w:color="auto"/>
            </w:tcBorders>
            <w:shd w:val="clear" w:color="auto" w:fill="C6EFCE"/>
            <w:noWrap/>
          </w:tcPr>
          <w:p w14:paraId="6A8C3E71"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74" w:type="dxa"/>
            <w:tcBorders>
              <w:top w:val="nil"/>
              <w:left w:val="nil"/>
              <w:bottom w:val="single" w:sz="4" w:space="0" w:color="auto"/>
              <w:right w:val="single" w:sz="4" w:space="0" w:color="auto"/>
            </w:tcBorders>
            <w:shd w:val="clear" w:color="auto" w:fill="C6EFCE"/>
            <w:noWrap/>
          </w:tcPr>
          <w:p w14:paraId="21445868"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969" w:type="dxa"/>
            <w:tcBorders>
              <w:top w:val="nil"/>
              <w:left w:val="nil"/>
              <w:bottom w:val="single" w:sz="4" w:space="0" w:color="auto"/>
              <w:right w:val="single" w:sz="4" w:space="0" w:color="auto"/>
            </w:tcBorders>
            <w:shd w:val="clear" w:color="auto" w:fill="C6EFCE"/>
            <w:noWrap/>
          </w:tcPr>
          <w:p w14:paraId="56006213"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nil"/>
              <w:left w:val="nil"/>
              <w:bottom w:val="single" w:sz="4" w:space="0" w:color="auto"/>
              <w:right w:val="single" w:sz="4" w:space="0" w:color="auto"/>
            </w:tcBorders>
            <w:shd w:val="clear" w:color="auto" w:fill="C6EFCE"/>
            <w:noWrap/>
          </w:tcPr>
          <w:p w14:paraId="67BF5A00"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992" w:type="dxa"/>
            <w:tcBorders>
              <w:top w:val="nil"/>
              <w:left w:val="nil"/>
              <w:bottom w:val="single" w:sz="4" w:space="0" w:color="auto"/>
              <w:right w:val="single" w:sz="4" w:space="0" w:color="auto"/>
            </w:tcBorders>
            <w:shd w:val="clear" w:color="auto" w:fill="C6EFCE"/>
            <w:noWrap/>
          </w:tcPr>
          <w:p w14:paraId="32ECAFCE" w14:textId="77777777" w:rsidR="00733DCA" w:rsidRDefault="00733DCA" w:rsidP="0001477B">
            <w:pPr>
              <w:jc w:val="center"/>
              <w:rPr>
                <w:rFonts w:ascii="Times New Roman" w:hAnsi="Times New Roman" w:cs="Times New Roman"/>
                <w:noProof/>
                <w:sz w:val="20"/>
                <w:szCs w:val="20"/>
              </w:rPr>
            </w:pPr>
            <w:r>
              <w:rPr>
                <w:noProof/>
                <w:color w:val="000000"/>
                <w:sz w:val="20"/>
              </w:rPr>
              <w:t>2021.</w:t>
            </w:r>
          </w:p>
        </w:tc>
        <w:tc>
          <w:tcPr>
            <w:tcW w:w="4111" w:type="dxa"/>
            <w:tcBorders>
              <w:top w:val="nil"/>
              <w:left w:val="nil"/>
              <w:bottom w:val="single" w:sz="4" w:space="0" w:color="auto"/>
              <w:right w:val="single" w:sz="4" w:space="0" w:color="auto"/>
            </w:tcBorders>
            <w:shd w:val="clear" w:color="auto" w:fill="C6EFCE"/>
            <w:noWrap/>
          </w:tcPr>
          <w:p w14:paraId="3D214AB4" w14:textId="77777777" w:rsidR="00733DCA" w:rsidRDefault="00733DCA" w:rsidP="00733DCA">
            <w:pPr>
              <w:rPr>
                <w:rFonts w:ascii="Times New Roman" w:hAnsi="Times New Roman" w:cs="Times New Roman"/>
                <w:noProof/>
                <w:sz w:val="20"/>
                <w:szCs w:val="20"/>
              </w:rPr>
            </w:pPr>
            <w:r>
              <w:rPr>
                <w:noProof/>
                <w:color w:val="000000"/>
                <w:sz w:val="20"/>
              </w:rPr>
              <w:t xml:space="preserve">Vlada će donijeti i objaviti novu Odluku kojom će se utvrditi novi popis poduzeća u državnom vlasništvu od posebnog interesa za Hrvatsku. Odluka će uključivati obrazloženje zašto je određeno poduzeće zadržano na tom popisu. Poduzeća koja se nalaze na popisu, a za koja nije dokazano postojanje javnog interesa, bit će prenesena u portfelj Centra za restrukturiranje i prodaju (CERP) s ciljem monetizacije imovine. . </w:t>
            </w:r>
            <w:r>
              <w:rPr>
                <w:noProof/>
                <w:color w:val="000000"/>
                <w:sz w:val="20"/>
              </w:rPr>
              <w:br/>
              <w:t xml:space="preserve"> Time će se portfelj financijske imovine Hrvatske jasno razdvojiti na dio od posebnog interesa, koji će stoga ostati u državnom vlasništvu, i dio koji nije od posebnog interesa za Hrvatsku, koji će se stoga monetizirati.</w:t>
            </w:r>
          </w:p>
        </w:tc>
      </w:tr>
      <w:tr w:rsidR="00215DFD" w14:paraId="1ADF7423" w14:textId="77777777" w:rsidTr="00E942E9">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27575021" w14:textId="77777777" w:rsidR="00733DCA" w:rsidRDefault="00733DCA" w:rsidP="0001477B">
            <w:pPr>
              <w:jc w:val="center"/>
              <w:rPr>
                <w:rFonts w:ascii="Times New Roman" w:hAnsi="Times New Roman" w:cs="Times New Roman"/>
                <w:noProof/>
                <w:sz w:val="20"/>
                <w:szCs w:val="20"/>
              </w:rPr>
            </w:pPr>
            <w:r>
              <w:rPr>
                <w:noProof/>
                <w:color w:val="000000"/>
                <w:sz w:val="20"/>
              </w:rPr>
              <w:t>208</w:t>
            </w:r>
          </w:p>
        </w:tc>
        <w:tc>
          <w:tcPr>
            <w:tcW w:w="850" w:type="dxa"/>
            <w:tcBorders>
              <w:top w:val="nil"/>
              <w:left w:val="nil"/>
              <w:bottom w:val="single" w:sz="4" w:space="0" w:color="auto"/>
              <w:right w:val="single" w:sz="4" w:space="0" w:color="auto"/>
            </w:tcBorders>
            <w:shd w:val="clear" w:color="auto" w:fill="C6EFCE"/>
            <w:noWrap/>
          </w:tcPr>
          <w:p w14:paraId="5BA9CB57" w14:textId="77777777" w:rsidR="00733DCA" w:rsidRDefault="00733DCA" w:rsidP="0001477B">
            <w:pPr>
              <w:jc w:val="center"/>
              <w:rPr>
                <w:rFonts w:ascii="Times New Roman" w:hAnsi="Times New Roman" w:cs="Times New Roman"/>
                <w:noProof/>
                <w:sz w:val="20"/>
                <w:szCs w:val="20"/>
              </w:rPr>
            </w:pPr>
            <w:r>
              <w:rPr>
                <w:noProof/>
                <w:color w:val="000000"/>
                <w:sz w:val="20"/>
              </w:rPr>
              <w:t>C2.4. R2</w:t>
            </w:r>
          </w:p>
        </w:tc>
        <w:tc>
          <w:tcPr>
            <w:tcW w:w="850" w:type="dxa"/>
            <w:tcBorders>
              <w:top w:val="nil"/>
              <w:left w:val="nil"/>
              <w:bottom w:val="single" w:sz="4" w:space="0" w:color="auto"/>
              <w:right w:val="single" w:sz="4" w:space="0" w:color="auto"/>
            </w:tcBorders>
            <w:shd w:val="clear" w:color="auto" w:fill="C6EFCE"/>
            <w:noWrap/>
          </w:tcPr>
          <w:p w14:paraId="1BEAC224"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098" w:type="dxa"/>
            <w:tcBorders>
              <w:top w:val="nil"/>
              <w:left w:val="nil"/>
              <w:bottom w:val="single" w:sz="4" w:space="0" w:color="auto"/>
              <w:right w:val="single" w:sz="4" w:space="0" w:color="auto"/>
            </w:tcBorders>
            <w:shd w:val="clear" w:color="auto" w:fill="C6EFCE"/>
            <w:noWrap/>
          </w:tcPr>
          <w:p w14:paraId="1826AA62" w14:textId="77777777" w:rsidR="00733DCA" w:rsidRDefault="00733DCA" w:rsidP="0001477B">
            <w:pPr>
              <w:rPr>
                <w:rFonts w:ascii="Times New Roman" w:hAnsi="Times New Roman" w:cs="Times New Roman"/>
                <w:noProof/>
                <w:sz w:val="20"/>
                <w:szCs w:val="20"/>
              </w:rPr>
            </w:pPr>
            <w:r>
              <w:rPr>
                <w:noProof/>
                <w:color w:val="000000"/>
                <w:sz w:val="20"/>
              </w:rPr>
              <w:t xml:space="preserve"> Novi pravni okvir o poduzećima u državnom vlasništvu, u koji su ugrađene preporuke OECD-a</w:t>
            </w:r>
          </w:p>
        </w:tc>
        <w:tc>
          <w:tcPr>
            <w:tcW w:w="1986" w:type="dxa"/>
            <w:tcBorders>
              <w:top w:val="nil"/>
              <w:left w:val="nil"/>
              <w:bottom w:val="single" w:sz="4" w:space="0" w:color="auto"/>
              <w:right w:val="single" w:sz="4" w:space="0" w:color="auto"/>
            </w:tcBorders>
            <w:shd w:val="clear" w:color="auto" w:fill="C6EFCE"/>
            <w:noWrap/>
          </w:tcPr>
          <w:p w14:paraId="1E633A22" w14:textId="77777777" w:rsidR="00733DCA" w:rsidRDefault="00733DCA" w:rsidP="0001477B">
            <w:pPr>
              <w:rPr>
                <w:rFonts w:ascii="Times New Roman" w:hAnsi="Times New Roman" w:cs="Times New Roman"/>
                <w:noProof/>
                <w:sz w:val="20"/>
                <w:szCs w:val="20"/>
              </w:rPr>
            </w:pPr>
            <w:r>
              <w:rPr>
                <w:noProof/>
                <w:color w:val="000000"/>
                <w:sz w:val="20"/>
              </w:rPr>
              <w:t xml:space="preserve">Odredba o stupanju na snagu Zakona o državnim poduzećima i odgovarajućih odluka i odredaba </w:t>
            </w:r>
          </w:p>
        </w:tc>
        <w:tc>
          <w:tcPr>
            <w:tcW w:w="851" w:type="dxa"/>
            <w:tcBorders>
              <w:top w:val="nil"/>
              <w:left w:val="nil"/>
              <w:bottom w:val="single" w:sz="4" w:space="0" w:color="auto"/>
              <w:right w:val="single" w:sz="4" w:space="0" w:color="auto"/>
            </w:tcBorders>
            <w:shd w:val="clear" w:color="auto" w:fill="C6EFCE"/>
            <w:noWrap/>
          </w:tcPr>
          <w:p w14:paraId="5FB9FD98"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74" w:type="dxa"/>
            <w:tcBorders>
              <w:top w:val="nil"/>
              <w:left w:val="nil"/>
              <w:bottom w:val="single" w:sz="4" w:space="0" w:color="auto"/>
              <w:right w:val="single" w:sz="4" w:space="0" w:color="auto"/>
            </w:tcBorders>
            <w:shd w:val="clear" w:color="auto" w:fill="C6EFCE"/>
            <w:noWrap/>
          </w:tcPr>
          <w:p w14:paraId="72654701" w14:textId="44D086D5" w:rsidR="00733DCA" w:rsidRDefault="00733DCA" w:rsidP="00E942E9">
            <w:pPr>
              <w:jc w:val="center"/>
              <w:rPr>
                <w:rFonts w:ascii="Times New Roman" w:hAnsi="Times New Roman" w:cs="Times New Roman"/>
                <w:noProof/>
                <w:sz w:val="20"/>
                <w:szCs w:val="20"/>
              </w:rPr>
            </w:pPr>
            <w:r>
              <w:rPr>
                <w:noProof/>
                <w:color w:val="000000"/>
                <w:sz w:val="20"/>
              </w:rPr>
              <w:t> </w:t>
            </w:r>
          </w:p>
          <w:p w14:paraId="3261E08F" w14:textId="77777777" w:rsidR="00733DCA" w:rsidRDefault="00733DCA" w:rsidP="0001477B">
            <w:pPr>
              <w:rPr>
                <w:rFonts w:ascii="Times New Roman" w:hAnsi="Times New Roman" w:cs="Times New Roman"/>
                <w:noProof/>
                <w:sz w:val="20"/>
                <w:szCs w:val="20"/>
              </w:rPr>
            </w:pPr>
          </w:p>
        </w:tc>
        <w:tc>
          <w:tcPr>
            <w:tcW w:w="969" w:type="dxa"/>
            <w:tcBorders>
              <w:top w:val="nil"/>
              <w:left w:val="nil"/>
              <w:bottom w:val="single" w:sz="4" w:space="0" w:color="auto"/>
              <w:right w:val="single" w:sz="4" w:space="0" w:color="auto"/>
            </w:tcBorders>
            <w:shd w:val="clear" w:color="auto" w:fill="C6EFCE"/>
            <w:noWrap/>
          </w:tcPr>
          <w:p w14:paraId="6FF096B4"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nil"/>
              <w:left w:val="nil"/>
              <w:bottom w:val="single" w:sz="4" w:space="0" w:color="auto"/>
              <w:right w:val="single" w:sz="4" w:space="0" w:color="auto"/>
            </w:tcBorders>
            <w:shd w:val="clear" w:color="auto" w:fill="C6EFCE"/>
            <w:noWrap/>
          </w:tcPr>
          <w:p w14:paraId="7BD25F8A" w14:textId="77777777" w:rsidR="00733DCA" w:rsidRDefault="00733DCA" w:rsidP="0001477B">
            <w:pPr>
              <w:jc w:val="center"/>
              <w:rPr>
                <w:rFonts w:ascii="Times New Roman" w:hAnsi="Times New Roman" w:cs="Times New Roman"/>
                <w:noProof/>
                <w:sz w:val="20"/>
                <w:szCs w:val="20"/>
              </w:rPr>
            </w:pPr>
            <w:r>
              <w:rPr>
                <w:noProof/>
                <w:color w:val="000000"/>
                <w:sz w:val="20"/>
              </w:rPr>
              <w:t>1.</w:t>
            </w:r>
          </w:p>
        </w:tc>
        <w:tc>
          <w:tcPr>
            <w:tcW w:w="992" w:type="dxa"/>
            <w:tcBorders>
              <w:top w:val="nil"/>
              <w:left w:val="nil"/>
              <w:bottom w:val="single" w:sz="4" w:space="0" w:color="auto"/>
              <w:right w:val="single" w:sz="4" w:space="0" w:color="auto"/>
            </w:tcBorders>
            <w:shd w:val="clear" w:color="auto" w:fill="C6EFCE"/>
            <w:noWrap/>
          </w:tcPr>
          <w:p w14:paraId="50A81D8E" w14:textId="77777777" w:rsidR="00733DCA" w:rsidRDefault="00733DCA" w:rsidP="0001477B">
            <w:pPr>
              <w:jc w:val="center"/>
              <w:rPr>
                <w:rFonts w:ascii="Times New Roman" w:hAnsi="Times New Roman" w:cs="Times New Roman"/>
                <w:noProof/>
                <w:sz w:val="20"/>
                <w:szCs w:val="20"/>
              </w:rPr>
            </w:pPr>
            <w:r>
              <w:rPr>
                <w:noProof/>
                <w:color w:val="000000"/>
                <w:sz w:val="20"/>
              </w:rPr>
              <w:t>2024.</w:t>
            </w:r>
          </w:p>
        </w:tc>
        <w:tc>
          <w:tcPr>
            <w:tcW w:w="4111" w:type="dxa"/>
            <w:tcBorders>
              <w:top w:val="nil"/>
              <w:left w:val="nil"/>
              <w:bottom w:val="single" w:sz="4" w:space="0" w:color="auto"/>
              <w:right w:val="single" w:sz="4" w:space="0" w:color="auto"/>
            </w:tcBorders>
            <w:shd w:val="clear" w:color="auto" w:fill="C6EFCE"/>
            <w:noWrap/>
          </w:tcPr>
          <w:p w14:paraId="5C82A421" w14:textId="77777777" w:rsidR="00733DCA" w:rsidRDefault="00733DCA" w:rsidP="0001477B">
            <w:pPr>
              <w:rPr>
                <w:rFonts w:ascii="Times New Roman" w:hAnsi="Times New Roman" w:cs="Times New Roman"/>
                <w:noProof/>
                <w:sz w:val="20"/>
                <w:szCs w:val="20"/>
              </w:rPr>
            </w:pPr>
            <w:r>
              <w:rPr>
                <w:noProof/>
                <w:color w:val="000000"/>
                <w:sz w:val="20"/>
              </w:rPr>
              <w:t>Novi pravni okvir za upravljanje poduzećima u državnom vlasništvu uključivat će:</w:t>
            </w:r>
            <w:r>
              <w:rPr>
                <w:noProof/>
                <w:color w:val="000000"/>
                <w:sz w:val="20"/>
              </w:rPr>
              <w:br/>
              <w:t>i. novi zakon, koji će sadržavati odredbe o pridržavanju smjernica OECD-a o korporativnom upravljanju poduzećima u državnom vlasništvu, odnosno službenih OECD-ovih preporuka o korporativnom upravljanju poduzećima u državnom vlasništvu u Hrvatskoj, i kojim će se uspostaviti jedinstveni regulatorni okvir u području korporativnog upravljanja poduzećima u državnom vlasništvu u Hrvatskoj.</w:t>
            </w:r>
            <w:r>
              <w:rPr>
                <w:noProof/>
                <w:color w:val="000000"/>
                <w:sz w:val="20"/>
              </w:rPr>
              <w:br/>
              <w:t xml:space="preserve">Novim regulatornim okvirom uspostavit će se i središnja koordinacijska jedinica s ciljem učinkovitijeg srednjoročnog provođenja vlasničke politike odnosno horizontalne koordinacije nadležnih tijela zaduženih za obavljanje funkcija vlasničkih ovlasti. </w:t>
            </w:r>
            <w:r>
              <w:rPr>
                <w:noProof/>
                <w:color w:val="000000"/>
                <w:sz w:val="20"/>
              </w:rPr>
              <w:br/>
              <w:t>Novi zakon također će sadržavati i odredbe kojima se jačaju autonomija i neovisnost odbora i utvrđuje da a) država mora nominirati/imenovati članove nadzornog odbora državnih poduzeća u roku od 3 mjeseca od upražnjenja radnog mjesta, i b) da resorno ministarstvo predloži kandidata Vladi na temelju preporuke središnje koordinacijske jedinice.</w:t>
            </w:r>
            <w:r>
              <w:rPr>
                <w:noProof/>
                <w:color w:val="000000"/>
                <w:sz w:val="20"/>
              </w:rPr>
              <w:br/>
              <w:t xml:space="preserve">ii. odluku Vlade o uspostavi središnje koordinacijske jedinice za provođenje vlasničke politike s odgovarajućim mandatom i resursima potrebnima za učinkovito ispunjavanje koordinacijske uloge. Jedinca će razviti standarde za korporativno upravljanje državnim poduzećima i nadzirati njihovo poštovanje; nadgledati uspješnost državnih poduzeća i sudjelovati u redovnom javnom izvještavanju. </w:t>
            </w:r>
            <w:r>
              <w:rPr>
                <w:noProof/>
                <w:color w:val="000000"/>
                <w:sz w:val="20"/>
              </w:rPr>
              <w:br/>
              <w:t>iii. vlasničku politiku u kojoj će se: jasno navesti razlozi i ciljevi za zadržavanje u državnom vlasništvu svih poduzeća koja su u punom ili većinskom državnom vlasništvu i sve nefinancijske imovine; jasno navesti svi zahtjevi korporativnog upravljanja i objavljivanja koji se primjenjuju na poduzeća u državnom vlasništvu; utvrditi obveza i učestalost revizije popisa poduzeća u državnom vlasništvu od posebnog interesa za Hrvatsku.</w:t>
            </w:r>
          </w:p>
        </w:tc>
      </w:tr>
      <w:tr w:rsidR="00215DFD" w14:paraId="64370356" w14:textId="77777777" w:rsidTr="00E942E9">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097716A5" w14:textId="77777777" w:rsidR="00733DCA" w:rsidRDefault="00733DCA" w:rsidP="0001477B">
            <w:pPr>
              <w:jc w:val="center"/>
              <w:rPr>
                <w:rFonts w:ascii="Times New Roman" w:hAnsi="Times New Roman" w:cs="Times New Roman"/>
                <w:noProof/>
                <w:sz w:val="20"/>
                <w:szCs w:val="20"/>
              </w:rPr>
            </w:pPr>
            <w:r>
              <w:rPr>
                <w:noProof/>
                <w:color w:val="000000"/>
                <w:sz w:val="20"/>
              </w:rPr>
              <w:t>209</w:t>
            </w:r>
          </w:p>
        </w:tc>
        <w:tc>
          <w:tcPr>
            <w:tcW w:w="850" w:type="dxa"/>
            <w:tcBorders>
              <w:top w:val="nil"/>
              <w:left w:val="nil"/>
              <w:bottom w:val="single" w:sz="4" w:space="0" w:color="auto"/>
              <w:right w:val="single" w:sz="4" w:space="0" w:color="auto"/>
            </w:tcBorders>
            <w:shd w:val="clear" w:color="auto" w:fill="C6EFCE"/>
            <w:noWrap/>
          </w:tcPr>
          <w:p w14:paraId="38AC66B3" w14:textId="77777777" w:rsidR="00733DCA" w:rsidRDefault="00733DCA" w:rsidP="0001477B">
            <w:pPr>
              <w:jc w:val="center"/>
              <w:rPr>
                <w:rFonts w:ascii="Times New Roman" w:hAnsi="Times New Roman" w:cs="Times New Roman"/>
                <w:noProof/>
                <w:sz w:val="20"/>
                <w:szCs w:val="20"/>
              </w:rPr>
            </w:pPr>
            <w:r>
              <w:rPr>
                <w:noProof/>
                <w:color w:val="000000"/>
                <w:sz w:val="20"/>
              </w:rPr>
              <w:t>C2.4. R3</w:t>
            </w:r>
          </w:p>
        </w:tc>
        <w:tc>
          <w:tcPr>
            <w:tcW w:w="850" w:type="dxa"/>
            <w:tcBorders>
              <w:top w:val="nil"/>
              <w:left w:val="nil"/>
              <w:bottom w:val="single" w:sz="4" w:space="0" w:color="auto"/>
              <w:right w:val="single" w:sz="4" w:space="0" w:color="auto"/>
            </w:tcBorders>
            <w:shd w:val="clear" w:color="auto" w:fill="C6EFCE"/>
            <w:noWrap/>
          </w:tcPr>
          <w:p w14:paraId="48ECA1B1"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098" w:type="dxa"/>
            <w:tcBorders>
              <w:top w:val="nil"/>
              <w:left w:val="nil"/>
              <w:bottom w:val="single" w:sz="4" w:space="0" w:color="auto"/>
              <w:right w:val="single" w:sz="4" w:space="0" w:color="auto"/>
            </w:tcBorders>
            <w:shd w:val="clear" w:color="auto" w:fill="C6EFCE"/>
            <w:noWrap/>
          </w:tcPr>
          <w:p w14:paraId="3903D3C6" w14:textId="77777777" w:rsidR="00733DCA" w:rsidRDefault="00733DCA" w:rsidP="0001477B">
            <w:pPr>
              <w:rPr>
                <w:rFonts w:ascii="Times New Roman" w:hAnsi="Times New Roman" w:cs="Times New Roman"/>
                <w:noProof/>
                <w:sz w:val="20"/>
                <w:szCs w:val="20"/>
              </w:rPr>
            </w:pPr>
            <w:r>
              <w:rPr>
                <w:noProof/>
                <w:color w:val="000000"/>
                <w:sz w:val="20"/>
              </w:rPr>
              <w:t>Plan osposobljavanja za resorna ministarstva i središnje koordinacijske jedinice u aktivnostima korporativnog upravljanja</w:t>
            </w:r>
          </w:p>
        </w:tc>
        <w:tc>
          <w:tcPr>
            <w:tcW w:w="1986" w:type="dxa"/>
            <w:tcBorders>
              <w:top w:val="nil"/>
              <w:left w:val="nil"/>
              <w:bottom w:val="single" w:sz="4" w:space="0" w:color="auto"/>
              <w:right w:val="single" w:sz="4" w:space="0" w:color="auto"/>
            </w:tcBorders>
            <w:shd w:val="clear" w:color="auto" w:fill="C6EFCE"/>
            <w:noWrap/>
          </w:tcPr>
          <w:p w14:paraId="62E02FEA" w14:textId="77777777" w:rsidR="00733DCA" w:rsidRDefault="00733DCA" w:rsidP="0001477B">
            <w:pPr>
              <w:rPr>
                <w:rFonts w:ascii="Times New Roman" w:hAnsi="Times New Roman" w:cs="Times New Roman"/>
                <w:noProof/>
                <w:sz w:val="20"/>
                <w:szCs w:val="20"/>
              </w:rPr>
            </w:pPr>
            <w:r>
              <w:rPr>
                <w:noProof/>
                <w:color w:val="000000"/>
                <w:sz w:val="20"/>
              </w:rPr>
              <w:t xml:space="preserve"> </w:t>
            </w:r>
          </w:p>
        </w:tc>
        <w:tc>
          <w:tcPr>
            <w:tcW w:w="851" w:type="dxa"/>
            <w:tcBorders>
              <w:top w:val="nil"/>
              <w:left w:val="nil"/>
              <w:bottom w:val="single" w:sz="4" w:space="0" w:color="auto"/>
              <w:right w:val="single" w:sz="4" w:space="0" w:color="auto"/>
            </w:tcBorders>
            <w:shd w:val="clear" w:color="auto" w:fill="C6EFCE"/>
            <w:noWrap/>
          </w:tcPr>
          <w:p w14:paraId="4D9B0DCE" w14:textId="77777777" w:rsidR="00733DCA" w:rsidRDefault="00733DCA" w:rsidP="0001477B">
            <w:pPr>
              <w:jc w:val="center"/>
              <w:rPr>
                <w:rFonts w:ascii="Times New Roman" w:hAnsi="Times New Roman" w:cs="Times New Roman"/>
                <w:noProof/>
                <w:sz w:val="20"/>
                <w:szCs w:val="20"/>
              </w:rPr>
            </w:pPr>
            <w:r>
              <w:rPr>
                <w:noProof/>
                <w:color w:val="000000"/>
                <w:sz w:val="20"/>
              </w:rPr>
              <w:t>Broj</w:t>
            </w:r>
          </w:p>
        </w:tc>
        <w:tc>
          <w:tcPr>
            <w:tcW w:w="874" w:type="dxa"/>
            <w:tcBorders>
              <w:top w:val="nil"/>
              <w:left w:val="nil"/>
              <w:bottom w:val="single" w:sz="4" w:space="0" w:color="auto"/>
              <w:right w:val="single" w:sz="4" w:space="0" w:color="auto"/>
            </w:tcBorders>
            <w:shd w:val="clear" w:color="auto" w:fill="C6EFCE"/>
            <w:noWrap/>
          </w:tcPr>
          <w:p w14:paraId="506D83F5" w14:textId="77777777" w:rsidR="00733DCA" w:rsidRDefault="00733DCA" w:rsidP="0001477B">
            <w:pPr>
              <w:jc w:val="center"/>
              <w:rPr>
                <w:rFonts w:ascii="Times New Roman" w:hAnsi="Times New Roman" w:cs="Times New Roman"/>
                <w:noProof/>
                <w:sz w:val="20"/>
                <w:szCs w:val="20"/>
              </w:rPr>
            </w:pPr>
            <w:r>
              <w:rPr>
                <w:noProof/>
                <w:color w:val="000000"/>
                <w:sz w:val="20"/>
              </w:rPr>
              <w:t>0</w:t>
            </w:r>
          </w:p>
        </w:tc>
        <w:tc>
          <w:tcPr>
            <w:tcW w:w="969" w:type="dxa"/>
            <w:tcBorders>
              <w:top w:val="nil"/>
              <w:left w:val="nil"/>
              <w:bottom w:val="single" w:sz="4" w:space="0" w:color="auto"/>
              <w:right w:val="single" w:sz="4" w:space="0" w:color="auto"/>
            </w:tcBorders>
            <w:shd w:val="clear" w:color="auto" w:fill="C6EFCE"/>
            <w:noWrap/>
          </w:tcPr>
          <w:p w14:paraId="146C2BF8" w14:textId="77777777" w:rsidR="00733DCA" w:rsidRDefault="00733DCA" w:rsidP="0001477B">
            <w:pPr>
              <w:jc w:val="center"/>
              <w:rPr>
                <w:rFonts w:ascii="Times New Roman" w:hAnsi="Times New Roman" w:cs="Times New Roman"/>
                <w:noProof/>
                <w:sz w:val="20"/>
                <w:szCs w:val="20"/>
              </w:rPr>
            </w:pPr>
            <w:r>
              <w:rPr>
                <w:noProof/>
                <w:color w:val="000000"/>
                <w:sz w:val="20"/>
              </w:rPr>
              <w:t>40</w:t>
            </w:r>
          </w:p>
        </w:tc>
        <w:tc>
          <w:tcPr>
            <w:tcW w:w="567" w:type="dxa"/>
            <w:tcBorders>
              <w:top w:val="nil"/>
              <w:left w:val="nil"/>
              <w:bottom w:val="single" w:sz="4" w:space="0" w:color="auto"/>
              <w:right w:val="single" w:sz="4" w:space="0" w:color="auto"/>
            </w:tcBorders>
            <w:shd w:val="clear" w:color="auto" w:fill="C6EFCE"/>
            <w:noWrap/>
          </w:tcPr>
          <w:p w14:paraId="14DF7408" w14:textId="77777777" w:rsidR="00733DCA" w:rsidRDefault="00733DCA" w:rsidP="0001477B">
            <w:pPr>
              <w:jc w:val="center"/>
              <w:rPr>
                <w:rFonts w:ascii="Times New Roman" w:hAnsi="Times New Roman" w:cs="Times New Roman"/>
                <w:noProof/>
                <w:sz w:val="20"/>
                <w:szCs w:val="20"/>
              </w:rPr>
            </w:pPr>
            <w:r>
              <w:rPr>
                <w:noProof/>
                <w:color w:val="000000"/>
                <w:sz w:val="20"/>
              </w:rPr>
              <w:t>2.</w:t>
            </w:r>
          </w:p>
        </w:tc>
        <w:tc>
          <w:tcPr>
            <w:tcW w:w="992" w:type="dxa"/>
            <w:tcBorders>
              <w:top w:val="nil"/>
              <w:left w:val="nil"/>
              <w:bottom w:val="single" w:sz="4" w:space="0" w:color="auto"/>
              <w:right w:val="single" w:sz="4" w:space="0" w:color="auto"/>
            </w:tcBorders>
            <w:shd w:val="clear" w:color="auto" w:fill="C6EFCE"/>
            <w:noWrap/>
          </w:tcPr>
          <w:p w14:paraId="5B730D74" w14:textId="77777777" w:rsidR="00733DCA" w:rsidRDefault="00733DCA" w:rsidP="0001477B">
            <w:pPr>
              <w:jc w:val="center"/>
              <w:rPr>
                <w:rFonts w:ascii="Times New Roman" w:hAnsi="Times New Roman" w:cs="Times New Roman"/>
                <w:noProof/>
                <w:sz w:val="20"/>
                <w:szCs w:val="20"/>
              </w:rPr>
            </w:pPr>
            <w:r>
              <w:rPr>
                <w:noProof/>
                <w:color w:val="000000"/>
                <w:sz w:val="20"/>
              </w:rPr>
              <w:t>2026.</w:t>
            </w:r>
          </w:p>
        </w:tc>
        <w:tc>
          <w:tcPr>
            <w:tcW w:w="4111" w:type="dxa"/>
            <w:tcBorders>
              <w:top w:val="nil"/>
              <w:left w:val="nil"/>
              <w:bottom w:val="single" w:sz="4" w:space="0" w:color="auto"/>
              <w:right w:val="single" w:sz="4" w:space="0" w:color="auto"/>
            </w:tcBorders>
            <w:shd w:val="clear" w:color="auto" w:fill="C6EFCE"/>
            <w:noWrap/>
          </w:tcPr>
          <w:p w14:paraId="67D7FDF8" w14:textId="77777777" w:rsidR="00733DCA" w:rsidRDefault="00733DCA" w:rsidP="0001477B">
            <w:pPr>
              <w:rPr>
                <w:rFonts w:ascii="Times New Roman" w:hAnsi="Times New Roman" w:cs="Times New Roman"/>
                <w:noProof/>
                <w:sz w:val="20"/>
                <w:szCs w:val="20"/>
              </w:rPr>
            </w:pPr>
            <w:r>
              <w:rPr>
                <w:noProof/>
                <w:color w:val="000000"/>
                <w:sz w:val="20"/>
              </w:rPr>
              <w:t>Provest će se edukacije za barem 40 zaposlenika kojima će se obuhvatiti: novi regulatorni okvir za korporativno upravljanje; obrazovanje iz područja financija i računovodstva te upoznavanje s novim sustavom izvješćivanja; praćenje tehnoloških izmjena do kojih dolazi u pojedinim sektorima odnosno gospodarskim granama, kao i izmjene u regulativi, te korištenje različitih statističkih alata, modeliranje i automatizacija rada s bazama podataka. Glavni je cilj tog osposobljavanja promicanje dobrog upravljanja vlasništvom.</w:t>
            </w:r>
          </w:p>
        </w:tc>
      </w:tr>
      <w:tr w:rsidR="00215DFD" w14:paraId="2A11BBA8" w14:textId="77777777" w:rsidTr="00E942E9">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2D87D7D4" w14:textId="77777777" w:rsidR="00733DCA" w:rsidRDefault="00733DCA" w:rsidP="0001477B">
            <w:pPr>
              <w:jc w:val="center"/>
              <w:rPr>
                <w:rFonts w:ascii="Times New Roman" w:hAnsi="Times New Roman" w:cs="Times New Roman"/>
                <w:noProof/>
                <w:sz w:val="20"/>
                <w:szCs w:val="20"/>
              </w:rPr>
            </w:pPr>
            <w:r>
              <w:rPr>
                <w:noProof/>
                <w:color w:val="000000"/>
                <w:sz w:val="20"/>
              </w:rPr>
              <w:t>210</w:t>
            </w:r>
          </w:p>
        </w:tc>
        <w:tc>
          <w:tcPr>
            <w:tcW w:w="850" w:type="dxa"/>
            <w:tcBorders>
              <w:top w:val="nil"/>
              <w:left w:val="nil"/>
              <w:bottom w:val="single" w:sz="4" w:space="0" w:color="auto"/>
              <w:right w:val="single" w:sz="4" w:space="0" w:color="auto"/>
            </w:tcBorders>
            <w:shd w:val="clear" w:color="auto" w:fill="C6EFCE"/>
            <w:noWrap/>
          </w:tcPr>
          <w:p w14:paraId="4F6FB4D5" w14:textId="77777777" w:rsidR="00733DCA" w:rsidRDefault="00733DCA" w:rsidP="0001477B">
            <w:pPr>
              <w:jc w:val="center"/>
              <w:rPr>
                <w:rFonts w:ascii="Times New Roman" w:hAnsi="Times New Roman" w:cs="Times New Roman"/>
                <w:noProof/>
                <w:sz w:val="20"/>
                <w:szCs w:val="20"/>
              </w:rPr>
            </w:pPr>
            <w:r>
              <w:rPr>
                <w:noProof/>
                <w:color w:val="000000"/>
                <w:sz w:val="20"/>
              </w:rPr>
              <w:t>C2.4. R4</w:t>
            </w:r>
          </w:p>
        </w:tc>
        <w:tc>
          <w:tcPr>
            <w:tcW w:w="850" w:type="dxa"/>
            <w:tcBorders>
              <w:top w:val="nil"/>
              <w:left w:val="nil"/>
              <w:bottom w:val="single" w:sz="4" w:space="0" w:color="auto"/>
              <w:right w:val="single" w:sz="4" w:space="0" w:color="auto"/>
            </w:tcBorders>
            <w:shd w:val="clear" w:color="auto" w:fill="C6EFCE"/>
            <w:noWrap/>
          </w:tcPr>
          <w:p w14:paraId="0B7940E6"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098" w:type="dxa"/>
            <w:tcBorders>
              <w:top w:val="nil"/>
              <w:left w:val="nil"/>
              <w:bottom w:val="single" w:sz="4" w:space="0" w:color="auto"/>
              <w:right w:val="single" w:sz="4" w:space="0" w:color="auto"/>
            </w:tcBorders>
            <w:shd w:val="clear" w:color="auto" w:fill="C6EFCE"/>
            <w:noWrap/>
          </w:tcPr>
          <w:p w14:paraId="45BB7226" w14:textId="77777777" w:rsidR="00733DCA" w:rsidRDefault="00733DCA" w:rsidP="0001477B">
            <w:pPr>
              <w:rPr>
                <w:rFonts w:ascii="Times New Roman" w:hAnsi="Times New Roman" w:cs="Times New Roman"/>
                <w:noProof/>
                <w:sz w:val="20"/>
                <w:szCs w:val="20"/>
              </w:rPr>
            </w:pPr>
            <w:r>
              <w:rPr>
                <w:noProof/>
                <w:color w:val="000000"/>
                <w:sz w:val="20"/>
              </w:rPr>
              <w:t>Dovršetak prodaje 90 državnih poduzeća koja nisu od posebnog interesa za Republiku Hrvatsku i kojima upravlja CERP</w:t>
            </w:r>
          </w:p>
        </w:tc>
        <w:tc>
          <w:tcPr>
            <w:tcW w:w="1986" w:type="dxa"/>
            <w:tcBorders>
              <w:top w:val="nil"/>
              <w:left w:val="nil"/>
              <w:bottom w:val="single" w:sz="4" w:space="0" w:color="auto"/>
              <w:right w:val="single" w:sz="4" w:space="0" w:color="auto"/>
            </w:tcBorders>
            <w:shd w:val="clear" w:color="auto" w:fill="C6EFCE"/>
            <w:noWrap/>
          </w:tcPr>
          <w:p w14:paraId="4316F74B" w14:textId="77777777" w:rsidR="00733DCA" w:rsidRDefault="00733DCA" w:rsidP="0001477B">
            <w:pPr>
              <w:rPr>
                <w:rFonts w:ascii="Times New Roman" w:hAnsi="Times New Roman" w:cs="Times New Roman"/>
                <w:noProof/>
                <w:sz w:val="20"/>
                <w:szCs w:val="20"/>
              </w:rPr>
            </w:pPr>
            <w:r>
              <w:rPr>
                <w:noProof/>
                <w:color w:val="000000"/>
                <w:sz w:val="20"/>
              </w:rPr>
              <w:t xml:space="preserve"> </w:t>
            </w:r>
          </w:p>
        </w:tc>
        <w:tc>
          <w:tcPr>
            <w:tcW w:w="851" w:type="dxa"/>
            <w:tcBorders>
              <w:top w:val="nil"/>
              <w:left w:val="nil"/>
              <w:bottom w:val="single" w:sz="4" w:space="0" w:color="auto"/>
              <w:right w:val="single" w:sz="4" w:space="0" w:color="auto"/>
            </w:tcBorders>
            <w:shd w:val="clear" w:color="auto" w:fill="C6EFCE"/>
            <w:noWrap/>
          </w:tcPr>
          <w:p w14:paraId="6319C9C4" w14:textId="77777777" w:rsidR="00733DCA" w:rsidRDefault="00733DCA" w:rsidP="0001477B">
            <w:pPr>
              <w:jc w:val="center"/>
              <w:rPr>
                <w:rFonts w:ascii="Times New Roman" w:hAnsi="Times New Roman" w:cs="Times New Roman"/>
                <w:noProof/>
                <w:sz w:val="20"/>
                <w:szCs w:val="20"/>
              </w:rPr>
            </w:pPr>
            <w:r>
              <w:rPr>
                <w:noProof/>
                <w:color w:val="000000"/>
                <w:sz w:val="20"/>
              </w:rPr>
              <w:t>Broj</w:t>
            </w:r>
          </w:p>
        </w:tc>
        <w:tc>
          <w:tcPr>
            <w:tcW w:w="874" w:type="dxa"/>
            <w:tcBorders>
              <w:top w:val="nil"/>
              <w:left w:val="nil"/>
              <w:bottom w:val="single" w:sz="4" w:space="0" w:color="auto"/>
              <w:right w:val="single" w:sz="4" w:space="0" w:color="auto"/>
            </w:tcBorders>
            <w:shd w:val="clear" w:color="auto" w:fill="C6EFCE"/>
            <w:noWrap/>
          </w:tcPr>
          <w:p w14:paraId="6F5E5604" w14:textId="77777777" w:rsidR="00733DCA" w:rsidRDefault="00733DCA" w:rsidP="0001477B">
            <w:pPr>
              <w:jc w:val="center"/>
              <w:rPr>
                <w:rFonts w:ascii="Times New Roman" w:hAnsi="Times New Roman" w:cs="Times New Roman"/>
                <w:noProof/>
                <w:sz w:val="20"/>
                <w:szCs w:val="20"/>
              </w:rPr>
            </w:pPr>
            <w:r>
              <w:rPr>
                <w:noProof/>
                <w:color w:val="000000"/>
                <w:sz w:val="20"/>
              </w:rPr>
              <w:t>0</w:t>
            </w:r>
          </w:p>
        </w:tc>
        <w:tc>
          <w:tcPr>
            <w:tcW w:w="969" w:type="dxa"/>
            <w:tcBorders>
              <w:top w:val="nil"/>
              <w:left w:val="nil"/>
              <w:bottom w:val="single" w:sz="4" w:space="0" w:color="auto"/>
              <w:right w:val="single" w:sz="4" w:space="0" w:color="auto"/>
            </w:tcBorders>
            <w:shd w:val="clear" w:color="auto" w:fill="C6EFCE"/>
            <w:noWrap/>
          </w:tcPr>
          <w:p w14:paraId="1116D449" w14:textId="77777777" w:rsidR="00733DCA" w:rsidRDefault="00733DCA" w:rsidP="0001477B">
            <w:pPr>
              <w:jc w:val="center"/>
              <w:rPr>
                <w:rFonts w:ascii="Times New Roman" w:hAnsi="Times New Roman" w:cs="Times New Roman"/>
                <w:noProof/>
                <w:sz w:val="20"/>
                <w:szCs w:val="20"/>
              </w:rPr>
            </w:pPr>
            <w:r>
              <w:rPr>
                <w:noProof/>
                <w:color w:val="000000"/>
                <w:sz w:val="20"/>
              </w:rPr>
              <w:t>90</w:t>
            </w:r>
          </w:p>
        </w:tc>
        <w:tc>
          <w:tcPr>
            <w:tcW w:w="567" w:type="dxa"/>
            <w:tcBorders>
              <w:top w:val="nil"/>
              <w:left w:val="nil"/>
              <w:bottom w:val="single" w:sz="4" w:space="0" w:color="auto"/>
              <w:right w:val="single" w:sz="4" w:space="0" w:color="auto"/>
            </w:tcBorders>
            <w:shd w:val="clear" w:color="auto" w:fill="C6EFCE"/>
            <w:noWrap/>
          </w:tcPr>
          <w:p w14:paraId="33DABFAC" w14:textId="77777777" w:rsidR="00733DCA" w:rsidRDefault="00733DCA" w:rsidP="0001477B">
            <w:pPr>
              <w:jc w:val="center"/>
              <w:rPr>
                <w:rFonts w:ascii="Times New Roman" w:hAnsi="Times New Roman" w:cs="Times New Roman"/>
                <w:noProof/>
                <w:sz w:val="20"/>
                <w:szCs w:val="20"/>
              </w:rPr>
            </w:pPr>
            <w:r>
              <w:rPr>
                <w:noProof/>
                <w:color w:val="000000"/>
                <w:sz w:val="20"/>
              </w:rPr>
              <w:t>2.</w:t>
            </w:r>
          </w:p>
        </w:tc>
        <w:tc>
          <w:tcPr>
            <w:tcW w:w="992" w:type="dxa"/>
            <w:tcBorders>
              <w:top w:val="nil"/>
              <w:left w:val="nil"/>
              <w:bottom w:val="single" w:sz="4" w:space="0" w:color="auto"/>
              <w:right w:val="single" w:sz="4" w:space="0" w:color="auto"/>
            </w:tcBorders>
            <w:shd w:val="clear" w:color="auto" w:fill="C6EFCE"/>
            <w:noWrap/>
          </w:tcPr>
          <w:p w14:paraId="69F80A70" w14:textId="77777777" w:rsidR="00733DCA" w:rsidRDefault="00733DCA" w:rsidP="0001477B">
            <w:pPr>
              <w:jc w:val="center"/>
              <w:rPr>
                <w:rFonts w:ascii="Times New Roman" w:hAnsi="Times New Roman" w:cs="Times New Roman"/>
                <w:noProof/>
                <w:sz w:val="20"/>
                <w:szCs w:val="20"/>
              </w:rPr>
            </w:pPr>
            <w:r>
              <w:rPr>
                <w:noProof/>
                <w:color w:val="000000"/>
                <w:sz w:val="20"/>
              </w:rPr>
              <w:t>2026.</w:t>
            </w:r>
          </w:p>
        </w:tc>
        <w:tc>
          <w:tcPr>
            <w:tcW w:w="4111" w:type="dxa"/>
            <w:tcBorders>
              <w:top w:val="nil"/>
              <w:left w:val="nil"/>
              <w:bottom w:val="single" w:sz="4" w:space="0" w:color="auto"/>
              <w:right w:val="single" w:sz="4" w:space="0" w:color="auto"/>
            </w:tcBorders>
            <w:shd w:val="clear" w:color="auto" w:fill="C6EFCE"/>
            <w:noWrap/>
          </w:tcPr>
          <w:p w14:paraId="6BB56C89" w14:textId="77777777" w:rsidR="00733DCA" w:rsidRDefault="00733DCA" w:rsidP="0001477B">
            <w:pPr>
              <w:rPr>
                <w:rFonts w:ascii="Times New Roman" w:hAnsi="Times New Roman" w:cs="Times New Roman"/>
                <w:noProof/>
                <w:sz w:val="20"/>
                <w:szCs w:val="20"/>
              </w:rPr>
            </w:pPr>
            <w:r>
              <w:rPr>
                <w:noProof/>
                <w:color w:val="000000"/>
                <w:sz w:val="20"/>
              </w:rPr>
              <w:t xml:space="preserve">Za državna poduzeća koja nisu od posebnog interesa za Hrvatsku, koja zadovoljavaju uvjete za prodaju i za koja nije predviđen postupak restrukturiranja provest će se oglašavanje prodaje putem javnog prikupljanja ponuda, izravne ponude za kupnju članovima društva u slučaju postojanja prava prvokupa i ponude dionica na uređenom tržištu kapitala. </w:t>
            </w:r>
            <w:r>
              <w:rPr>
                <w:noProof/>
                <w:color w:val="000000"/>
                <w:sz w:val="20"/>
              </w:rPr>
              <w:br/>
              <w:t>Do kraja drugog tromjesečja 2026. objavit će se prodaja najmanje 185 poduzeća u državnom vlasništvu kojima upravlja Centar za restrukturiranje i prodaju (CERP) i koja nisu od posebnog interesa za Hrvatsku, od kojih će najmanje 90 biti prodano.</w:t>
            </w:r>
          </w:p>
        </w:tc>
      </w:tr>
      <w:tr w:rsidR="00215DFD" w14:paraId="7918FCAA" w14:textId="77777777" w:rsidTr="00E942E9">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0558E77D" w14:textId="77777777" w:rsidR="00733DCA" w:rsidRDefault="00733DCA" w:rsidP="0001477B">
            <w:pPr>
              <w:jc w:val="center"/>
              <w:rPr>
                <w:rFonts w:ascii="Times New Roman" w:hAnsi="Times New Roman" w:cs="Times New Roman"/>
                <w:noProof/>
                <w:sz w:val="20"/>
                <w:szCs w:val="20"/>
              </w:rPr>
            </w:pPr>
            <w:r>
              <w:rPr>
                <w:noProof/>
                <w:color w:val="000000"/>
                <w:sz w:val="20"/>
              </w:rPr>
              <w:t>211</w:t>
            </w:r>
          </w:p>
        </w:tc>
        <w:tc>
          <w:tcPr>
            <w:tcW w:w="850" w:type="dxa"/>
            <w:tcBorders>
              <w:top w:val="nil"/>
              <w:left w:val="nil"/>
              <w:bottom w:val="single" w:sz="4" w:space="0" w:color="auto"/>
              <w:right w:val="single" w:sz="4" w:space="0" w:color="auto"/>
            </w:tcBorders>
            <w:shd w:val="clear" w:color="auto" w:fill="C6EFCE"/>
            <w:noWrap/>
          </w:tcPr>
          <w:p w14:paraId="3EB55684" w14:textId="77777777" w:rsidR="00733DCA" w:rsidRDefault="00733DCA" w:rsidP="0001477B">
            <w:pPr>
              <w:jc w:val="center"/>
              <w:rPr>
                <w:rFonts w:ascii="Times New Roman" w:hAnsi="Times New Roman" w:cs="Times New Roman"/>
                <w:noProof/>
                <w:sz w:val="20"/>
                <w:szCs w:val="20"/>
              </w:rPr>
            </w:pPr>
            <w:r>
              <w:rPr>
                <w:noProof/>
                <w:color w:val="000000"/>
                <w:sz w:val="20"/>
              </w:rPr>
              <w:t>C2.4. R4</w:t>
            </w:r>
          </w:p>
        </w:tc>
        <w:tc>
          <w:tcPr>
            <w:tcW w:w="850" w:type="dxa"/>
            <w:tcBorders>
              <w:top w:val="nil"/>
              <w:left w:val="nil"/>
              <w:bottom w:val="single" w:sz="4" w:space="0" w:color="auto"/>
              <w:right w:val="single" w:sz="4" w:space="0" w:color="auto"/>
            </w:tcBorders>
            <w:shd w:val="clear" w:color="auto" w:fill="C6EFCE"/>
            <w:noWrap/>
          </w:tcPr>
          <w:p w14:paraId="4DC4D0F5"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098" w:type="dxa"/>
            <w:tcBorders>
              <w:top w:val="nil"/>
              <w:left w:val="nil"/>
              <w:bottom w:val="single" w:sz="4" w:space="0" w:color="auto"/>
              <w:right w:val="single" w:sz="4" w:space="0" w:color="auto"/>
            </w:tcBorders>
            <w:shd w:val="clear" w:color="auto" w:fill="C6EFCE"/>
            <w:noWrap/>
          </w:tcPr>
          <w:p w14:paraId="12911A07" w14:textId="77777777" w:rsidR="00733DCA" w:rsidRDefault="00733DCA" w:rsidP="0001477B">
            <w:pPr>
              <w:rPr>
                <w:rFonts w:ascii="Times New Roman" w:hAnsi="Times New Roman" w:cs="Times New Roman"/>
                <w:noProof/>
                <w:sz w:val="20"/>
                <w:szCs w:val="20"/>
              </w:rPr>
            </w:pPr>
            <w:r>
              <w:rPr>
                <w:noProof/>
                <w:color w:val="000000"/>
                <w:sz w:val="20"/>
              </w:rPr>
              <w:t>Dovršetak prodaje 20 poduzeća u državnom vlasništvu u portfelju CERP-a koja trenutačno nisu dostupna za prodaju.</w:t>
            </w:r>
          </w:p>
        </w:tc>
        <w:tc>
          <w:tcPr>
            <w:tcW w:w="1986" w:type="dxa"/>
            <w:tcBorders>
              <w:top w:val="nil"/>
              <w:left w:val="nil"/>
              <w:bottom w:val="single" w:sz="4" w:space="0" w:color="auto"/>
              <w:right w:val="single" w:sz="4" w:space="0" w:color="auto"/>
            </w:tcBorders>
            <w:shd w:val="clear" w:color="auto" w:fill="C6EFCE"/>
            <w:noWrap/>
          </w:tcPr>
          <w:p w14:paraId="63A03BE8" w14:textId="77777777" w:rsidR="00733DCA" w:rsidRDefault="00733DCA" w:rsidP="0001477B">
            <w:pPr>
              <w:rPr>
                <w:rFonts w:ascii="Times New Roman" w:hAnsi="Times New Roman" w:cs="Times New Roman"/>
                <w:noProof/>
                <w:sz w:val="20"/>
                <w:szCs w:val="20"/>
              </w:rPr>
            </w:pPr>
            <w:r>
              <w:rPr>
                <w:noProof/>
                <w:color w:val="000000"/>
                <w:sz w:val="20"/>
              </w:rPr>
              <w:t xml:space="preserve"> </w:t>
            </w:r>
          </w:p>
        </w:tc>
        <w:tc>
          <w:tcPr>
            <w:tcW w:w="851" w:type="dxa"/>
            <w:tcBorders>
              <w:top w:val="nil"/>
              <w:left w:val="nil"/>
              <w:bottom w:val="single" w:sz="4" w:space="0" w:color="auto"/>
              <w:right w:val="single" w:sz="4" w:space="0" w:color="auto"/>
            </w:tcBorders>
            <w:shd w:val="clear" w:color="auto" w:fill="C6EFCE"/>
            <w:noWrap/>
          </w:tcPr>
          <w:p w14:paraId="15272A6C" w14:textId="77777777" w:rsidR="00733DCA" w:rsidRDefault="00733DCA" w:rsidP="0001477B">
            <w:pPr>
              <w:jc w:val="center"/>
              <w:rPr>
                <w:rFonts w:ascii="Times New Roman" w:hAnsi="Times New Roman" w:cs="Times New Roman"/>
                <w:noProof/>
                <w:sz w:val="20"/>
                <w:szCs w:val="20"/>
              </w:rPr>
            </w:pPr>
            <w:r>
              <w:rPr>
                <w:noProof/>
                <w:color w:val="000000"/>
                <w:sz w:val="20"/>
              </w:rPr>
              <w:t>Broj</w:t>
            </w:r>
          </w:p>
        </w:tc>
        <w:tc>
          <w:tcPr>
            <w:tcW w:w="874" w:type="dxa"/>
            <w:tcBorders>
              <w:top w:val="nil"/>
              <w:left w:val="nil"/>
              <w:bottom w:val="single" w:sz="4" w:space="0" w:color="auto"/>
              <w:right w:val="single" w:sz="4" w:space="0" w:color="auto"/>
            </w:tcBorders>
            <w:shd w:val="clear" w:color="auto" w:fill="C6EFCE"/>
            <w:noWrap/>
          </w:tcPr>
          <w:p w14:paraId="1A931D5F" w14:textId="77777777" w:rsidR="00733DCA" w:rsidRDefault="00733DCA" w:rsidP="0001477B">
            <w:pPr>
              <w:jc w:val="center"/>
              <w:rPr>
                <w:rFonts w:ascii="Times New Roman" w:hAnsi="Times New Roman" w:cs="Times New Roman"/>
                <w:noProof/>
                <w:sz w:val="20"/>
                <w:szCs w:val="20"/>
              </w:rPr>
            </w:pPr>
            <w:r>
              <w:rPr>
                <w:noProof/>
                <w:color w:val="000000"/>
                <w:sz w:val="20"/>
              </w:rPr>
              <w:t>0</w:t>
            </w:r>
          </w:p>
        </w:tc>
        <w:tc>
          <w:tcPr>
            <w:tcW w:w="969" w:type="dxa"/>
            <w:tcBorders>
              <w:top w:val="nil"/>
              <w:left w:val="nil"/>
              <w:bottom w:val="single" w:sz="4" w:space="0" w:color="auto"/>
              <w:right w:val="single" w:sz="4" w:space="0" w:color="auto"/>
            </w:tcBorders>
            <w:shd w:val="clear" w:color="auto" w:fill="C6EFCE"/>
            <w:noWrap/>
          </w:tcPr>
          <w:p w14:paraId="18DA7877" w14:textId="77777777" w:rsidR="00733DCA" w:rsidRDefault="00733DCA" w:rsidP="0001477B">
            <w:pPr>
              <w:jc w:val="center"/>
              <w:rPr>
                <w:rFonts w:ascii="Times New Roman" w:hAnsi="Times New Roman" w:cs="Times New Roman"/>
                <w:noProof/>
                <w:sz w:val="20"/>
                <w:szCs w:val="20"/>
              </w:rPr>
            </w:pPr>
            <w:r>
              <w:rPr>
                <w:noProof/>
                <w:color w:val="000000"/>
                <w:sz w:val="20"/>
              </w:rPr>
              <w:t>20</w:t>
            </w:r>
          </w:p>
        </w:tc>
        <w:tc>
          <w:tcPr>
            <w:tcW w:w="567" w:type="dxa"/>
            <w:tcBorders>
              <w:top w:val="nil"/>
              <w:left w:val="nil"/>
              <w:bottom w:val="single" w:sz="4" w:space="0" w:color="auto"/>
              <w:right w:val="single" w:sz="4" w:space="0" w:color="auto"/>
            </w:tcBorders>
            <w:shd w:val="clear" w:color="auto" w:fill="C6EFCE"/>
            <w:noWrap/>
          </w:tcPr>
          <w:p w14:paraId="104C347E" w14:textId="77777777" w:rsidR="00733DCA" w:rsidRDefault="00733DCA" w:rsidP="0001477B">
            <w:pPr>
              <w:jc w:val="center"/>
              <w:rPr>
                <w:rFonts w:ascii="Times New Roman" w:hAnsi="Times New Roman" w:cs="Times New Roman"/>
                <w:noProof/>
                <w:sz w:val="20"/>
                <w:szCs w:val="20"/>
              </w:rPr>
            </w:pPr>
            <w:r>
              <w:rPr>
                <w:noProof/>
                <w:color w:val="000000"/>
                <w:sz w:val="20"/>
              </w:rPr>
              <w:t>2.</w:t>
            </w:r>
          </w:p>
        </w:tc>
        <w:tc>
          <w:tcPr>
            <w:tcW w:w="992" w:type="dxa"/>
            <w:tcBorders>
              <w:top w:val="nil"/>
              <w:left w:val="nil"/>
              <w:bottom w:val="single" w:sz="4" w:space="0" w:color="auto"/>
              <w:right w:val="single" w:sz="4" w:space="0" w:color="auto"/>
            </w:tcBorders>
            <w:shd w:val="clear" w:color="auto" w:fill="C6EFCE"/>
            <w:noWrap/>
          </w:tcPr>
          <w:p w14:paraId="56866F48" w14:textId="77777777" w:rsidR="00733DCA" w:rsidRDefault="00733DCA" w:rsidP="0001477B">
            <w:pPr>
              <w:jc w:val="center"/>
              <w:rPr>
                <w:rFonts w:ascii="Times New Roman" w:hAnsi="Times New Roman" w:cs="Times New Roman"/>
                <w:noProof/>
                <w:sz w:val="20"/>
                <w:szCs w:val="20"/>
              </w:rPr>
            </w:pPr>
            <w:r>
              <w:rPr>
                <w:noProof/>
                <w:color w:val="000000"/>
                <w:sz w:val="20"/>
              </w:rPr>
              <w:t>2026.</w:t>
            </w:r>
          </w:p>
        </w:tc>
        <w:tc>
          <w:tcPr>
            <w:tcW w:w="4111" w:type="dxa"/>
            <w:tcBorders>
              <w:top w:val="nil"/>
              <w:left w:val="nil"/>
              <w:bottom w:val="single" w:sz="4" w:space="0" w:color="auto"/>
              <w:right w:val="single" w:sz="4" w:space="0" w:color="auto"/>
            </w:tcBorders>
            <w:shd w:val="clear" w:color="auto" w:fill="C6EFCE"/>
            <w:noWrap/>
          </w:tcPr>
          <w:p w14:paraId="7E680F1E" w14:textId="77777777" w:rsidR="00733DCA" w:rsidRDefault="00733DCA" w:rsidP="0001477B">
            <w:pPr>
              <w:pStyle w:val="CommentText"/>
              <w:rPr>
                <w:noProof/>
              </w:rPr>
            </w:pPr>
            <w:r>
              <w:rPr>
                <w:noProof/>
                <w:color w:val="000000"/>
              </w:rPr>
              <w:t xml:space="preserve">Za preostala društva u državnom vlasništvu koja nisu od posebnog interesa za Hrvatsku, a čijim dionicama/udjelima trenutno nije moguće raspolagati, poduzet će se sve aktivnosti radi ukidanja postojećih rezervacija koje sprečavaju raspolaganje dionicama/udjelima tih društava. Također, nakon ukidanja rezervacija dionica u dotičnim društvima, ako dionice koje su predmet rezervacije ne budu dodijeljene prijašnjim vlasnicima, istim će se bez odgađanja raspolagati na načine propisane zakonom.  </w:t>
            </w:r>
          </w:p>
        </w:tc>
      </w:tr>
      <w:tr w:rsidR="00215DFD" w14:paraId="58A6F510" w14:textId="77777777" w:rsidTr="00E942E9">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EA1EEE2" w14:textId="77777777" w:rsidR="00733DCA" w:rsidRDefault="00733DCA" w:rsidP="0001477B">
            <w:pPr>
              <w:jc w:val="center"/>
              <w:rPr>
                <w:rFonts w:ascii="Times New Roman" w:hAnsi="Times New Roman" w:cs="Times New Roman"/>
                <w:noProof/>
                <w:sz w:val="20"/>
                <w:szCs w:val="20"/>
              </w:rPr>
            </w:pPr>
            <w:r>
              <w:rPr>
                <w:noProof/>
                <w:color w:val="000000"/>
                <w:sz w:val="20"/>
              </w:rPr>
              <w:t>212</w:t>
            </w:r>
          </w:p>
        </w:tc>
        <w:tc>
          <w:tcPr>
            <w:tcW w:w="850" w:type="dxa"/>
            <w:tcBorders>
              <w:top w:val="single" w:sz="4" w:space="0" w:color="auto"/>
              <w:left w:val="nil"/>
              <w:bottom w:val="single" w:sz="4" w:space="0" w:color="auto"/>
              <w:right w:val="single" w:sz="4" w:space="0" w:color="auto"/>
            </w:tcBorders>
            <w:shd w:val="clear" w:color="auto" w:fill="C6EFCE"/>
            <w:noWrap/>
          </w:tcPr>
          <w:p w14:paraId="355627F3" w14:textId="77777777" w:rsidR="00733DCA" w:rsidRDefault="00733DCA" w:rsidP="0001477B">
            <w:pPr>
              <w:jc w:val="center"/>
              <w:rPr>
                <w:rFonts w:ascii="Times New Roman" w:hAnsi="Times New Roman" w:cs="Times New Roman"/>
                <w:noProof/>
                <w:sz w:val="20"/>
                <w:szCs w:val="20"/>
              </w:rPr>
            </w:pPr>
            <w:r>
              <w:rPr>
                <w:noProof/>
                <w:color w:val="000000"/>
                <w:sz w:val="20"/>
              </w:rPr>
              <w:t>C2.4. R5</w:t>
            </w:r>
          </w:p>
        </w:tc>
        <w:tc>
          <w:tcPr>
            <w:tcW w:w="850" w:type="dxa"/>
            <w:tcBorders>
              <w:top w:val="single" w:sz="4" w:space="0" w:color="auto"/>
              <w:left w:val="nil"/>
              <w:bottom w:val="single" w:sz="4" w:space="0" w:color="auto"/>
              <w:right w:val="single" w:sz="4" w:space="0" w:color="auto"/>
            </w:tcBorders>
            <w:shd w:val="clear" w:color="auto" w:fill="C6EFCE"/>
            <w:noWrap/>
          </w:tcPr>
          <w:p w14:paraId="45475292" w14:textId="77777777" w:rsidR="00733DCA" w:rsidRDefault="00733DCA" w:rsidP="0001477B">
            <w:pPr>
              <w:jc w:val="center"/>
              <w:rPr>
                <w:rFonts w:ascii="Times New Roman" w:hAnsi="Times New Roman" w:cs="Times New Roman"/>
                <w:noProof/>
                <w:sz w:val="20"/>
                <w:szCs w:val="20"/>
              </w:rPr>
            </w:pPr>
            <w:r>
              <w:rPr>
                <w:noProof/>
                <w:color w:val="000000"/>
                <w:sz w:val="20"/>
              </w:rPr>
              <w:t>Ključna etapa</w:t>
            </w:r>
          </w:p>
        </w:tc>
        <w:tc>
          <w:tcPr>
            <w:tcW w:w="2098" w:type="dxa"/>
            <w:tcBorders>
              <w:top w:val="single" w:sz="4" w:space="0" w:color="auto"/>
              <w:left w:val="nil"/>
              <w:bottom w:val="single" w:sz="4" w:space="0" w:color="auto"/>
              <w:right w:val="single" w:sz="4" w:space="0" w:color="auto"/>
            </w:tcBorders>
            <w:shd w:val="clear" w:color="auto" w:fill="C6EFCE"/>
            <w:noWrap/>
          </w:tcPr>
          <w:p w14:paraId="5C3774D8" w14:textId="77777777" w:rsidR="00733DCA" w:rsidRDefault="00733DCA" w:rsidP="0001477B">
            <w:pPr>
              <w:rPr>
                <w:rFonts w:ascii="Times New Roman" w:hAnsi="Times New Roman" w:cs="Times New Roman"/>
                <w:noProof/>
                <w:sz w:val="20"/>
                <w:szCs w:val="20"/>
              </w:rPr>
            </w:pPr>
            <w:r>
              <w:rPr>
                <w:noProof/>
                <w:color w:val="000000"/>
                <w:sz w:val="20"/>
              </w:rPr>
              <w:t xml:space="preserve">Razviti informatički sustav i metodologiju za smanjenje portfelja imovine u državnom vlasništvu te brže i učinkovitije aktiviranje neiskorištene državne imovine </w:t>
            </w:r>
          </w:p>
        </w:tc>
        <w:tc>
          <w:tcPr>
            <w:tcW w:w="1986" w:type="dxa"/>
            <w:tcBorders>
              <w:top w:val="single" w:sz="4" w:space="0" w:color="auto"/>
              <w:left w:val="nil"/>
              <w:bottom w:val="single" w:sz="4" w:space="0" w:color="auto"/>
              <w:right w:val="single" w:sz="4" w:space="0" w:color="auto"/>
            </w:tcBorders>
            <w:shd w:val="clear" w:color="auto" w:fill="C6EFCE"/>
            <w:noWrap/>
          </w:tcPr>
          <w:p w14:paraId="568A5916" w14:textId="77777777" w:rsidR="00733DCA" w:rsidRDefault="00733DCA" w:rsidP="0001477B">
            <w:pPr>
              <w:rPr>
                <w:rFonts w:ascii="Times New Roman" w:hAnsi="Times New Roman" w:cs="Times New Roman"/>
                <w:noProof/>
                <w:sz w:val="20"/>
                <w:szCs w:val="20"/>
              </w:rPr>
            </w:pPr>
            <w:r>
              <w:rPr>
                <w:noProof/>
                <w:color w:val="000000"/>
                <w:sz w:val="20"/>
              </w:rPr>
              <w:t>IT sustav i metodologija razvijeni i primijenjeni</w:t>
            </w:r>
          </w:p>
        </w:tc>
        <w:tc>
          <w:tcPr>
            <w:tcW w:w="851" w:type="dxa"/>
            <w:tcBorders>
              <w:top w:val="single" w:sz="4" w:space="0" w:color="auto"/>
              <w:left w:val="nil"/>
              <w:bottom w:val="single" w:sz="4" w:space="0" w:color="auto"/>
              <w:right w:val="single" w:sz="4" w:space="0" w:color="auto"/>
            </w:tcBorders>
            <w:shd w:val="clear" w:color="auto" w:fill="C6EFCE"/>
            <w:noWrap/>
          </w:tcPr>
          <w:p w14:paraId="148879EF"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874" w:type="dxa"/>
            <w:tcBorders>
              <w:top w:val="single" w:sz="4" w:space="0" w:color="auto"/>
              <w:left w:val="nil"/>
              <w:bottom w:val="single" w:sz="4" w:space="0" w:color="auto"/>
              <w:right w:val="single" w:sz="4" w:space="0" w:color="auto"/>
            </w:tcBorders>
            <w:shd w:val="clear" w:color="auto" w:fill="C6EFCE"/>
            <w:noWrap/>
          </w:tcPr>
          <w:p w14:paraId="52BA909A"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969" w:type="dxa"/>
            <w:tcBorders>
              <w:top w:val="single" w:sz="4" w:space="0" w:color="auto"/>
              <w:left w:val="nil"/>
              <w:bottom w:val="single" w:sz="4" w:space="0" w:color="auto"/>
              <w:right w:val="single" w:sz="4" w:space="0" w:color="auto"/>
            </w:tcBorders>
            <w:shd w:val="clear" w:color="auto" w:fill="C6EFCE"/>
            <w:noWrap/>
          </w:tcPr>
          <w:p w14:paraId="5A4A486C" w14:textId="77777777" w:rsidR="00733DCA" w:rsidRDefault="00733DCA" w:rsidP="0001477B">
            <w:pPr>
              <w:jc w:val="center"/>
              <w:rPr>
                <w:rFonts w:ascii="Times New Roman" w:hAnsi="Times New Roman" w:cs="Times New Roman"/>
                <w:noProof/>
                <w:sz w:val="20"/>
                <w:szCs w:val="20"/>
              </w:rPr>
            </w:pPr>
            <w:r>
              <w:rPr>
                <w:noProof/>
                <w:color w:val="000000"/>
                <w:sz w:val="20"/>
              </w:rPr>
              <w:t> </w:t>
            </w:r>
          </w:p>
        </w:tc>
        <w:tc>
          <w:tcPr>
            <w:tcW w:w="567" w:type="dxa"/>
            <w:tcBorders>
              <w:top w:val="single" w:sz="4" w:space="0" w:color="auto"/>
              <w:left w:val="nil"/>
              <w:bottom w:val="single" w:sz="4" w:space="0" w:color="auto"/>
              <w:right w:val="single" w:sz="4" w:space="0" w:color="auto"/>
            </w:tcBorders>
            <w:shd w:val="clear" w:color="auto" w:fill="C6EFCE"/>
            <w:noWrap/>
          </w:tcPr>
          <w:p w14:paraId="6EC94753" w14:textId="77777777" w:rsidR="00733DCA" w:rsidRDefault="00733DCA" w:rsidP="0001477B">
            <w:pPr>
              <w:jc w:val="center"/>
              <w:rPr>
                <w:rFonts w:ascii="Times New Roman" w:hAnsi="Times New Roman" w:cs="Times New Roman"/>
                <w:noProof/>
                <w:sz w:val="20"/>
                <w:szCs w:val="20"/>
              </w:rPr>
            </w:pPr>
            <w:r>
              <w:rPr>
                <w:noProof/>
                <w:color w:val="000000"/>
                <w:sz w:val="20"/>
              </w:rPr>
              <w:t>4.</w:t>
            </w:r>
          </w:p>
        </w:tc>
        <w:tc>
          <w:tcPr>
            <w:tcW w:w="992" w:type="dxa"/>
            <w:tcBorders>
              <w:top w:val="single" w:sz="4" w:space="0" w:color="auto"/>
              <w:left w:val="nil"/>
              <w:bottom w:val="single" w:sz="4" w:space="0" w:color="auto"/>
              <w:right w:val="single" w:sz="4" w:space="0" w:color="auto"/>
            </w:tcBorders>
            <w:shd w:val="clear" w:color="auto" w:fill="C6EFCE"/>
            <w:noWrap/>
          </w:tcPr>
          <w:p w14:paraId="3AC2312A" w14:textId="77777777" w:rsidR="00733DCA" w:rsidRDefault="00733DCA" w:rsidP="0001477B">
            <w:pPr>
              <w:jc w:val="center"/>
              <w:rPr>
                <w:rFonts w:ascii="Times New Roman" w:hAnsi="Times New Roman" w:cs="Times New Roman"/>
                <w:noProof/>
                <w:sz w:val="20"/>
                <w:szCs w:val="20"/>
              </w:rPr>
            </w:pPr>
            <w:r>
              <w:rPr>
                <w:noProof/>
                <w:color w:val="000000"/>
                <w:sz w:val="20"/>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46E4F565" w14:textId="77777777" w:rsidR="00733DCA" w:rsidRDefault="00733DCA" w:rsidP="0001477B">
            <w:pPr>
              <w:rPr>
                <w:rFonts w:ascii="Times New Roman" w:hAnsi="Times New Roman" w:cs="Times New Roman"/>
                <w:noProof/>
                <w:sz w:val="20"/>
                <w:szCs w:val="20"/>
              </w:rPr>
            </w:pPr>
            <w:r>
              <w:rPr>
                <w:noProof/>
                <w:color w:val="000000"/>
                <w:sz w:val="20"/>
              </w:rPr>
              <w:t>Dovršen razvoj IT sustava za upravljanje portfeljem imovine u državnom vlasništvu.</w:t>
            </w:r>
            <w:r>
              <w:rPr>
                <w:noProof/>
                <w:color w:val="000000"/>
                <w:sz w:val="20"/>
              </w:rPr>
              <w:br/>
              <w:t>Razvijena metodologija za utvrđivanje djelotvornog raspolaganja državnom imovinom za sve pojavne oblike imovine kojima upravlja MPGI.</w:t>
            </w:r>
            <w:r>
              <w:rPr>
                <w:noProof/>
                <w:color w:val="000000"/>
                <w:sz w:val="20"/>
              </w:rPr>
              <w:br/>
              <w:t>IT sustav i metodologija omogućit će smanjenje portfelja imovine u državnom vlasništvu te brže i učinkovito aktiviranje neiskorištene državne imovine. IT sustavom uspostavit će se elektronička vezu s bazama podataka drugih državnih uprava i ustanova, čime će se poboljšati postojeća interna evidencija o portfelju imovine ciljane skupine u državnom vlasništvu.</w:t>
            </w:r>
          </w:p>
        </w:tc>
      </w:tr>
      <w:tr w:rsidR="00215DFD" w14:paraId="14BD3411" w14:textId="77777777" w:rsidTr="00E942E9">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8144AB2" w14:textId="77777777" w:rsidR="00733DCA" w:rsidRDefault="00733DCA" w:rsidP="0001477B">
            <w:pPr>
              <w:jc w:val="center"/>
              <w:rPr>
                <w:rFonts w:ascii="Times New Roman" w:hAnsi="Times New Roman" w:cs="Times New Roman"/>
                <w:noProof/>
                <w:sz w:val="20"/>
                <w:szCs w:val="20"/>
              </w:rPr>
            </w:pPr>
            <w:r>
              <w:rPr>
                <w:noProof/>
                <w:color w:val="000000"/>
                <w:sz w:val="20"/>
              </w:rPr>
              <w:t>213</w:t>
            </w:r>
          </w:p>
        </w:tc>
        <w:tc>
          <w:tcPr>
            <w:tcW w:w="850" w:type="dxa"/>
            <w:tcBorders>
              <w:top w:val="single" w:sz="4" w:space="0" w:color="auto"/>
              <w:left w:val="nil"/>
              <w:bottom w:val="single" w:sz="4" w:space="0" w:color="auto"/>
              <w:right w:val="single" w:sz="4" w:space="0" w:color="auto"/>
            </w:tcBorders>
            <w:shd w:val="clear" w:color="auto" w:fill="C6EFCE"/>
            <w:noWrap/>
          </w:tcPr>
          <w:p w14:paraId="5D824702" w14:textId="77777777" w:rsidR="00733DCA" w:rsidRDefault="00733DCA" w:rsidP="0001477B">
            <w:pPr>
              <w:jc w:val="center"/>
              <w:rPr>
                <w:rFonts w:ascii="Times New Roman" w:hAnsi="Times New Roman" w:cs="Times New Roman"/>
                <w:noProof/>
                <w:sz w:val="20"/>
                <w:szCs w:val="20"/>
              </w:rPr>
            </w:pPr>
            <w:r>
              <w:rPr>
                <w:noProof/>
                <w:color w:val="000000"/>
                <w:sz w:val="20"/>
              </w:rPr>
              <w:t>C2.4. R5</w:t>
            </w:r>
          </w:p>
        </w:tc>
        <w:tc>
          <w:tcPr>
            <w:tcW w:w="850" w:type="dxa"/>
            <w:tcBorders>
              <w:top w:val="single" w:sz="4" w:space="0" w:color="auto"/>
              <w:left w:val="nil"/>
              <w:bottom w:val="single" w:sz="4" w:space="0" w:color="auto"/>
              <w:right w:val="single" w:sz="4" w:space="0" w:color="auto"/>
            </w:tcBorders>
            <w:shd w:val="clear" w:color="auto" w:fill="C6EFCE"/>
            <w:noWrap/>
          </w:tcPr>
          <w:p w14:paraId="69EB0857" w14:textId="77777777" w:rsidR="00733DCA" w:rsidRDefault="00733DCA" w:rsidP="0001477B">
            <w:pPr>
              <w:jc w:val="center"/>
              <w:rPr>
                <w:rFonts w:ascii="Times New Roman" w:hAnsi="Times New Roman" w:cs="Times New Roman"/>
                <w:noProof/>
                <w:sz w:val="20"/>
                <w:szCs w:val="20"/>
              </w:rPr>
            </w:pPr>
            <w:r>
              <w:rPr>
                <w:noProof/>
                <w:color w:val="000000"/>
                <w:sz w:val="20"/>
              </w:rPr>
              <w:t>Ciljna vrijednost</w:t>
            </w:r>
          </w:p>
        </w:tc>
        <w:tc>
          <w:tcPr>
            <w:tcW w:w="2098" w:type="dxa"/>
            <w:tcBorders>
              <w:top w:val="single" w:sz="4" w:space="0" w:color="auto"/>
              <w:left w:val="nil"/>
              <w:bottom w:val="single" w:sz="4" w:space="0" w:color="auto"/>
              <w:right w:val="single" w:sz="4" w:space="0" w:color="auto"/>
            </w:tcBorders>
            <w:shd w:val="clear" w:color="auto" w:fill="C6EFCE"/>
            <w:noWrap/>
          </w:tcPr>
          <w:p w14:paraId="78ABF208" w14:textId="77777777" w:rsidR="00733DCA" w:rsidRDefault="00733DCA" w:rsidP="0001477B">
            <w:pPr>
              <w:rPr>
                <w:rFonts w:ascii="Times New Roman" w:hAnsi="Times New Roman" w:cs="Times New Roman"/>
                <w:noProof/>
                <w:sz w:val="20"/>
                <w:szCs w:val="20"/>
              </w:rPr>
            </w:pPr>
            <w:r>
              <w:rPr>
                <w:noProof/>
                <w:color w:val="000000"/>
                <w:sz w:val="20"/>
              </w:rPr>
              <w:t>Povećanje komercijalizacije, racionalizacije i aktivacije imovine u državnom vlasništvu</w:t>
            </w:r>
          </w:p>
        </w:tc>
        <w:tc>
          <w:tcPr>
            <w:tcW w:w="1986" w:type="dxa"/>
            <w:tcBorders>
              <w:top w:val="single" w:sz="4" w:space="0" w:color="auto"/>
              <w:left w:val="nil"/>
              <w:bottom w:val="single" w:sz="4" w:space="0" w:color="auto"/>
              <w:right w:val="single" w:sz="4" w:space="0" w:color="auto"/>
            </w:tcBorders>
            <w:shd w:val="clear" w:color="auto" w:fill="C6EFCE"/>
            <w:noWrap/>
          </w:tcPr>
          <w:p w14:paraId="7771037B" w14:textId="77777777" w:rsidR="00733DCA" w:rsidRDefault="00733DCA" w:rsidP="0001477B">
            <w:pPr>
              <w:rPr>
                <w:rFonts w:ascii="Times New Roman" w:hAnsi="Times New Roman" w:cs="Times New Roman"/>
                <w:noProof/>
                <w:sz w:val="20"/>
                <w:szCs w:val="20"/>
              </w:rPr>
            </w:pPr>
            <w:r>
              <w:rPr>
                <w:noProof/>
                <w:color w:val="000000"/>
                <w:sz w:val="20"/>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14:paraId="459F7926" w14:textId="77777777" w:rsidR="00733DCA" w:rsidRDefault="00733DCA" w:rsidP="0001477B">
            <w:pPr>
              <w:jc w:val="center"/>
              <w:rPr>
                <w:rFonts w:ascii="Times New Roman" w:hAnsi="Times New Roman" w:cs="Times New Roman"/>
                <w:noProof/>
                <w:sz w:val="20"/>
                <w:szCs w:val="20"/>
              </w:rPr>
            </w:pPr>
            <w:r>
              <w:rPr>
                <w:noProof/>
                <w:color w:val="000000"/>
                <w:sz w:val="20"/>
              </w:rPr>
              <w:t>Broj</w:t>
            </w:r>
          </w:p>
        </w:tc>
        <w:tc>
          <w:tcPr>
            <w:tcW w:w="874" w:type="dxa"/>
            <w:tcBorders>
              <w:top w:val="single" w:sz="4" w:space="0" w:color="auto"/>
              <w:left w:val="nil"/>
              <w:bottom w:val="single" w:sz="4" w:space="0" w:color="auto"/>
              <w:right w:val="single" w:sz="4" w:space="0" w:color="auto"/>
            </w:tcBorders>
            <w:shd w:val="clear" w:color="auto" w:fill="C6EFCE"/>
            <w:noWrap/>
          </w:tcPr>
          <w:p w14:paraId="11F77D33" w14:textId="77777777" w:rsidR="00733DCA" w:rsidRDefault="00733DCA" w:rsidP="0001477B">
            <w:pPr>
              <w:jc w:val="center"/>
              <w:rPr>
                <w:rFonts w:ascii="Times New Roman" w:hAnsi="Times New Roman" w:cs="Times New Roman"/>
                <w:noProof/>
                <w:sz w:val="20"/>
                <w:szCs w:val="20"/>
              </w:rPr>
            </w:pPr>
            <w:r>
              <w:rPr>
                <w:noProof/>
                <w:color w:val="000000"/>
                <w:sz w:val="20"/>
              </w:rPr>
              <w:t>0</w:t>
            </w:r>
          </w:p>
        </w:tc>
        <w:tc>
          <w:tcPr>
            <w:tcW w:w="969" w:type="dxa"/>
            <w:tcBorders>
              <w:top w:val="single" w:sz="4" w:space="0" w:color="auto"/>
              <w:left w:val="nil"/>
              <w:bottom w:val="single" w:sz="4" w:space="0" w:color="auto"/>
              <w:right w:val="single" w:sz="4" w:space="0" w:color="auto"/>
            </w:tcBorders>
            <w:shd w:val="clear" w:color="auto" w:fill="C6EFCE"/>
            <w:noWrap/>
          </w:tcPr>
          <w:p w14:paraId="5E8AD190" w14:textId="77777777" w:rsidR="00733DCA" w:rsidRDefault="00733DCA" w:rsidP="0001477B">
            <w:pPr>
              <w:jc w:val="center"/>
              <w:rPr>
                <w:rFonts w:ascii="Times New Roman" w:hAnsi="Times New Roman" w:cs="Times New Roman"/>
                <w:noProof/>
                <w:sz w:val="20"/>
                <w:szCs w:val="20"/>
              </w:rPr>
            </w:pPr>
            <w:r>
              <w:rPr>
                <w:noProof/>
                <w:color w:val="000000"/>
                <w:sz w:val="20"/>
              </w:rPr>
              <w:t>4 500</w:t>
            </w:r>
          </w:p>
        </w:tc>
        <w:tc>
          <w:tcPr>
            <w:tcW w:w="567" w:type="dxa"/>
            <w:tcBorders>
              <w:top w:val="single" w:sz="4" w:space="0" w:color="auto"/>
              <w:left w:val="nil"/>
              <w:bottom w:val="single" w:sz="4" w:space="0" w:color="auto"/>
              <w:right w:val="single" w:sz="4" w:space="0" w:color="auto"/>
            </w:tcBorders>
            <w:shd w:val="clear" w:color="auto" w:fill="C6EFCE"/>
            <w:noWrap/>
          </w:tcPr>
          <w:p w14:paraId="0E965875" w14:textId="77777777" w:rsidR="00733DCA" w:rsidRDefault="00733DCA" w:rsidP="0001477B">
            <w:pPr>
              <w:jc w:val="center"/>
              <w:rPr>
                <w:rFonts w:ascii="Times New Roman" w:hAnsi="Times New Roman" w:cs="Times New Roman"/>
                <w:noProof/>
                <w:sz w:val="20"/>
                <w:szCs w:val="20"/>
              </w:rPr>
            </w:pPr>
            <w:r>
              <w:rPr>
                <w:noProof/>
                <w:color w:val="000000"/>
                <w:sz w:val="20"/>
              </w:rPr>
              <w:t>2.</w:t>
            </w:r>
          </w:p>
        </w:tc>
        <w:tc>
          <w:tcPr>
            <w:tcW w:w="992" w:type="dxa"/>
            <w:tcBorders>
              <w:top w:val="single" w:sz="4" w:space="0" w:color="auto"/>
              <w:left w:val="nil"/>
              <w:bottom w:val="single" w:sz="4" w:space="0" w:color="auto"/>
              <w:right w:val="single" w:sz="4" w:space="0" w:color="auto"/>
            </w:tcBorders>
            <w:shd w:val="clear" w:color="auto" w:fill="C6EFCE"/>
            <w:noWrap/>
          </w:tcPr>
          <w:p w14:paraId="38CC3D7F" w14:textId="77777777" w:rsidR="00733DCA" w:rsidRDefault="00733DCA" w:rsidP="0001477B">
            <w:pPr>
              <w:jc w:val="center"/>
              <w:rPr>
                <w:rFonts w:ascii="Times New Roman" w:hAnsi="Times New Roman" w:cs="Times New Roman"/>
                <w:noProof/>
                <w:sz w:val="20"/>
                <w:szCs w:val="20"/>
              </w:rPr>
            </w:pPr>
            <w:r>
              <w:rPr>
                <w:noProof/>
                <w:color w:val="000000"/>
                <w:sz w:val="20"/>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0E60056F" w14:textId="77777777" w:rsidR="00733DCA" w:rsidRDefault="00733DCA" w:rsidP="0001477B">
            <w:pPr>
              <w:rPr>
                <w:rFonts w:ascii="Times New Roman" w:hAnsi="Times New Roman" w:cs="Times New Roman"/>
                <w:noProof/>
                <w:sz w:val="20"/>
                <w:szCs w:val="20"/>
              </w:rPr>
            </w:pPr>
            <w:r>
              <w:rPr>
                <w:noProof/>
                <w:color w:val="000000"/>
                <w:sz w:val="20"/>
              </w:rPr>
              <w:t>Upravljanje državnom imovinom provodi se kako bi se podržalo smanjenje portfelja nestrateške imovine u državnom vlasništvu u Hrvatskoj te kako bi se brže i učinkovitije mobilizirala neiskorištena državna imovina te povećali njezini komercijalni ili društveni rezultati/dobit.</w:t>
            </w:r>
            <w:r>
              <w:rPr>
                <w:noProof/>
                <w:color w:val="000000"/>
                <w:sz w:val="20"/>
              </w:rPr>
              <w:br/>
              <w:t>Do kraja drugog tromjesečja 2026. sklopit će se 4 500 ugovora o nekretninama (ugovori s naknadom u korist državnog proračuna i besplatni ugovori) radi povećanja fiskalnih prihoda, smanjenja javnog duga i aktivacije portfelja imovine u državnom vlasništvu. To će se postići pojačanom objavom javnih natječaja za raspolaganje nestrateškim nekretninama u državnom vlasništvu u Hrvatskoj, stvaranjem preduvjeta za objavu međunarodnih javnih poziva za realizaciju ulagačkih projekata i daljnjim unapređenjem odnosa s jedinicama lokalne i regionalne uprave radi aktiviranja postojećeg portfelja nekretnina u državnom vlasništvu i provedbe razvojnih (infrastrukturnih, kulturnih, socijalnih, gospodarskih i demografskih) projekata za dobrobit zajednice.</w:t>
            </w:r>
          </w:p>
        </w:tc>
      </w:tr>
    </w:tbl>
    <w:p w14:paraId="24FED2B3" w14:textId="77777777" w:rsidR="00733DCA" w:rsidRDefault="00733DCA">
      <w:pPr>
        <w:rPr>
          <w:noProof/>
        </w:rPr>
      </w:pPr>
    </w:p>
    <w:p w14:paraId="5EE5D2E6" w14:textId="77777777" w:rsidR="00733DCA" w:rsidRDefault="00733DCA" w:rsidP="0001477B">
      <w:pPr>
        <w:pStyle w:val="paragraph"/>
        <w:spacing w:before="0" w:beforeAutospacing="0" w:after="0" w:afterAutospacing="0"/>
        <w:jc w:val="both"/>
        <w:textAlignment w:val="baseline"/>
        <w:rPr>
          <w:rFonts w:ascii="Segoe UI" w:hAnsi="Segoe UI" w:cs="Segoe UI"/>
          <w:noProof/>
          <w:sz w:val="18"/>
          <w:szCs w:val="18"/>
        </w:rPr>
      </w:pPr>
    </w:p>
    <w:p w14:paraId="40C7E5CD" w14:textId="77777777" w:rsidR="00733DCA" w:rsidRPr="00BC0323" w:rsidRDefault="00733DCA">
      <w:pPr>
        <w:rPr>
          <w:noProof/>
        </w:rPr>
        <w:sectPr w:rsidR="00733DCA" w:rsidRPr="00BC0323" w:rsidSect="00733DCA">
          <w:headerReference w:type="even" r:id="rId204"/>
          <w:headerReference w:type="default" r:id="rId205"/>
          <w:footerReference w:type="even" r:id="rId206"/>
          <w:footerReference w:type="default" r:id="rId207"/>
          <w:headerReference w:type="first" r:id="rId208"/>
          <w:footerReference w:type="first" r:id="rId209"/>
          <w:pgSz w:w="15840" w:h="12240" w:orient="landscape"/>
          <w:pgMar w:top="1440" w:right="1440" w:bottom="1440" w:left="709" w:header="708" w:footer="708" w:gutter="0"/>
          <w:cols w:space="708"/>
          <w:docGrid w:linePitch="360"/>
        </w:sectPr>
      </w:pPr>
    </w:p>
    <w:p w14:paraId="31D8B266" w14:textId="77777777" w:rsidR="00733DCA" w:rsidRPr="00BC0323" w:rsidRDefault="00733DCA">
      <w:pPr>
        <w:rPr>
          <w:noProof/>
        </w:rPr>
      </w:pPr>
    </w:p>
    <w:p w14:paraId="41068D5C" w14:textId="77777777" w:rsidR="00733DCA" w:rsidRPr="00127F33" w:rsidRDefault="00733DCA" w:rsidP="0001477B">
      <w:pPr>
        <w:spacing w:before="120" w:after="120" w:line="240" w:lineRule="auto"/>
        <w:ind w:left="709"/>
        <w:jc w:val="both"/>
        <w:rPr>
          <w:rFonts w:ascii="Times New Roman" w:eastAsia="Calibri" w:hAnsi="Times New Roman" w:cs="Times New Roman"/>
          <w:b/>
          <w:smallCaps/>
          <w:noProof/>
          <w:sz w:val="24"/>
          <w:szCs w:val="24"/>
        </w:rPr>
      </w:pPr>
      <w:r>
        <w:rPr>
          <w:rFonts w:ascii="Times New Roman" w:hAnsi="Times New Roman"/>
          <w:b/>
          <w:smallCaps/>
          <w:noProof/>
          <w:sz w:val="24"/>
        </w:rPr>
        <w:tab/>
        <w:t>K. KOMPONENTA 2.5.: MODERNO PRAVOSUĐE SPREMNO ZA BUDUĆE IZAZOVE</w:t>
      </w:r>
    </w:p>
    <w:p w14:paraId="3369CEC6"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Jedan je od osnovnih strateških ciljeva istaknutih u NPOO-u postizanje učinkovitog i djelotvornog pravosudnog sustava koji će doprinijeti razvoju gospodarstva i odgovoriti na očekivanja građana u pogledu daljnjeg jačanja vladavine prava. Komponenta uključuje jednu glavnu reformu kojom će se doprinijeti smanjenju broja neriješenih predmeta i skraćivanju sudskih postupaka. </w:t>
      </w:r>
    </w:p>
    <w:p w14:paraId="7D2E5F49"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Komponentom se podržava ispunjenje preporuka za Hrvatsku o potrebi daljnjeg skraćenja sudskih postupaka i o unapređenju elektroničke komunikacije na sudovima (4. preporuka za Hrvatsku iz 2019. i 4. preporuka za Hrvatsku iz 2020.).</w:t>
      </w:r>
    </w:p>
    <w:p w14:paraId="770A8028" w14:textId="77777777" w:rsidR="00733DCA" w:rsidRPr="00127F33"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Komponenta uključuje jednu reformu i šest ulaganja.</w:t>
      </w:r>
    </w:p>
    <w:p w14:paraId="68E37C7C" w14:textId="77777777" w:rsidR="00733DCA" w:rsidRPr="00127F33"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K.1. </w:t>
      </w:r>
      <w:r>
        <w:rPr>
          <w:rFonts w:ascii="Times New Roman" w:hAnsi="Times New Roman"/>
          <w:b/>
          <w:noProof/>
          <w:sz w:val="24"/>
          <w:u w:val="single"/>
        </w:rPr>
        <w:tab/>
        <w:t>Opis reformi i ulaganja za programe bespovratne financijske potpore</w:t>
      </w:r>
    </w:p>
    <w:p w14:paraId="7A2B87EC" w14:textId="77777777" w:rsidR="00733DCA" w:rsidRPr="00127F33" w:rsidRDefault="00733DCA" w:rsidP="0001477B">
      <w:pPr>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Reforma: C2.5. R1 – Povećanje učinkovitosti pravosudnog sustava za veće povjerenje građana</w:t>
      </w:r>
    </w:p>
    <w:p w14:paraId="730A51A2"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uspostavljanje pravnog, organizacijskog i tehnološkog okvira koji će doprinijeti smanjenju broja neriješenih predmeta, skraćivanju sudskih postupaka i usmjerenju na transparentno i učinkovito upravljanje pravosudnim sustavom. </w:t>
      </w:r>
    </w:p>
    <w:p w14:paraId="6DEA9914"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 sljedeće zakonodavne i postupovne promjene:</w:t>
      </w:r>
    </w:p>
    <w:p w14:paraId="737A392C"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izmjene Stečajnog zakona i Zakona o stečaju potrošača s ciljem povećanja učinkovitosti stečajnog postupka, poboljšanja sustava imenovanja stečajnih upravitelja i nadzora obavljanja usluge, provedbe Direktive (EU) 2019/1023 i izmjene članka 212. Stečajnog zakona koji se odnosi na pobijanje radnji stečajnog dužnika,</w:t>
      </w:r>
    </w:p>
    <w:p w14:paraId="32F030A4"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izmjene zakonodavnog okvira u području pravosuđa, među ostalim:</w:t>
      </w:r>
    </w:p>
    <w:p w14:paraId="4386CD88"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izmjene Zakona o parničnom postupku i Zakona o upravnim sporovima radi skraćivanja sudskih postupaka, bržeg rješavanja upravnih sporova, smanjenja priljeva predmeta i smanjenja troškova, </w:t>
      </w:r>
    </w:p>
    <w:p w14:paraId="2587BEF6"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odobrenje novog Zakona o izvanparničnom postupku, kako bi se građanima olakšao pristup sudu, osigurala kvalitetna i transparentna pravna zaštita i otklonila pravna nesigurnost;</w:t>
      </w:r>
    </w:p>
    <w:p w14:paraId="63B5B410"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izmjene Zakona o javnom bilježništvu s ciljem moderniziranja rada javnih bilježnika primjenom rješenja IKT-a,</w:t>
      </w:r>
    </w:p>
    <w:p w14:paraId="4CC9BBB4"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izmjene Zakona o zemljišnim knjigama radi elektroničkog vođenja predmeta, s ciljem omogućavanja učinkovitije preraspodjela predmeta unutar sudova,</w:t>
      </w:r>
    </w:p>
    <w:p w14:paraId="7232C5D3"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izmjene Zakona o sudovima i Zakona o područjima i sjedištima sudova, kojima će se omogućiti specijalizacija sudaca i uspostava specijaliziranih obiteljskih odjela u općinskim sudovima, s ciljem osiguravanja učinkovitije razine sudske zaštite za najranjivije skupine u društvu, djecu, i revidirati uvjeti za pružanje sudskog vještačenja i tumačenja, među kojima će važno mjesto zauzimati sustav obveznog stručnoj usavršavanja. Nadležnost za odlučivanje o statusnim pitanjima prenijet će se sa sudova na Ministarstvo pravosuđa i uprave te će se ojačati sustav nadzora nad radom te sustav njihove odgovornosti,</w:t>
      </w:r>
    </w:p>
    <w:p w14:paraId="20DC1CE6"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donošenje novih Okvirnih mjerila za rad sudaca kojima se propisuje povećanje broja predmeta koje je potrebno riješiti, s ciljem poticanja rješavanja, osobito starijih, predmeta u većem broju. Nadalje, uvođenje alata za aktivno upravljanje predmetima na odabranim sudovima, uključujući Općinski građanski sud u Zagrebu, s ciljem povećanja učinkovitosti. To će obuhvaćati kreiranje kontrolnih popisa i alate za označivanje i samoprocjenu na temelju međunarodnog okvira za izvrsnost u pravosuđu.</w:t>
      </w:r>
    </w:p>
    <w:p w14:paraId="374D771A"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 sljedeće organizacijske promjene:</w:t>
      </w:r>
    </w:p>
    <w:p w14:paraId="31DEE83A"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osnivanje četiriju centara za mirenje na trgovačkim sudovima u Zagrebu, Splitu, Osijeku i Rijeci te izmjene Zakona o mirenju kako bi se doprinijelo daljnjem unapređenju instituta dobrovoljnog mirenja u parničnim i upravnim sporovima te smanjiti trajanje i troškovi postupaka, </w:t>
      </w:r>
    </w:p>
    <w:p w14:paraId="4F7FD35C"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uvođenje novih programa osposobljavanja u okviru programa pravosudne izobrazbe pravosudnih dužnosnika i službenika pravosudnih tijela u Pravosudnoj akademiji s naglaskom na:</w:t>
      </w:r>
    </w:p>
    <w:p w14:paraId="75DC458A"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razvoj vještina (vještine vođenja i upravljanja za predsjednike sudova, upravljanje sudovima za ravnatelje sudskih uprava i komunikacijske vještine za osoblje sudova – tri programa),</w:t>
      </w:r>
    </w:p>
    <w:p w14:paraId="1E64A629"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promicanje vladavine prava i temeljnih prava visokokvalitetnim obrazovanjem u hrvatskom pravosuđu,</w:t>
      </w:r>
    </w:p>
    <w:p w14:paraId="16474372" w14:textId="77777777" w:rsidR="00733DCA" w:rsidRPr="00127F33" w:rsidRDefault="00733DCA" w:rsidP="00733DCA">
      <w:pPr>
        <w:numPr>
          <w:ilvl w:val="1"/>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specijalizirane programe osposobljavanja za suce u stečajnim postupcima i osposobljavanje sudaca u području obiteljskog prava.</w:t>
      </w:r>
    </w:p>
    <w:p w14:paraId="46F32A01"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 sljedeće tehnološke promjene koje će se podržati ulaganjima C2.5. R1-I1, C2.5. R1-I2 i C2.5. R1-I3.</w:t>
      </w:r>
    </w:p>
    <w:p w14:paraId="799F4E0A"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Izmjena Zakona o kaznenom postupku kako bi se omogućila primjena IKT-a u kaznenim postupcima, uključujući uvođenje održavanja ročišta na daljinu, proširenje mogućnosti davanja iskaza na daljinu za žrtve kaznenih dijela, mogućnost komunikacije s odvjetnicima putem sigurne video-veze i pripreme za ročišta okrivljenicima u istražnom zatvoru te uvođenje e-komunikacije.</w:t>
      </w:r>
    </w:p>
    <w:p w14:paraId="6F81C220"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Osiguravanje elektroničkih alata i odgovarajućih administrativnih kapaciteta Državnom sudbenom vijeću (DSV) i Državnoodvjetničkom vijeću (DOV) radi poboljšanja kvalitete njihova rada. Provest će se povećanje ljudskih resursa za 50 % (zapošljavanjem najmanje četiriju osoba) i povezivanje DSV-a i DOV-a sa Zajedničkim informacijskim sustavom zemljišnih knjiga i katastra (ZIS) i informacijskim sustavom Porezne uprave kako bi se uspostavio učinkovit mehanizam za provjeru imovinskih kartica državnih službenika.</w:t>
      </w:r>
    </w:p>
    <w:p w14:paraId="6001466D"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30. lipnja 2026.</w:t>
      </w:r>
    </w:p>
    <w:p w14:paraId="2BF7A6BB" w14:textId="77777777" w:rsidR="00733DCA" w:rsidRPr="00127F33" w:rsidRDefault="00733DCA" w:rsidP="008D7238">
      <w:pPr>
        <w:pageBreakBefore/>
        <w:spacing w:before="120" w:after="120" w:line="240" w:lineRule="auto"/>
        <w:ind w:left="851"/>
        <w:jc w:val="both"/>
        <w:rPr>
          <w:rFonts w:ascii="Times New Roman" w:eastAsia="Calibri" w:hAnsi="Times New Roman" w:cs="Times New Roman"/>
          <w:noProof/>
          <w:sz w:val="24"/>
          <w:u w:val="single"/>
        </w:rPr>
      </w:pPr>
      <w:r>
        <w:rPr>
          <w:rFonts w:ascii="Times New Roman" w:hAnsi="Times New Roman"/>
          <w:noProof/>
          <w:sz w:val="24"/>
          <w:u w:val="single"/>
        </w:rPr>
        <w:t>Ulaganje C2.5. R1-I1 – Unapređenje sustava za upravljanje sudskim predmetima (eSpis)</w:t>
      </w:r>
    </w:p>
    <w:p w14:paraId="56C41352"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dodatno nadograditi sustav eSpis (svih modula, a pogotovo modula e-Komunikacija radi omogućavanja elektroničke komunikacije za sve sudionike sudskih postupaka) i prelazak na centralizirano hardversko i softversko rješenje koje će omogućiti bolje i jeftinije buduće nadogradnje i održivost razvoja, ali i stabilnost, operabilnost i sigurnost sustava eSpis. </w:t>
      </w:r>
    </w:p>
    <w:p w14:paraId="3B262441"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uključuje dodavanje novih funkcionalnosti u sustav eSpis radi poboljšanja digitalizacije pravosudnog sustava:</w:t>
      </w:r>
    </w:p>
    <w:p w14:paraId="4149A7EE"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potpuna elektronička dostava dokumenata e-građanima s korisničkim poštanskim sandučićima i informacije o elektroničkoj dostavi u slučaju slanja dokumenata fizičkom dostavom, </w:t>
      </w:r>
    </w:p>
    <w:p w14:paraId="41BC38E4"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poboljšano korisničko iskustvo na temelju provedbe akcijskog plana koji sadržava preporuke o tehničkim i informatičkim aspektima (preporuke o upravnim i poslovnim procesima i tehničke preporuke), </w:t>
      </w:r>
    </w:p>
    <w:p w14:paraId="6CDF5E17" w14:textId="77777777" w:rsidR="00733DCA" w:rsidRPr="00127F33" w:rsidRDefault="00733DCA" w:rsidP="00733DCA">
      <w:pPr>
        <w:numPr>
          <w:ilvl w:val="0"/>
          <w:numId w:val="21"/>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nova arhitektura integrirana u CDU (Državni oblak) radi otklanjanja sistemskih uskih grla, povećanja stabilnosti i omogućavanja interoperabilnosti s drugim sustavima.</w:t>
      </w:r>
    </w:p>
    <w:p w14:paraId="50297B56"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2024.</w:t>
      </w:r>
    </w:p>
    <w:p w14:paraId="626D6A22" w14:textId="77777777" w:rsidR="00733DCA" w:rsidRPr="00127F33"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C2.5. R1-I2 – Unapređenje informacijskog sustava zemljišnih knjiga i katastra</w:t>
      </w:r>
    </w:p>
    <w:p w14:paraId="1A8D76AA"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povećati opseg i kvalitetu povezanih zemljišnoknjižnih i katastarskih podataka u Bazi zemljišnih podataka (BZP) s trenutačnih 3,86 % za dodatnih 60 % te primjenom softverskog modula (virtualni asistent) temeljenog na umjetnoj inteligenciji povećati učinkovitost rada u zemljišnoknjižnim postupcima, a građanima i poslovnim subjektima pružiti korisničku podršku i poticaj za uređenje zemljišnoknjižnog i katastarskog stanja.  Ulaganje će se provesti s krajnjim ciljem do 100 % stope završenosti (60 % do 2026.).</w:t>
      </w:r>
    </w:p>
    <w:p w14:paraId="400E2935"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7A4F9ABC" w14:textId="77777777" w:rsidR="00733DCA" w:rsidRPr="00127F33"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C2.5. R1-I3 – Razvoj alata za javnu objavu i pretraživanje sudskih odluka</w:t>
      </w:r>
    </w:p>
    <w:p w14:paraId="5AF01F3F"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uspostaviti sustav objave svih sudskih odluka uz prethodnu automatsku anonimizaciju primjenom posebnog softvera te ih objaviti na jedinstvenom javno dostupnom portalu uz razrađene mogućnosti pretraživanja., uz poštovanje pravila o zaštiti osobnih podataka. </w:t>
      </w:r>
    </w:p>
    <w:p w14:paraId="48EBA4F4"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2024.</w:t>
      </w:r>
    </w:p>
    <w:p w14:paraId="13240227" w14:textId="77777777" w:rsidR="00733DCA" w:rsidRPr="00127F33"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C2.5. R1-I4 – Projektiranje i provedba projekta Trga pravde u Zagrebu za poboljšanje pristupa pravosuđu i učinkovitost trgovačkih postupaka i upravnih sporova</w:t>
      </w:r>
    </w:p>
    <w:p w14:paraId="67736004"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modernizirati fizičku infrastrukturu i osigurati odgovarajuće uvjete za rad trgovačkih i upravnih sudova sa sjedištem u Zagrebu premještanjem upravnih i trgovačkih sudova sa sjedištem u Zagrebu na centralnu lokaciju. Nadalje, u cilju provedbe reformske mjere osnaživanja mirenja nužno je osigurati odgovarajuće infrastrukturne preduvjete za rad Centra za mirenje koji se također planira smjestiti na Trg pravde.</w:t>
      </w:r>
    </w:p>
    <w:p w14:paraId="50376F17"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uključuje izgradnju podzemne garaže površine 50 000 m</w:t>
      </w:r>
      <w:r>
        <w:rPr>
          <w:rFonts w:ascii="Times New Roman" w:hAnsi="Times New Roman"/>
          <w:noProof/>
          <w:sz w:val="24"/>
          <w:vertAlign w:val="superscript"/>
        </w:rPr>
        <w:t>2</w:t>
      </w:r>
      <w:r>
        <w:rPr>
          <w:rFonts w:ascii="Times New Roman" w:hAnsi="Times New Roman"/>
          <w:noProof/>
          <w:sz w:val="24"/>
        </w:rPr>
        <w:t xml:space="preserve"> i zgrade površine 24 000 m</w:t>
      </w:r>
      <w:r>
        <w:rPr>
          <w:rFonts w:ascii="Times New Roman" w:hAnsi="Times New Roman"/>
          <w:noProof/>
          <w:sz w:val="24"/>
          <w:vertAlign w:val="superscript"/>
        </w:rPr>
        <w:t>2</w:t>
      </w:r>
      <w:r>
        <w:rPr>
          <w:rFonts w:ascii="Times New Roman" w:hAnsi="Times New Roman"/>
          <w:noProof/>
          <w:sz w:val="24"/>
        </w:rPr>
        <w:t>.</w:t>
      </w:r>
    </w:p>
    <w:p w14:paraId="79ADA5EF"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15C3C733" w14:textId="77777777" w:rsidR="00733DCA" w:rsidRPr="00127F33"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C2.5. R1-I5 – Provedba mjera povezanih s energetskom učinkovitošću u obnovi zastarjelih objekata pravosudnih tijela</w:t>
      </w:r>
    </w:p>
    <w:p w14:paraId="12BDAF4B"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modernizirati i povećati učinkovitost rada dijela pravosudnih i kaznenih tijela na državnom području Hrvatske provedbom mjera povezanih s energetskom učinkovitošću, što će doprinijeti zelenoj tranziciji. Ukupno 20 zgrada pravosudnog sustava udovoljava standardima racionalne upotrebe energije i toplinske zaštite. Ulaganje se u prosjeku odnosi na obnovu barem srednje dubine, kako je definirana u Preporuci Komisije obnovi zgrada (EU) 2019/786, kojom se postiže barem 30 %-tno smanjenje potražnje za primarnom energijom; ili postići u prosjeku barem 30 %-tno smanjenje izravnih i neizravnih emisija stakleničkih plinova u odnosu na emisije prije obnove. Nadalje, pristup zgradama prilagodit će se osobama s invaliditetom. Za to ulaganje prednost se daje pravosudnim tijelima smještenima u gospodarski slabije razvijenim dijelovima Hrvatske.</w:t>
      </w:r>
    </w:p>
    <w:p w14:paraId="11FA99D4"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2024.</w:t>
      </w:r>
    </w:p>
    <w:p w14:paraId="55EC1BBA" w14:textId="77777777" w:rsidR="00733DCA" w:rsidRPr="00127F33"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C2.5. R1-I6 – Stabilna i otporna IT infrastruktura informacijskog sustava pravosuđa</w:t>
      </w:r>
    </w:p>
    <w:p w14:paraId="5DF093DF" w14:textId="77777777" w:rsidR="00733DCA" w:rsidRPr="00127F33"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dodatno ažurirati i konsolidirati postojeće aplikacije za Državni oblak (CDU) i dalje razvijati infrastrukturu informacijskih sustava u pravosuđu kako bi se osigurala potpuna provedba akcijskih planova na nacionalnoj razini i razini EU-a. Uspostavit će se nova mrežna arhitektura i ugraditi nova mrežna oprema kako bi se povećala sigurnost informacijskih sustava i poduprli potrebni mrežni kapaciteti (posebno zbog migracije IT sustava u Državni oblak i povećane stabilnosti aplikacija).  Svi prvostupanjski sudovi bit će opremljeni i ispunjivati uvjete za održavanje ročišta na daljinu.</w:t>
      </w:r>
    </w:p>
    <w:p w14:paraId="7165C207" w14:textId="77777777" w:rsidR="00733DCA" w:rsidRPr="00127F33"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dovršeno do 31. prosinca 2025.</w:t>
      </w:r>
    </w:p>
    <w:p w14:paraId="67D17596" w14:textId="77777777" w:rsidR="00733DCA" w:rsidRDefault="00733DCA">
      <w:pPr>
        <w:rPr>
          <w:noProof/>
          <w:lang w:val="en-GB"/>
        </w:rPr>
        <w:sectPr w:rsidR="00733DCA" w:rsidSect="00733DCA">
          <w:headerReference w:type="even" r:id="rId210"/>
          <w:headerReference w:type="default" r:id="rId211"/>
          <w:footerReference w:type="even" r:id="rId212"/>
          <w:footerReference w:type="default" r:id="rId213"/>
          <w:headerReference w:type="first" r:id="rId214"/>
          <w:footerReference w:type="first" r:id="rId215"/>
          <w:pgSz w:w="12240" w:h="15840"/>
          <w:pgMar w:top="1440" w:right="1440" w:bottom="709" w:left="1440" w:header="708" w:footer="708" w:gutter="0"/>
          <w:cols w:space="708"/>
          <w:docGrid w:linePitch="360"/>
        </w:sectPr>
      </w:pPr>
    </w:p>
    <w:p w14:paraId="6998DCD2" w14:textId="77777777" w:rsidR="00733DCA" w:rsidRPr="00127F33"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K.2. </w:t>
      </w:r>
      <w:r>
        <w:rPr>
          <w:rFonts w:ascii="Times New Roman" w:hAnsi="Times New Roman"/>
          <w:b/>
          <w:noProof/>
          <w:sz w:val="24"/>
          <w:u w:val="single"/>
        </w:rPr>
        <w:tab/>
        <w:t>Ključne etape, ciljne vrijednosti, pokazatelji i vremenski raspored za praćenje i provedbu programa bespovratne financijske potpore</w:t>
      </w:r>
    </w:p>
    <w:tbl>
      <w:tblPr>
        <w:tblW w:w="15027" w:type="dxa"/>
        <w:tblInd w:w="-965" w:type="dxa"/>
        <w:tblCellMar>
          <w:top w:w="28" w:type="dxa"/>
          <w:left w:w="28" w:type="dxa"/>
          <w:bottom w:w="28" w:type="dxa"/>
          <w:right w:w="28" w:type="dxa"/>
        </w:tblCellMar>
        <w:tblLook w:val="04A0" w:firstRow="1" w:lastRow="0" w:firstColumn="1" w:lastColumn="0" w:noHBand="0" w:noVBand="1"/>
      </w:tblPr>
      <w:tblGrid>
        <w:gridCol w:w="1135"/>
        <w:gridCol w:w="1134"/>
        <w:gridCol w:w="992"/>
        <w:gridCol w:w="1843"/>
        <w:gridCol w:w="2265"/>
        <w:gridCol w:w="1168"/>
        <w:gridCol w:w="836"/>
        <w:gridCol w:w="850"/>
        <w:gridCol w:w="425"/>
        <w:gridCol w:w="709"/>
        <w:gridCol w:w="3680"/>
      </w:tblGrid>
      <w:tr w:rsidR="00215DFD" w:rsidRPr="00127F33" w14:paraId="15ABD6B9" w14:textId="77777777" w:rsidTr="008D7238">
        <w:trPr>
          <w:trHeight w:val="636"/>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5C629F" w14:textId="77777777" w:rsidR="00733DCA" w:rsidRPr="00127F33"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402AAD"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Mjera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7B22289"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Ključna etapa / ciljna vrijednost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E3CCFE"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Naziv</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3C0357"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E58FCFE"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14:paraId="46EE74B0"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Vrijeme</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FF6AAA"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Opis svake ključne etape i ciljne vrijednosti</w:t>
            </w:r>
          </w:p>
        </w:tc>
      </w:tr>
      <w:tr w:rsidR="00215DFD" w:rsidRPr="00127F33" w14:paraId="00F24CDE" w14:textId="77777777" w:rsidTr="008D7238">
        <w:trPr>
          <w:trHeight w:val="503"/>
          <w:tblHeader/>
        </w:trPr>
        <w:tc>
          <w:tcPr>
            <w:tcW w:w="1135" w:type="dxa"/>
            <w:vMerge/>
            <w:tcBorders>
              <w:top w:val="single" w:sz="4" w:space="0" w:color="auto"/>
              <w:left w:val="single" w:sz="4" w:space="0" w:color="auto"/>
              <w:bottom w:val="single" w:sz="4" w:space="0" w:color="auto"/>
              <w:right w:val="single" w:sz="4" w:space="0" w:color="auto"/>
            </w:tcBorders>
            <w:hideMark/>
          </w:tcPr>
          <w:p w14:paraId="7C593E50"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06B86B5E"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6BFBA2A1"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2F9ADE25"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2265" w:type="dxa"/>
            <w:vMerge/>
            <w:tcBorders>
              <w:top w:val="single" w:sz="4" w:space="0" w:color="auto"/>
              <w:left w:val="single" w:sz="4" w:space="0" w:color="auto"/>
              <w:bottom w:val="single" w:sz="4" w:space="0" w:color="auto"/>
              <w:right w:val="single" w:sz="4" w:space="0" w:color="auto"/>
            </w:tcBorders>
            <w:hideMark/>
          </w:tcPr>
          <w:p w14:paraId="6348FB65"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vAlign w:val="center"/>
            <w:hideMark/>
          </w:tcPr>
          <w:p w14:paraId="01E13640"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vAlign w:val="center"/>
            <w:hideMark/>
          </w:tcPr>
          <w:p w14:paraId="37EADF96"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vAlign w:val="center"/>
            <w:hideMark/>
          </w:tcPr>
          <w:p w14:paraId="48904906"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vAlign w:val="center"/>
            <w:hideMark/>
          </w:tcPr>
          <w:p w14:paraId="624E3941"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Q</w:t>
            </w:r>
          </w:p>
        </w:tc>
        <w:tc>
          <w:tcPr>
            <w:tcW w:w="709" w:type="dxa"/>
            <w:tcBorders>
              <w:top w:val="nil"/>
              <w:left w:val="nil"/>
              <w:bottom w:val="single" w:sz="4" w:space="0" w:color="auto"/>
              <w:right w:val="single" w:sz="4" w:space="0" w:color="auto"/>
            </w:tcBorders>
            <w:shd w:val="clear" w:color="auto" w:fill="BDD7EE"/>
            <w:vAlign w:val="center"/>
            <w:hideMark/>
          </w:tcPr>
          <w:p w14:paraId="6DF756CA" w14:textId="77777777" w:rsidR="00733DCA" w:rsidRPr="00127F33"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Godina</w:t>
            </w:r>
          </w:p>
        </w:tc>
        <w:tc>
          <w:tcPr>
            <w:tcW w:w="3680" w:type="dxa"/>
            <w:vMerge/>
            <w:tcBorders>
              <w:top w:val="single" w:sz="4" w:space="0" w:color="auto"/>
              <w:bottom w:val="single" w:sz="4" w:space="0" w:color="auto"/>
              <w:right w:val="single" w:sz="4" w:space="0" w:color="auto"/>
            </w:tcBorders>
            <w:hideMark/>
          </w:tcPr>
          <w:p w14:paraId="44C97DF7" w14:textId="77777777" w:rsidR="00733DCA" w:rsidRPr="00127F33" w:rsidRDefault="00733DCA" w:rsidP="0001477B">
            <w:pPr>
              <w:spacing w:after="0" w:line="276" w:lineRule="auto"/>
              <w:rPr>
                <w:rFonts w:ascii="Times New Roman" w:eastAsia="Times New Roman" w:hAnsi="Times New Roman" w:cs="Times New Roman"/>
                <w:b/>
                <w:noProof/>
                <w:lang w:val="en-GB" w:eastAsia="en-GB"/>
              </w:rPr>
            </w:pPr>
          </w:p>
        </w:tc>
      </w:tr>
      <w:tr w:rsidR="00215DFD" w:rsidRPr="00127F33" w14:paraId="52CC7079" w14:textId="77777777" w:rsidTr="008D7238">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6A7B95D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214</w:t>
            </w:r>
          </w:p>
        </w:tc>
        <w:tc>
          <w:tcPr>
            <w:tcW w:w="1134" w:type="dxa"/>
            <w:tcBorders>
              <w:top w:val="single" w:sz="4" w:space="0" w:color="auto"/>
              <w:left w:val="nil"/>
              <w:bottom w:val="single" w:sz="4" w:space="0" w:color="auto"/>
              <w:right w:val="single" w:sz="4" w:space="0" w:color="auto"/>
            </w:tcBorders>
            <w:shd w:val="clear" w:color="auto" w:fill="C6EFCE"/>
            <w:noWrap/>
          </w:tcPr>
          <w:p w14:paraId="22307E53"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single" w:sz="4" w:space="0" w:color="auto"/>
              <w:left w:val="nil"/>
              <w:bottom w:val="single" w:sz="4" w:space="0" w:color="auto"/>
              <w:right w:val="single" w:sz="4" w:space="0" w:color="auto"/>
            </w:tcBorders>
            <w:shd w:val="clear" w:color="auto" w:fill="C6EFCE"/>
            <w:noWrap/>
          </w:tcPr>
          <w:p w14:paraId="396B08F3"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5A43211A"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Osigurani elektronički alati i odgovarajući administrativni kapaciteti za DSV i DOV</w:t>
            </w:r>
          </w:p>
        </w:tc>
        <w:tc>
          <w:tcPr>
            <w:tcW w:w="2265" w:type="dxa"/>
            <w:tcBorders>
              <w:top w:val="single" w:sz="4" w:space="0" w:color="auto"/>
              <w:left w:val="nil"/>
              <w:bottom w:val="single" w:sz="4" w:space="0" w:color="auto"/>
              <w:right w:val="single" w:sz="4" w:space="0" w:color="auto"/>
            </w:tcBorders>
            <w:shd w:val="clear" w:color="auto" w:fill="C6EFCE"/>
            <w:noWrap/>
          </w:tcPr>
          <w:p w14:paraId="5C59BF94"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Osigurani elektronički alati i odgovarajući administrativni kapaciteti za DSV i DOV</w:t>
            </w:r>
          </w:p>
        </w:tc>
        <w:tc>
          <w:tcPr>
            <w:tcW w:w="1168" w:type="dxa"/>
            <w:tcBorders>
              <w:top w:val="single" w:sz="4" w:space="0" w:color="auto"/>
              <w:left w:val="nil"/>
              <w:bottom w:val="single" w:sz="4" w:space="0" w:color="auto"/>
              <w:right w:val="single" w:sz="4" w:space="0" w:color="auto"/>
            </w:tcBorders>
            <w:shd w:val="clear" w:color="auto" w:fill="C6EFCE"/>
            <w:noWrap/>
          </w:tcPr>
          <w:p w14:paraId="7A17887F"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73DC7A60"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6C4FBA05"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49A0497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single" w:sz="4" w:space="0" w:color="auto"/>
              <w:left w:val="nil"/>
              <w:bottom w:val="single" w:sz="4" w:space="0" w:color="auto"/>
              <w:right w:val="single" w:sz="4" w:space="0" w:color="auto"/>
            </w:tcBorders>
            <w:shd w:val="clear" w:color="auto" w:fill="C6EFCE"/>
            <w:noWrap/>
          </w:tcPr>
          <w:p w14:paraId="252FAA4F"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680" w:type="dxa"/>
            <w:tcBorders>
              <w:top w:val="single" w:sz="4" w:space="0" w:color="auto"/>
              <w:left w:val="nil"/>
              <w:bottom w:val="single" w:sz="4" w:space="0" w:color="auto"/>
              <w:right w:val="single" w:sz="4" w:space="0" w:color="auto"/>
            </w:tcBorders>
            <w:shd w:val="clear" w:color="auto" w:fill="C6EFCE"/>
            <w:noWrap/>
          </w:tcPr>
          <w:p w14:paraId="30A55C23"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 funkciji su elektronički alati i odgovarajući administrativni kapaciteti za DSV i DOV namijenjeni poboljšanju kvalitete njihova rada. Njihovi ljudski resursi povećat će se za 50 % u odnosu na osnovnu vrijednost iz 2021. (zapošljavanjem najmanje četiriju osoba), a DSV i DOV će se povezati sa ZIS-om i informacijskim sustavom Porezne uprave kako bi se uspostavio učinkovit mehanizam za provjeru imovinskih kartica državnih službenika.</w:t>
            </w:r>
          </w:p>
        </w:tc>
      </w:tr>
      <w:tr w:rsidR="00215DFD" w:rsidRPr="00127F33" w14:paraId="62784448"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0803AFE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215</w:t>
            </w:r>
          </w:p>
        </w:tc>
        <w:tc>
          <w:tcPr>
            <w:tcW w:w="1134" w:type="dxa"/>
            <w:tcBorders>
              <w:top w:val="nil"/>
              <w:left w:val="nil"/>
              <w:bottom w:val="single" w:sz="4" w:space="0" w:color="auto"/>
              <w:right w:val="single" w:sz="4" w:space="0" w:color="auto"/>
            </w:tcBorders>
            <w:shd w:val="clear" w:color="auto" w:fill="C6EFCE"/>
            <w:noWrap/>
          </w:tcPr>
          <w:p w14:paraId="10809BA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nil"/>
              <w:left w:val="nil"/>
              <w:bottom w:val="single" w:sz="4" w:space="0" w:color="auto"/>
              <w:right w:val="single" w:sz="4" w:space="0" w:color="auto"/>
            </w:tcBorders>
            <w:shd w:val="clear" w:color="auto" w:fill="C6EFCE"/>
            <w:noWrap/>
          </w:tcPr>
          <w:p w14:paraId="30E0CC0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nil"/>
              <w:left w:val="nil"/>
              <w:bottom w:val="single" w:sz="4" w:space="0" w:color="auto"/>
              <w:right w:val="single" w:sz="4" w:space="0" w:color="auto"/>
            </w:tcBorders>
            <w:shd w:val="clear" w:color="auto" w:fill="C6EFCE"/>
            <w:noWrap/>
          </w:tcPr>
          <w:p w14:paraId="3B0031BD"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izmjena Stečajnog zakona i Zakona o stečaju potrošača</w:t>
            </w:r>
          </w:p>
        </w:tc>
        <w:tc>
          <w:tcPr>
            <w:tcW w:w="2265" w:type="dxa"/>
            <w:tcBorders>
              <w:top w:val="nil"/>
              <w:left w:val="nil"/>
              <w:bottom w:val="single" w:sz="4" w:space="0" w:color="auto"/>
              <w:right w:val="single" w:sz="4" w:space="0" w:color="auto"/>
            </w:tcBorders>
            <w:shd w:val="clear" w:color="auto" w:fill="C6EFCE"/>
            <w:noWrap/>
          </w:tcPr>
          <w:p w14:paraId="1180E98B"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Stečajnog zakona i Zakona o stečaju potrošača </w:t>
            </w:r>
          </w:p>
        </w:tc>
        <w:tc>
          <w:tcPr>
            <w:tcW w:w="1168" w:type="dxa"/>
            <w:tcBorders>
              <w:top w:val="nil"/>
              <w:left w:val="nil"/>
              <w:bottom w:val="single" w:sz="4" w:space="0" w:color="auto"/>
              <w:right w:val="single" w:sz="4" w:space="0" w:color="auto"/>
            </w:tcBorders>
            <w:shd w:val="clear" w:color="auto" w:fill="C6EFCE"/>
            <w:noWrap/>
          </w:tcPr>
          <w:p w14:paraId="198C30B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3235D7A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569F5FE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3B2F4E9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nil"/>
              <w:left w:val="nil"/>
              <w:bottom w:val="single" w:sz="4" w:space="0" w:color="auto"/>
              <w:right w:val="single" w:sz="4" w:space="0" w:color="auto"/>
            </w:tcBorders>
            <w:shd w:val="clear" w:color="auto" w:fill="C6EFCE"/>
            <w:noWrap/>
          </w:tcPr>
          <w:p w14:paraId="20E7456F"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680" w:type="dxa"/>
            <w:tcBorders>
              <w:top w:val="nil"/>
              <w:left w:val="nil"/>
              <w:bottom w:val="single" w:sz="4" w:space="0" w:color="auto"/>
              <w:right w:val="single" w:sz="4" w:space="0" w:color="auto"/>
            </w:tcBorders>
            <w:shd w:val="clear" w:color="auto" w:fill="C6EFCE"/>
            <w:noWrap/>
          </w:tcPr>
          <w:p w14:paraId="635F84D8"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Izmjene Stečajnog zakona i Zakona o stečaju potrošača (objava u Narodnim novinama), kojima će se osigurati veća učinkovitost stečajnih postupaka, poboljšati sustav organizacije i imenovanja stečajnih upravitelja i nadzor pružanja usluge, preventivno djeluju na potencijalno povećanje broja predmeta zbog posljedica pandemije bolesti COVID-19 i izmjena članka 212. Stečajnog zakona koji se odnosi na pobijanje radnji stečajnog dužnika.</w:t>
            </w:r>
          </w:p>
        </w:tc>
      </w:tr>
      <w:tr w:rsidR="00215DFD" w:rsidRPr="00127F33" w14:paraId="3049D21C"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3AE07AFD"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216</w:t>
            </w:r>
          </w:p>
        </w:tc>
        <w:tc>
          <w:tcPr>
            <w:tcW w:w="1134" w:type="dxa"/>
            <w:tcBorders>
              <w:top w:val="nil"/>
              <w:left w:val="nil"/>
              <w:bottom w:val="single" w:sz="4" w:space="0" w:color="auto"/>
              <w:right w:val="single" w:sz="4" w:space="0" w:color="auto"/>
            </w:tcBorders>
            <w:shd w:val="clear" w:color="auto" w:fill="C6EFCE"/>
            <w:noWrap/>
          </w:tcPr>
          <w:p w14:paraId="50DB06E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nil"/>
              <w:left w:val="nil"/>
              <w:bottom w:val="single" w:sz="4" w:space="0" w:color="auto"/>
              <w:right w:val="single" w:sz="4" w:space="0" w:color="auto"/>
            </w:tcBorders>
            <w:shd w:val="clear" w:color="auto" w:fill="C6EFCE"/>
            <w:noWrap/>
          </w:tcPr>
          <w:p w14:paraId="7DA5120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nil"/>
              <w:left w:val="nil"/>
              <w:bottom w:val="single" w:sz="4" w:space="0" w:color="auto"/>
              <w:right w:val="single" w:sz="4" w:space="0" w:color="auto"/>
            </w:tcBorders>
            <w:shd w:val="clear" w:color="auto" w:fill="C6EFCE"/>
            <w:noWrap/>
          </w:tcPr>
          <w:p w14:paraId="40B17A46"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izmjena Zakona o kaznenom postupku</w:t>
            </w:r>
          </w:p>
        </w:tc>
        <w:tc>
          <w:tcPr>
            <w:tcW w:w="2265" w:type="dxa"/>
            <w:tcBorders>
              <w:top w:val="nil"/>
              <w:left w:val="nil"/>
              <w:bottom w:val="single" w:sz="4" w:space="0" w:color="auto"/>
              <w:right w:val="single" w:sz="4" w:space="0" w:color="auto"/>
            </w:tcBorders>
            <w:shd w:val="clear" w:color="auto" w:fill="C6EFCE"/>
            <w:noWrap/>
          </w:tcPr>
          <w:p w14:paraId="73ACA046"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Zakona o kaznenom postupku</w:t>
            </w:r>
          </w:p>
        </w:tc>
        <w:tc>
          <w:tcPr>
            <w:tcW w:w="1168" w:type="dxa"/>
            <w:tcBorders>
              <w:top w:val="nil"/>
              <w:left w:val="nil"/>
              <w:bottom w:val="single" w:sz="4" w:space="0" w:color="auto"/>
              <w:right w:val="single" w:sz="4" w:space="0" w:color="auto"/>
            </w:tcBorders>
            <w:shd w:val="clear" w:color="auto" w:fill="C6EFCE"/>
            <w:noWrap/>
          </w:tcPr>
          <w:p w14:paraId="408D9D4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13D6C253"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30E9995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0CAD228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nil"/>
              <w:left w:val="nil"/>
              <w:bottom w:val="single" w:sz="4" w:space="0" w:color="auto"/>
              <w:right w:val="single" w:sz="4" w:space="0" w:color="auto"/>
            </w:tcBorders>
            <w:shd w:val="clear" w:color="auto" w:fill="C6EFCE"/>
            <w:noWrap/>
          </w:tcPr>
          <w:p w14:paraId="6912998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680" w:type="dxa"/>
            <w:tcBorders>
              <w:top w:val="nil"/>
              <w:left w:val="nil"/>
              <w:bottom w:val="single" w:sz="4" w:space="0" w:color="auto"/>
              <w:right w:val="single" w:sz="4" w:space="0" w:color="auto"/>
            </w:tcBorders>
            <w:shd w:val="clear" w:color="auto" w:fill="C6EFCE"/>
            <w:noWrap/>
          </w:tcPr>
          <w:p w14:paraId="09983C31"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Izmjena Zakona o kaznenom postupku kojom se omogućava primjena IKT-a u kaznenim postupcima, uključujući uvođenje održavanja ročišta na daljinu, proširenje mogućnosti davanja iskaza na daljinu za žrtve kaznenih dijela, mogućnost komunikacije s odvjetnicima putem sigurne video-veze i pripreme za ročišta okrivljenicima u istražnom zatvoru te uvođenje e-komunikacije.</w:t>
            </w:r>
          </w:p>
        </w:tc>
      </w:tr>
      <w:tr w:rsidR="00215DFD" w:rsidRPr="00127F33" w14:paraId="6F4FBD59"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1B0E396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217</w:t>
            </w:r>
          </w:p>
        </w:tc>
        <w:tc>
          <w:tcPr>
            <w:tcW w:w="1134" w:type="dxa"/>
            <w:tcBorders>
              <w:top w:val="single" w:sz="4" w:space="0" w:color="auto"/>
              <w:left w:val="nil"/>
              <w:bottom w:val="single" w:sz="4" w:space="0" w:color="auto"/>
              <w:right w:val="single" w:sz="4" w:space="0" w:color="auto"/>
            </w:tcBorders>
            <w:shd w:val="clear" w:color="auto" w:fill="C6EFCE"/>
            <w:noWrap/>
          </w:tcPr>
          <w:p w14:paraId="0BBC742B"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single" w:sz="4" w:space="0" w:color="auto"/>
              <w:left w:val="nil"/>
              <w:bottom w:val="single" w:sz="4" w:space="0" w:color="auto"/>
              <w:right w:val="single" w:sz="4" w:space="0" w:color="auto"/>
            </w:tcBorders>
            <w:shd w:val="clear" w:color="auto" w:fill="C6EFCE"/>
            <w:noWrap/>
          </w:tcPr>
          <w:p w14:paraId="57C149FF"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2D409434"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 edukacijski programi uvedeni su u program stručnog usavršavanja pravosudnih dužnosnika i službenika </w:t>
            </w:r>
          </w:p>
        </w:tc>
        <w:tc>
          <w:tcPr>
            <w:tcW w:w="2265" w:type="dxa"/>
            <w:tcBorders>
              <w:top w:val="single" w:sz="4" w:space="0" w:color="auto"/>
              <w:left w:val="nil"/>
              <w:bottom w:val="single" w:sz="4" w:space="0" w:color="auto"/>
              <w:right w:val="single" w:sz="4" w:space="0" w:color="auto"/>
            </w:tcBorders>
            <w:shd w:val="clear" w:color="auto" w:fill="C6EFCE"/>
            <w:noWrap/>
          </w:tcPr>
          <w:p w14:paraId="21825D31"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213DF38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60B4238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79C4200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w:t>
            </w:r>
          </w:p>
        </w:tc>
        <w:tc>
          <w:tcPr>
            <w:tcW w:w="425" w:type="dxa"/>
            <w:tcBorders>
              <w:top w:val="single" w:sz="4" w:space="0" w:color="auto"/>
              <w:left w:val="nil"/>
              <w:bottom w:val="single" w:sz="4" w:space="0" w:color="auto"/>
              <w:right w:val="single" w:sz="4" w:space="0" w:color="auto"/>
            </w:tcBorders>
            <w:shd w:val="clear" w:color="auto" w:fill="C6EFCE"/>
            <w:noWrap/>
          </w:tcPr>
          <w:p w14:paraId="740D7D8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single" w:sz="4" w:space="0" w:color="auto"/>
              <w:left w:val="nil"/>
              <w:bottom w:val="single" w:sz="4" w:space="0" w:color="auto"/>
              <w:right w:val="single" w:sz="4" w:space="0" w:color="auto"/>
            </w:tcBorders>
            <w:shd w:val="clear" w:color="auto" w:fill="C6EFCE"/>
            <w:noWrap/>
          </w:tcPr>
          <w:p w14:paraId="4495FE9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680" w:type="dxa"/>
            <w:tcBorders>
              <w:top w:val="single" w:sz="4" w:space="0" w:color="auto"/>
              <w:left w:val="nil"/>
              <w:bottom w:val="single" w:sz="4" w:space="0" w:color="auto"/>
              <w:right w:val="single" w:sz="4" w:space="0" w:color="auto"/>
            </w:tcBorders>
            <w:shd w:val="clear" w:color="auto" w:fill="C6EFCE"/>
            <w:noWrap/>
          </w:tcPr>
          <w:p w14:paraId="49557AAB"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Šest novih edukacijskih programa provodi se kao dio programa stručnog usavršavanja pravosudnih dužnosnika i službenika u Pravosudnoj akademiji:</w:t>
            </w:r>
            <w:r>
              <w:rPr>
                <w:rFonts w:ascii="Calibri" w:hAnsi="Calibri"/>
                <w:noProof/>
                <w:color w:val="000000"/>
                <w:sz w:val="20"/>
              </w:rPr>
              <w:br/>
              <w:t>— razvoj vještina (vještine vođenja i upravljanja za predsjednike sudova, upravljanje sudovima za ravnatelje sudskih uprava i komunikacijske vještine za osoblje sudova – tri programa),</w:t>
            </w:r>
            <w:r>
              <w:rPr>
                <w:rFonts w:ascii="Calibri" w:hAnsi="Calibri"/>
                <w:noProof/>
                <w:color w:val="000000"/>
                <w:sz w:val="20"/>
              </w:rPr>
              <w:br/>
              <w:t>— promicanje vladavine prava i temeljnih prava visokokvalitetnim obrazovanjem u hrvatskom pravosuđu,</w:t>
            </w:r>
            <w:r>
              <w:rPr>
                <w:rFonts w:ascii="Calibri" w:hAnsi="Calibri"/>
                <w:noProof/>
                <w:color w:val="000000"/>
                <w:sz w:val="20"/>
              </w:rPr>
              <w:br/>
              <w:t>— specijalizirani programi osposobljavanja za suce u stečajnim postupcima i osposobljavanje sudaca u području obiteljskog prava.</w:t>
            </w:r>
          </w:p>
        </w:tc>
      </w:tr>
      <w:tr w:rsidR="00215DFD" w:rsidRPr="00127F33" w14:paraId="1632784A"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611FE74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218</w:t>
            </w:r>
          </w:p>
        </w:tc>
        <w:tc>
          <w:tcPr>
            <w:tcW w:w="1134" w:type="dxa"/>
            <w:tcBorders>
              <w:top w:val="nil"/>
              <w:left w:val="nil"/>
              <w:bottom w:val="single" w:sz="4" w:space="0" w:color="auto"/>
              <w:right w:val="single" w:sz="4" w:space="0" w:color="auto"/>
            </w:tcBorders>
            <w:shd w:val="clear" w:color="auto" w:fill="C6EFCE"/>
            <w:noWrap/>
          </w:tcPr>
          <w:p w14:paraId="1FF7A66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nil"/>
              <w:left w:val="nil"/>
              <w:bottom w:val="single" w:sz="4" w:space="0" w:color="auto"/>
              <w:right w:val="single" w:sz="4" w:space="0" w:color="auto"/>
            </w:tcBorders>
            <w:shd w:val="clear" w:color="auto" w:fill="C6EFCE"/>
            <w:noWrap/>
          </w:tcPr>
          <w:p w14:paraId="7AB82FB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nil"/>
              <w:left w:val="nil"/>
              <w:bottom w:val="single" w:sz="4" w:space="0" w:color="auto"/>
              <w:right w:val="single" w:sz="4" w:space="0" w:color="auto"/>
            </w:tcBorders>
            <w:shd w:val="clear" w:color="auto" w:fill="C6EFCE"/>
            <w:noWrap/>
          </w:tcPr>
          <w:p w14:paraId="070C2979"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izmjena zakonodavnog okvira u području pravosuđa s novim Zakonom o izvanparničnom postupku</w:t>
            </w:r>
          </w:p>
        </w:tc>
        <w:tc>
          <w:tcPr>
            <w:tcW w:w="2265" w:type="dxa"/>
            <w:tcBorders>
              <w:top w:val="nil"/>
              <w:left w:val="nil"/>
              <w:bottom w:val="single" w:sz="4" w:space="0" w:color="auto"/>
              <w:right w:val="single" w:sz="4" w:space="0" w:color="auto"/>
            </w:tcBorders>
            <w:shd w:val="clear" w:color="auto" w:fill="C6EFCE"/>
            <w:noWrap/>
          </w:tcPr>
          <w:p w14:paraId="789FC944"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Zakona o parničnom postupku, Zakona o upravnim sporovima, Zakona o zemljišnim knjigama, Zakona o sudovima, Zakona o područjima i sjedištima sudova, Zakona o javnom bilježništvu i novog Zakona o izvanparničnom postupku</w:t>
            </w:r>
          </w:p>
        </w:tc>
        <w:tc>
          <w:tcPr>
            <w:tcW w:w="1168" w:type="dxa"/>
            <w:tcBorders>
              <w:top w:val="nil"/>
              <w:left w:val="nil"/>
              <w:bottom w:val="single" w:sz="4" w:space="0" w:color="auto"/>
              <w:right w:val="single" w:sz="4" w:space="0" w:color="auto"/>
            </w:tcBorders>
            <w:shd w:val="clear" w:color="auto" w:fill="C6EFCE"/>
            <w:noWrap/>
          </w:tcPr>
          <w:p w14:paraId="24F92C6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0628C76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65759FE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C84BF61"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nil"/>
              <w:left w:val="nil"/>
              <w:bottom w:val="single" w:sz="4" w:space="0" w:color="auto"/>
              <w:right w:val="single" w:sz="4" w:space="0" w:color="auto"/>
            </w:tcBorders>
            <w:shd w:val="clear" w:color="auto" w:fill="C6EFCE"/>
            <w:noWrap/>
          </w:tcPr>
          <w:p w14:paraId="3BAED13E"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680" w:type="dxa"/>
            <w:tcBorders>
              <w:top w:val="nil"/>
              <w:left w:val="nil"/>
              <w:bottom w:val="single" w:sz="4" w:space="0" w:color="auto"/>
              <w:right w:val="single" w:sz="4" w:space="0" w:color="auto"/>
            </w:tcBorders>
            <w:shd w:val="clear" w:color="auto" w:fill="C6EFCE"/>
            <w:noWrap/>
          </w:tcPr>
          <w:p w14:paraId="3C9E0BAB"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 Izmjene Zakona o parničnom postupku i Zakona o upravnim sporovima, kojima se skraćuju sudski postupci, ubrzava rješavanje upravnih sporova, smanjuje priljev predmeta i smanjuju troškovi; </w:t>
            </w:r>
            <w:r>
              <w:rPr>
                <w:rFonts w:ascii="Calibri" w:hAnsi="Calibri"/>
                <w:noProof/>
                <w:color w:val="000000"/>
                <w:sz w:val="20"/>
              </w:rPr>
              <w:br/>
              <w:t>ii. novi Zakon o izvanparničnom postupku, kojim se olakšava pristup građana sudu, osigurava kvalitetna i transparentna pravna zaštita i otklanja pravna nesigurnost;</w:t>
            </w:r>
            <w:r>
              <w:rPr>
                <w:rFonts w:ascii="Calibri" w:hAnsi="Calibri"/>
                <w:noProof/>
                <w:color w:val="000000"/>
                <w:sz w:val="20"/>
              </w:rPr>
              <w:br/>
              <w:t>iii. izmjene Zakona o javnom bilježništvu radi moderniziranja rada javnih bilježnika primjenom rješenja IKT-a;</w:t>
            </w:r>
            <w:r>
              <w:rPr>
                <w:rFonts w:ascii="Calibri" w:hAnsi="Calibri"/>
                <w:noProof/>
                <w:color w:val="000000"/>
                <w:sz w:val="20"/>
              </w:rPr>
              <w:br/>
              <w:t>iv. izmjene Zakona o zemljišnim knjigama radi elektroničkog vođenja predmeta i omogućavanja učinkovitije preraspodjele predmeta unutar sudova;</w:t>
            </w:r>
            <w:r>
              <w:rPr>
                <w:rFonts w:ascii="Calibri" w:hAnsi="Calibri"/>
                <w:noProof/>
                <w:color w:val="000000"/>
                <w:sz w:val="20"/>
              </w:rPr>
              <w:br/>
              <w:t>v. Zakon o izmjeni Zakona o sudovima i Zakona o područjima i sjedištima sudova, kojima će se omogućiti specijalizacija sudaca i uspostava specijaliziranih obiteljskih odjela u općinskim sudovima, s ciljem osiguravanja učinkovitije razine sudske zaštite za najranjivije skupine u društvu, djecu, i revidirati uvjeti za pružanje sudskog vještačenja i tumačenja, među kojima će važno mjesto zauzimati sustav obveznog stručnoj usavršavanja. Nadležnost za odlučivanje o statusnim pitanjima prenijet će se sa sudova na Ministarstvo pravosuđa i uprave te će se ojačati sustav nadzora nad radom te sustav njihove odgovornosti.</w:t>
            </w:r>
          </w:p>
        </w:tc>
      </w:tr>
      <w:tr w:rsidR="00215DFD" w:rsidRPr="00127F33" w14:paraId="0362357F"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293D683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219</w:t>
            </w:r>
          </w:p>
        </w:tc>
        <w:tc>
          <w:tcPr>
            <w:tcW w:w="1134" w:type="dxa"/>
            <w:tcBorders>
              <w:top w:val="nil"/>
              <w:left w:val="nil"/>
              <w:bottom w:val="single" w:sz="4" w:space="0" w:color="auto"/>
              <w:right w:val="single" w:sz="4" w:space="0" w:color="auto"/>
            </w:tcBorders>
            <w:shd w:val="clear" w:color="auto" w:fill="C6EFCE"/>
            <w:noWrap/>
          </w:tcPr>
          <w:p w14:paraId="33D36B0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nil"/>
              <w:left w:val="nil"/>
              <w:bottom w:val="single" w:sz="4" w:space="0" w:color="auto"/>
              <w:right w:val="single" w:sz="4" w:space="0" w:color="auto"/>
            </w:tcBorders>
            <w:shd w:val="clear" w:color="auto" w:fill="C6EFCE"/>
            <w:noWrap/>
          </w:tcPr>
          <w:p w14:paraId="50BCF69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nil"/>
              <w:left w:val="nil"/>
              <w:bottom w:val="single" w:sz="4" w:space="0" w:color="auto"/>
              <w:right w:val="single" w:sz="4" w:space="0" w:color="auto"/>
            </w:tcBorders>
            <w:shd w:val="clear" w:color="auto" w:fill="C6EFCE"/>
            <w:noWrap/>
          </w:tcPr>
          <w:p w14:paraId="7C4C7736"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Uspostava četiriju centara za mirenje na trgovačkim sudovima u Zagrebu, Splitu, Osijeku i Rijeci i donesene izmjene Zakona o mirenju </w:t>
            </w:r>
          </w:p>
        </w:tc>
        <w:tc>
          <w:tcPr>
            <w:tcW w:w="2265" w:type="dxa"/>
            <w:tcBorders>
              <w:top w:val="nil"/>
              <w:left w:val="nil"/>
              <w:bottom w:val="single" w:sz="4" w:space="0" w:color="auto"/>
              <w:right w:val="single" w:sz="4" w:space="0" w:color="auto"/>
            </w:tcBorders>
            <w:shd w:val="clear" w:color="auto" w:fill="C6EFCE"/>
            <w:noWrap/>
          </w:tcPr>
          <w:p w14:paraId="1C863E97"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nil"/>
              <w:left w:val="nil"/>
              <w:bottom w:val="single" w:sz="4" w:space="0" w:color="auto"/>
              <w:right w:val="single" w:sz="4" w:space="0" w:color="auto"/>
            </w:tcBorders>
            <w:shd w:val="clear" w:color="auto" w:fill="C6EFCE"/>
            <w:noWrap/>
          </w:tcPr>
          <w:p w14:paraId="651BF6F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7CDDCF25"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6460BCD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425" w:type="dxa"/>
            <w:tcBorders>
              <w:top w:val="nil"/>
              <w:left w:val="nil"/>
              <w:bottom w:val="single" w:sz="4" w:space="0" w:color="auto"/>
              <w:right w:val="single" w:sz="4" w:space="0" w:color="auto"/>
            </w:tcBorders>
            <w:shd w:val="clear" w:color="auto" w:fill="C6EFCE"/>
            <w:noWrap/>
          </w:tcPr>
          <w:p w14:paraId="6E3994C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nil"/>
              <w:left w:val="nil"/>
              <w:bottom w:val="single" w:sz="4" w:space="0" w:color="auto"/>
              <w:right w:val="single" w:sz="4" w:space="0" w:color="auto"/>
            </w:tcBorders>
            <w:shd w:val="clear" w:color="auto" w:fill="C6EFCE"/>
            <w:noWrap/>
          </w:tcPr>
          <w:p w14:paraId="320DFFE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680" w:type="dxa"/>
            <w:tcBorders>
              <w:top w:val="nil"/>
              <w:left w:val="nil"/>
              <w:bottom w:val="single" w:sz="4" w:space="0" w:color="auto"/>
              <w:right w:val="single" w:sz="4" w:space="0" w:color="auto"/>
            </w:tcBorders>
            <w:shd w:val="clear" w:color="auto" w:fill="C6EFCE"/>
            <w:noWrap/>
          </w:tcPr>
          <w:p w14:paraId="5E1FC1FF"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Izmjene Zakona o mirenju, kojima će se dodatno unaprijediti institut dobrovoljnog mirenja u parničnim i upravnim sporovima i smanjiti trajanje i troškovi postupaka. U Zagrebu, Splitu, Osijeku i Rijeci osnovat će se četiri centra za mirenje u za osposobljavanje izmiritelja i provedbu postupaka mirenja. Središnji centar u Zagrebu i područni centri u Splitu, Osijeku i Rijeci nalazit će se na istome mjestu kao i trgovački sudovi ili Visoki trgovački sud Republike Hrvatske, a strankama će se omogućiti potrebna stručna podrška.</w:t>
            </w:r>
          </w:p>
        </w:tc>
      </w:tr>
      <w:tr w:rsidR="00215DFD" w:rsidRPr="00127F33" w14:paraId="127F1275"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69AB0527"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220</w:t>
            </w:r>
          </w:p>
        </w:tc>
        <w:tc>
          <w:tcPr>
            <w:tcW w:w="1134" w:type="dxa"/>
            <w:tcBorders>
              <w:top w:val="single" w:sz="4" w:space="0" w:color="auto"/>
              <w:left w:val="nil"/>
              <w:bottom w:val="single" w:sz="4" w:space="0" w:color="auto"/>
              <w:right w:val="single" w:sz="4" w:space="0" w:color="auto"/>
            </w:tcBorders>
            <w:shd w:val="clear" w:color="auto" w:fill="C6EFCE"/>
            <w:noWrap/>
          </w:tcPr>
          <w:p w14:paraId="60F195F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single" w:sz="4" w:space="0" w:color="auto"/>
              <w:left w:val="nil"/>
              <w:bottom w:val="single" w:sz="4" w:space="0" w:color="auto"/>
              <w:right w:val="single" w:sz="4" w:space="0" w:color="auto"/>
            </w:tcBorders>
            <w:shd w:val="clear" w:color="auto" w:fill="C6EFCE"/>
            <w:noWrap/>
          </w:tcPr>
          <w:p w14:paraId="2F12F4AE"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054189C9"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Donesena nova Okvirna mjerila za rad sudaca i uveden alat za aktivno upravljanje sudskim predmetima.</w:t>
            </w:r>
          </w:p>
        </w:tc>
        <w:tc>
          <w:tcPr>
            <w:tcW w:w="2265" w:type="dxa"/>
            <w:tcBorders>
              <w:top w:val="single" w:sz="4" w:space="0" w:color="auto"/>
              <w:left w:val="nil"/>
              <w:bottom w:val="single" w:sz="4" w:space="0" w:color="auto"/>
              <w:right w:val="single" w:sz="4" w:space="0" w:color="auto"/>
            </w:tcBorders>
            <w:shd w:val="clear" w:color="auto" w:fill="C6EFCE"/>
            <w:noWrap/>
          </w:tcPr>
          <w:p w14:paraId="3E4F9DF1"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Donesena nova Okvirna mjerila za rad sudaca i uveden alat za aktivno upravljanje predmetima</w:t>
            </w:r>
          </w:p>
        </w:tc>
        <w:tc>
          <w:tcPr>
            <w:tcW w:w="1168" w:type="dxa"/>
            <w:tcBorders>
              <w:top w:val="single" w:sz="4" w:space="0" w:color="auto"/>
              <w:left w:val="nil"/>
              <w:bottom w:val="single" w:sz="4" w:space="0" w:color="auto"/>
              <w:right w:val="single" w:sz="4" w:space="0" w:color="auto"/>
            </w:tcBorders>
            <w:shd w:val="clear" w:color="auto" w:fill="C6EFCE"/>
            <w:noWrap/>
          </w:tcPr>
          <w:p w14:paraId="0F6AE9B1"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393D530"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p w14:paraId="29665A85" w14:textId="77777777" w:rsidR="00733DCA" w:rsidRPr="00127F33" w:rsidRDefault="00733DCA" w:rsidP="0001477B">
            <w:pPr>
              <w:spacing w:after="200" w:line="276" w:lineRule="auto"/>
              <w:rPr>
                <w:rFonts w:ascii="Times New Roman" w:eastAsia="Calibri" w:hAnsi="Times New Roman" w:cs="Times New Roman"/>
                <w:noProof/>
                <w:sz w:val="20"/>
                <w:szCs w:val="20"/>
                <w:lang w:val="en-GB"/>
              </w:rPr>
            </w:pPr>
          </w:p>
          <w:p w14:paraId="56AB701D" w14:textId="77777777" w:rsidR="00733DCA" w:rsidRPr="00127F33" w:rsidRDefault="00733DCA" w:rsidP="0001477B">
            <w:pPr>
              <w:spacing w:after="200" w:line="276" w:lineRule="auto"/>
              <w:rPr>
                <w:rFonts w:ascii="Times New Roman" w:eastAsia="Calibri" w:hAnsi="Times New Roman" w:cs="Times New Roman"/>
                <w:noProof/>
                <w:sz w:val="20"/>
                <w:szCs w:val="20"/>
                <w:lang w:val="en-GB"/>
              </w:rPr>
            </w:pPr>
          </w:p>
          <w:p w14:paraId="09F8F389" w14:textId="77777777" w:rsidR="00733DCA" w:rsidRPr="00127F33" w:rsidRDefault="00733DCA" w:rsidP="0001477B">
            <w:pPr>
              <w:spacing w:after="200" w:line="276" w:lineRule="auto"/>
              <w:rPr>
                <w:rFonts w:ascii="Times New Roman" w:eastAsia="Calibri" w:hAnsi="Times New Roman" w:cs="Times New Roman"/>
                <w:noProof/>
                <w:sz w:val="20"/>
                <w:szCs w:val="20"/>
                <w:lang w:val="en-GB"/>
              </w:rPr>
            </w:pPr>
          </w:p>
          <w:p w14:paraId="2EA390EF" w14:textId="77777777" w:rsidR="00733DCA" w:rsidRPr="00127F33" w:rsidRDefault="00733DCA" w:rsidP="0001477B">
            <w:pPr>
              <w:spacing w:after="200" w:line="276" w:lineRule="auto"/>
              <w:rPr>
                <w:rFonts w:ascii="Times New Roman" w:eastAsia="Calibri" w:hAnsi="Times New Roman" w:cs="Times New Roman"/>
                <w:noProof/>
                <w:sz w:val="20"/>
                <w:szCs w:val="20"/>
                <w:lang w:val="en-GB"/>
              </w:rPr>
            </w:pPr>
          </w:p>
        </w:tc>
        <w:tc>
          <w:tcPr>
            <w:tcW w:w="850" w:type="dxa"/>
            <w:tcBorders>
              <w:top w:val="single" w:sz="4" w:space="0" w:color="auto"/>
              <w:left w:val="nil"/>
              <w:bottom w:val="single" w:sz="4" w:space="0" w:color="auto"/>
              <w:right w:val="single" w:sz="4" w:space="0" w:color="auto"/>
            </w:tcBorders>
            <w:shd w:val="clear" w:color="auto" w:fill="C6EFCE"/>
            <w:noWrap/>
          </w:tcPr>
          <w:p w14:paraId="53FBE33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014865E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9" w:type="dxa"/>
            <w:tcBorders>
              <w:top w:val="single" w:sz="4" w:space="0" w:color="auto"/>
              <w:left w:val="nil"/>
              <w:bottom w:val="single" w:sz="4" w:space="0" w:color="auto"/>
              <w:right w:val="single" w:sz="4" w:space="0" w:color="auto"/>
            </w:tcBorders>
            <w:shd w:val="clear" w:color="auto" w:fill="C6EFCE"/>
            <w:noWrap/>
          </w:tcPr>
          <w:p w14:paraId="517A669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680" w:type="dxa"/>
            <w:tcBorders>
              <w:top w:val="single" w:sz="4" w:space="0" w:color="auto"/>
              <w:left w:val="nil"/>
              <w:bottom w:val="single" w:sz="4" w:space="0" w:color="auto"/>
              <w:right w:val="single" w:sz="4" w:space="0" w:color="auto"/>
            </w:tcBorders>
            <w:shd w:val="clear" w:color="auto" w:fill="C6EFCE"/>
            <w:noWrap/>
          </w:tcPr>
          <w:p w14:paraId="5FBDE174"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Okvirna mjerila za rad sudaca kojima se propisuje povećanje broja predmeta koje je potrebno riješiti, s ciljem poticanja rješavanja, osobito starijih, predmeta u većem broju. Primjena alata za aktivno upravljanje sudskim predmetima u odabranim sudovima, uključujući Općinski građanski sud u Zagrebu, što će dovesti do veće učinkovitosti (izrada kontrolnih lista, posebno označavanje, alati za samoprocjenu temeljeni na Međunarodnom okviru za sudsku izvrsnost)</w:t>
            </w:r>
          </w:p>
        </w:tc>
      </w:tr>
      <w:tr w:rsidR="00215DFD" w:rsidRPr="00127F33" w14:paraId="2E0D4D89"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2FF3DAE3"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221</w:t>
            </w:r>
          </w:p>
        </w:tc>
        <w:tc>
          <w:tcPr>
            <w:tcW w:w="1134" w:type="dxa"/>
            <w:tcBorders>
              <w:top w:val="single" w:sz="4" w:space="0" w:color="auto"/>
              <w:left w:val="nil"/>
              <w:bottom w:val="single" w:sz="4" w:space="0" w:color="auto"/>
              <w:right w:val="single" w:sz="4" w:space="0" w:color="auto"/>
            </w:tcBorders>
            <w:shd w:val="clear" w:color="auto" w:fill="C6EFCE"/>
            <w:noWrap/>
          </w:tcPr>
          <w:p w14:paraId="3920FBC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single" w:sz="4" w:space="0" w:color="auto"/>
              <w:left w:val="nil"/>
              <w:bottom w:val="single" w:sz="4" w:space="0" w:color="auto"/>
              <w:right w:val="single" w:sz="4" w:space="0" w:color="auto"/>
            </w:tcBorders>
            <w:shd w:val="clear" w:color="auto" w:fill="C6EFCE"/>
            <w:noWrap/>
          </w:tcPr>
          <w:p w14:paraId="4167B571"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42A89A13"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Skraćivanje trajanja parničnih i trgovačkih predmeta</w:t>
            </w:r>
          </w:p>
        </w:tc>
        <w:tc>
          <w:tcPr>
            <w:tcW w:w="2265" w:type="dxa"/>
            <w:tcBorders>
              <w:top w:val="single" w:sz="4" w:space="0" w:color="auto"/>
              <w:left w:val="nil"/>
              <w:bottom w:val="single" w:sz="4" w:space="0" w:color="auto"/>
              <w:right w:val="single" w:sz="4" w:space="0" w:color="auto"/>
            </w:tcBorders>
            <w:shd w:val="clear" w:color="auto" w:fill="C6EFCE"/>
            <w:noWrap/>
          </w:tcPr>
          <w:p w14:paraId="592BA590"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7A7B7D45"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6E81B8D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655</w:t>
            </w:r>
          </w:p>
        </w:tc>
        <w:tc>
          <w:tcPr>
            <w:tcW w:w="850" w:type="dxa"/>
            <w:tcBorders>
              <w:top w:val="single" w:sz="4" w:space="0" w:color="auto"/>
              <w:left w:val="nil"/>
              <w:bottom w:val="single" w:sz="4" w:space="0" w:color="auto"/>
              <w:right w:val="single" w:sz="4" w:space="0" w:color="auto"/>
            </w:tcBorders>
            <w:shd w:val="clear" w:color="auto" w:fill="C6EFCE"/>
            <w:noWrap/>
          </w:tcPr>
          <w:p w14:paraId="019D558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455</w:t>
            </w:r>
          </w:p>
        </w:tc>
        <w:tc>
          <w:tcPr>
            <w:tcW w:w="425" w:type="dxa"/>
            <w:tcBorders>
              <w:top w:val="single" w:sz="4" w:space="0" w:color="auto"/>
              <w:left w:val="nil"/>
              <w:bottom w:val="single" w:sz="4" w:space="0" w:color="auto"/>
              <w:right w:val="single" w:sz="4" w:space="0" w:color="auto"/>
            </w:tcBorders>
            <w:shd w:val="clear" w:color="auto" w:fill="C6EFCE"/>
            <w:noWrap/>
          </w:tcPr>
          <w:p w14:paraId="0BE780F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4B4AC0BF"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680" w:type="dxa"/>
            <w:tcBorders>
              <w:top w:val="single" w:sz="4" w:space="0" w:color="auto"/>
              <w:left w:val="nil"/>
              <w:bottom w:val="single" w:sz="4" w:space="0" w:color="auto"/>
              <w:right w:val="single" w:sz="4" w:space="0" w:color="auto"/>
            </w:tcBorders>
            <w:shd w:val="clear" w:color="auto" w:fill="C6EFCE"/>
            <w:noWrap/>
          </w:tcPr>
          <w:p w14:paraId="0DD135E5"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 usporedbi s 2020.: Skraćivanje trajanja parničnih i trgovačkih predmeta, kako je definirano u Pregledu stanja u pravosuđu EU-a, za najmanje 200 dana.</w:t>
            </w:r>
          </w:p>
        </w:tc>
      </w:tr>
      <w:tr w:rsidR="00215DFD" w:rsidRPr="00127F33" w14:paraId="33A5595A"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4F645537"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222.</w:t>
            </w:r>
          </w:p>
        </w:tc>
        <w:tc>
          <w:tcPr>
            <w:tcW w:w="1134" w:type="dxa"/>
            <w:tcBorders>
              <w:top w:val="single" w:sz="4" w:space="0" w:color="auto"/>
              <w:left w:val="nil"/>
              <w:bottom w:val="single" w:sz="4" w:space="0" w:color="auto"/>
              <w:right w:val="single" w:sz="4" w:space="0" w:color="auto"/>
            </w:tcBorders>
            <w:shd w:val="clear" w:color="auto" w:fill="C6EFCE"/>
            <w:noWrap/>
          </w:tcPr>
          <w:p w14:paraId="5725EDA7"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single" w:sz="4" w:space="0" w:color="auto"/>
              <w:left w:val="nil"/>
              <w:bottom w:val="single" w:sz="4" w:space="0" w:color="auto"/>
              <w:right w:val="single" w:sz="4" w:space="0" w:color="auto"/>
            </w:tcBorders>
            <w:shd w:val="clear" w:color="auto" w:fill="C6EFCE"/>
            <w:noWrap/>
          </w:tcPr>
          <w:p w14:paraId="651B153B"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5B0A520C"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Smanjenje ukupnog broja svih neriješenih predmeta</w:t>
            </w:r>
          </w:p>
        </w:tc>
        <w:tc>
          <w:tcPr>
            <w:tcW w:w="2265" w:type="dxa"/>
            <w:tcBorders>
              <w:top w:val="single" w:sz="4" w:space="0" w:color="auto"/>
              <w:left w:val="nil"/>
              <w:bottom w:val="single" w:sz="4" w:space="0" w:color="auto"/>
              <w:right w:val="single" w:sz="4" w:space="0" w:color="auto"/>
            </w:tcBorders>
            <w:shd w:val="clear" w:color="auto" w:fill="C6EFCE"/>
            <w:noWrap/>
          </w:tcPr>
          <w:p w14:paraId="35FA797E"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6513962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3B74965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464 770</w:t>
            </w:r>
          </w:p>
        </w:tc>
        <w:tc>
          <w:tcPr>
            <w:tcW w:w="850" w:type="dxa"/>
            <w:tcBorders>
              <w:top w:val="single" w:sz="4" w:space="0" w:color="auto"/>
              <w:left w:val="nil"/>
              <w:bottom w:val="single" w:sz="4" w:space="0" w:color="auto"/>
              <w:right w:val="single" w:sz="4" w:space="0" w:color="auto"/>
            </w:tcBorders>
            <w:shd w:val="clear" w:color="auto" w:fill="C6EFCE"/>
            <w:noWrap/>
          </w:tcPr>
          <w:p w14:paraId="02B91DBE"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302 100</w:t>
            </w:r>
          </w:p>
        </w:tc>
        <w:tc>
          <w:tcPr>
            <w:tcW w:w="425" w:type="dxa"/>
            <w:tcBorders>
              <w:top w:val="single" w:sz="4" w:space="0" w:color="auto"/>
              <w:left w:val="nil"/>
              <w:bottom w:val="single" w:sz="4" w:space="0" w:color="auto"/>
              <w:right w:val="single" w:sz="4" w:space="0" w:color="auto"/>
            </w:tcBorders>
            <w:shd w:val="clear" w:color="auto" w:fill="C6EFCE"/>
            <w:noWrap/>
          </w:tcPr>
          <w:p w14:paraId="12B6BF1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07CDB0A0"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680" w:type="dxa"/>
            <w:tcBorders>
              <w:top w:val="single" w:sz="4" w:space="0" w:color="auto"/>
              <w:left w:val="nil"/>
              <w:bottom w:val="single" w:sz="4" w:space="0" w:color="auto"/>
              <w:right w:val="single" w:sz="4" w:space="0" w:color="auto"/>
            </w:tcBorders>
            <w:shd w:val="clear" w:color="auto" w:fill="C6EFCE"/>
            <w:noWrap/>
          </w:tcPr>
          <w:p w14:paraId="78FD9761"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 usporedbi s 2020.: Smanjenje ukupnog broja neriješenih predmeta za najmanje 35 %</w:t>
            </w:r>
          </w:p>
        </w:tc>
      </w:tr>
      <w:tr w:rsidR="00215DFD" w:rsidRPr="00127F33" w14:paraId="57F2D14A"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6961A7F0"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223</w:t>
            </w:r>
          </w:p>
        </w:tc>
        <w:tc>
          <w:tcPr>
            <w:tcW w:w="1134" w:type="dxa"/>
            <w:tcBorders>
              <w:top w:val="single" w:sz="4" w:space="0" w:color="auto"/>
              <w:left w:val="nil"/>
              <w:bottom w:val="single" w:sz="4" w:space="0" w:color="auto"/>
              <w:right w:val="single" w:sz="4" w:space="0" w:color="auto"/>
            </w:tcBorders>
            <w:shd w:val="clear" w:color="auto" w:fill="C6EFCE"/>
            <w:noWrap/>
          </w:tcPr>
          <w:p w14:paraId="62747EA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w:t>
            </w:r>
          </w:p>
        </w:tc>
        <w:tc>
          <w:tcPr>
            <w:tcW w:w="992" w:type="dxa"/>
            <w:tcBorders>
              <w:top w:val="single" w:sz="4" w:space="0" w:color="auto"/>
              <w:left w:val="nil"/>
              <w:bottom w:val="single" w:sz="4" w:space="0" w:color="auto"/>
              <w:right w:val="single" w:sz="4" w:space="0" w:color="auto"/>
            </w:tcBorders>
            <w:shd w:val="clear" w:color="auto" w:fill="C6EFCE"/>
            <w:noWrap/>
          </w:tcPr>
          <w:p w14:paraId="2A2B85B1"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62B4938B"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Smanjenje udjela predmeta starijih od 3 godine u ukupnom broju neriješenih predmeta</w:t>
            </w:r>
          </w:p>
        </w:tc>
        <w:tc>
          <w:tcPr>
            <w:tcW w:w="2265" w:type="dxa"/>
            <w:tcBorders>
              <w:top w:val="single" w:sz="4" w:space="0" w:color="auto"/>
              <w:left w:val="nil"/>
              <w:bottom w:val="single" w:sz="4" w:space="0" w:color="auto"/>
              <w:right w:val="single" w:sz="4" w:space="0" w:color="auto"/>
            </w:tcBorders>
            <w:shd w:val="clear" w:color="auto" w:fill="C6EFCE"/>
            <w:noWrap/>
          </w:tcPr>
          <w:p w14:paraId="448D16D5"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73B1D353"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08051137"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16</w:t>
            </w:r>
          </w:p>
        </w:tc>
        <w:tc>
          <w:tcPr>
            <w:tcW w:w="850" w:type="dxa"/>
            <w:tcBorders>
              <w:top w:val="single" w:sz="4" w:space="0" w:color="auto"/>
              <w:left w:val="nil"/>
              <w:bottom w:val="single" w:sz="4" w:space="0" w:color="auto"/>
              <w:right w:val="single" w:sz="4" w:space="0" w:color="auto"/>
            </w:tcBorders>
            <w:shd w:val="clear" w:color="auto" w:fill="C6EFCE"/>
            <w:noWrap/>
          </w:tcPr>
          <w:p w14:paraId="45721A6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w:t>
            </w:r>
          </w:p>
        </w:tc>
        <w:tc>
          <w:tcPr>
            <w:tcW w:w="425" w:type="dxa"/>
            <w:tcBorders>
              <w:top w:val="single" w:sz="4" w:space="0" w:color="auto"/>
              <w:left w:val="nil"/>
              <w:bottom w:val="single" w:sz="4" w:space="0" w:color="auto"/>
              <w:right w:val="single" w:sz="4" w:space="0" w:color="auto"/>
            </w:tcBorders>
            <w:shd w:val="clear" w:color="auto" w:fill="C6EFCE"/>
            <w:noWrap/>
          </w:tcPr>
          <w:p w14:paraId="456C072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5C5B81A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680" w:type="dxa"/>
            <w:tcBorders>
              <w:top w:val="single" w:sz="4" w:space="0" w:color="auto"/>
              <w:left w:val="nil"/>
              <w:bottom w:val="single" w:sz="4" w:space="0" w:color="auto"/>
              <w:right w:val="single" w:sz="4" w:space="0" w:color="auto"/>
            </w:tcBorders>
            <w:shd w:val="clear" w:color="auto" w:fill="C6EFCE"/>
            <w:noWrap/>
          </w:tcPr>
          <w:p w14:paraId="3D8950F0"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usporedbi s 2020.: Smanjen udio predmeta starijih od tri godine u ukupnom broju neriješenih predmeta na najviše 8 %  </w:t>
            </w:r>
          </w:p>
        </w:tc>
      </w:tr>
      <w:tr w:rsidR="00215DFD" w:rsidRPr="00127F33" w14:paraId="303707C0"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1953F660"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224</w:t>
            </w:r>
          </w:p>
        </w:tc>
        <w:tc>
          <w:tcPr>
            <w:tcW w:w="1134" w:type="dxa"/>
            <w:tcBorders>
              <w:top w:val="single" w:sz="4" w:space="0" w:color="auto"/>
              <w:left w:val="nil"/>
              <w:bottom w:val="single" w:sz="4" w:space="0" w:color="auto"/>
              <w:right w:val="single" w:sz="4" w:space="0" w:color="auto"/>
            </w:tcBorders>
            <w:shd w:val="clear" w:color="auto" w:fill="C6EFCE"/>
            <w:noWrap/>
          </w:tcPr>
          <w:p w14:paraId="451F8955"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R1-I1</w:t>
            </w:r>
          </w:p>
        </w:tc>
        <w:tc>
          <w:tcPr>
            <w:tcW w:w="992" w:type="dxa"/>
            <w:tcBorders>
              <w:top w:val="single" w:sz="4" w:space="0" w:color="auto"/>
              <w:left w:val="nil"/>
              <w:bottom w:val="single" w:sz="4" w:space="0" w:color="auto"/>
              <w:right w:val="single" w:sz="4" w:space="0" w:color="auto"/>
            </w:tcBorders>
            <w:shd w:val="clear" w:color="auto" w:fill="C6EFCE"/>
            <w:noWrap/>
          </w:tcPr>
          <w:p w14:paraId="65E44E27"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02972AED"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 eSpis nadograđen je novim funkcijama i nova arhitektura integrirana je u CDU</w:t>
            </w:r>
          </w:p>
        </w:tc>
        <w:tc>
          <w:tcPr>
            <w:tcW w:w="2265" w:type="dxa"/>
            <w:tcBorders>
              <w:top w:val="single" w:sz="4" w:space="0" w:color="auto"/>
              <w:left w:val="nil"/>
              <w:bottom w:val="single" w:sz="4" w:space="0" w:color="auto"/>
              <w:right w:val="single" w:sz="4" w:space="0" w:color="auto"/>
            </w:tcBorders>
            <w:shd w:val="clear" w:color="auto" w:fill="C6EFCE"/>
            <w:noWrap/>
          </w:tcPr>
          <w:p w14:paraId="7C568A21"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Provode se nova digitalna rješenja radi unapređenja digitalizacije pravosudnog sustava, uključujući nadogradnju sustava eSpis i integraciju nove arhitekture u CDU.</w:t>
            </w:r>
          </w:p>
        </w:tc>
        <w:tc>
          <w:tcPr>
            <w:tcW w:w="1168" w:type="dxa"/>
            <w:tcBorders>
              <w:top w:val="single" w:sz="4" w:space="0" w:color="auto"/>
              <w:left w:val="nil"/>
              <w:bottom w:val="single" w:sz="4" w:space="0" w:color="auto"/>
              <w:right w:val="single" w:sz="4" w:space="0" w:color="auto"/>
            </w:tcBorders>
            <w:shd w:val="clear" w:color="auto" w:fill="C6EFCE"/>
            <w:noWrap/>
          </w:tcPr>
          <w:p w14:paraId="1EFE117F"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3F2092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4755289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29029DB1"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646866A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680" w:type="dxa"/>
            <w:tcBorders>
              <w:top w:val="single" w:sz="4" w:space="0" w:color="auto"/>
              <w:left w:val="nil"/>
              <w:bottom w:val="single" w:sz="4" w:space="0" w:color="auto"/>
              <w:right w:val="single" w:sz="4" w:space="0" w:color="auto"/>
            </w:tcBorders>
            <w:shd w:val="clear" w:color="auto" w:fill="C6EFCE"/>
            <w:noWrap/>
          </w:tcPr>
          <w:p w14:paraId="14378005" w14:textId="77777777" w:rsidR="00733DCA" w:rsidRPr="00127F33" w:rsidRDefault="00733DCA" w:rsidP="00F84DA1">
            <w:pPr>
              <w:spacing w:after="200" w:line="276" w:lineRule="auto"/>
              <w:rPr>
                <w:rFonts w:ascii="Times New Roman" w:eastAsia="Calibri" w:hAnsi="Times New Roman" w:cs="Times New Roman"/>
                <w:noProof/>
                <w:sz w:val="20"/>
                <w:szCs w:val="20"/>
              </w:rPr>
            </w:pPr>
            <w:r>
              <w:rPr>
                <w:rFonts w:ascii="Calibri" w:hAnsi="Calibri"/>
                <w:noProof/>
                <w:color w:val="000000"/>
                <w:sz w:val="20"/>
              </w:rPr>
              <w:t>Uvest će se nove funkcionalnosti radi poboljšanja digitalizacije pravosudnog sustava:</w:t>
            </w:r>
            <w:r>
              <w:rPr>
                <w:rFonts w:ascii="Calibri" w:hAnsi="Calibri"/>
                <w:noProof/>
                <w:color w:val="000000"/>
                <w:sz w:val="20"/>
              </w:rPr>
              <w:br/>
              <w:t xml:space="preserve">– potpuna elektronička dostava dokumenata e-građanima s korisničkim poštanskim sandučićima i informacije o elektroničkoj dostavi u slučaju slanja dokumenata fizičkom dostavom, </w:t>
            </w:r>
            <w:r>
              <w:rPr>
                <w:rFonts w:ascii="Calibri" w:hAnsi="Calibri"/>
                <w:noProof/>
                <w:color w:val="000000"/>
                <w:sz w:val="20"/>
              </w:rPr>
              <w:br/>
              <w:t xml:space="preserve">– poboljšano korisničko iskustvo provedbom akcijskog plana koji sadržava preporuke o tehničkim i informatičkim aspektima (preporuke o upravnim i poslovnim procesima i tehničke preporuke).     </w:t>
            </w:r>
            <w:r>
              <w:rPr>
                <w:rFonts w:ascii="Calibri" w:hAnsi="Calibri"/>
                <w:noProof/>
                <w:color w:val="000000"/>
                <w:sz w:val="20"/>
              </w:rPr>
              <w:br/>
              <w:t>— nova arhitektura integrirana u CDU radi otklanjanja sistemskih uskih grla, povećanja stabilnosti i omogućavanja interoperabilnosti s drugim sustavima.</w:t>
            </w:r>
          </w:p>
        </w:tc>
      </w:tr>
      <w:tr w:rsidR="00215DFD" w:rsidRPr="00127F33" w14:paraId="18D7C809"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4A31129D"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225</w:t>
            </w:r>
          </w:p>
        </w:tc>
        <w:tc>
          <w:tcPr>
            <w:tcW w:w="1134" w:type="dxa"/>
            <w:tcBorders>
              <w:top w:val="single" w:sz="4" w:space="0" w:color="auto"/>
              <w:left w:val="nil"/>
              <w:bottom w:val="single" w:sz="4" w:space="0" w:color="auto"/>
              <w:right w:val="single" w:sz="4" w:space="0" w:color="auto"/>
            </w:tcBorders>
            <w:shd w:val="clear" w:color="auto" w:fill="C6EFCE"/>
            <w:noWrap/>
          </w:tcPr>
          <w:p w14:paraId="57A3DDE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R1-I2</w:t>
            </w:r>
          </w:p>
        </w:tc>
        <w:tc>
          <w:tcPr>
            <w:tcW w:w="992" w:type="dxa"/>
            <w:tcBorders>
              <w:top w:val="single" w:sz="4" w:space="0" w:color="auto"/>
              <w:left w:val="nil"/>
              <w:bottom w:val="single" w:sz="4" w:space="0" w:color="auto"/>
              <w:right w:val="single" w:sz="4" w:space="0" w:color="auto"/>
            </w:tcBorders>
            <w:shd w:val="clear" w:color="auto" w:fill="C6EFCE"/>
            <w:noWrap/>
          </w:tcPr>
          <w:p w14:paraId="44851B6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4179C7AA"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Dovršeno je 60 % zemljišnoknjižnih i katastarskih podataka, uz krajnji cilj dovršetka do 100 %. </w:t>
            </w:r>
          </w:p>
        </w:tc>
        <w:tc>
          <w:tcPr>
            <w:tcW w:w="2265" w:type="dxa"/>
            <w:tcBorders>
              <w:top w:val="single" w:sz="4" w:space="0" w:color="auto"/>
              <w:left w:val="nil"/>
              <w:bottom w:val="single" w:sz="4" w:space="0" w:color="auto"/>
              <w:right w:val="single" w:sz="4" w:space="0" w:color="auto"/>
            </w:tcBorders>
            <w:shd w:val="clear" w:color="auto" w:fill="C6EFCE"/>
            <w:noWrap/>
          </w:tcPr>
          <w:p w14:paraId="77ED9EE5"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71F5A4B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77BDAFB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3,86</w:t>
            </w:r>
          </w:p>
        </w:tc>
        <w:tc>
          <w:tcPr>
            <w:tcW w:w="850" w:type="dxa"/>
            <w:tcBorders>
              <w:top w:val="single" w:sz="4" w:space="0" w:color="auto"/>
              <w:left w:val="nil"/>
              <w:bottom w:val="single" w:sz="4" w:space="0" w:color="auto"/>
              <w:right w:val="single" w:sz="4" w:space="0" w:color="auto"/>
            </w:tcBorders>
            <w:shd w:val="clear" w:color="auto" w:fill="C6EFCE"/>
            <w:noWrap/>
          </w:tcPr>
          <w:p w14:paraId="430ADD37"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60</w:t>
            </w:r>
          </w:p>
        </w:tc>
        <w:tc>
          <w:tcPr>
            <w:tcW w:w="425" w:type="dxa"/>
            <w:tcBorders>
              <w:top w:val="single" w:sz="4" w:space="0" w:color="auto"/>
              <w:left w:val="nil"/>
              <w:bottom w:val="single" w:sz="4" w:space="0" w:color="auto"/>
              <w:right w:val="single" w:sz="4" w:space="0" w:color="auto"/>
            </w:tcBorders>
            <w:shd w:val="clear" w:color="auto" w:fill="C6EFCE"/>
            <w:noWrap/>
          </w:tcPr>
          <w:p w14:paraId="12D569D0"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20491A7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680" w:type="dxa"/>
            <w:tcBorders>
              <w:top w:val="single" w:sz="4" w:space="0" w:color="auto"/>
              <w:left w:val="nil"/>
              <w:bottom w:val="single" w:sz="4" w:space="0" w:color="auto"/>
              <w:right w:val="single" w:sz="4" w:space="0" w:color="auto"/>
            </w:tcBorders>
            <w:shd w:val="clear" w:color="auto" w:fill="C6EFCE"/>
            <w:noWrap/>
          </w:tcPr>
          <w:p w14:paraId="2F883EA3"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 2026. je dovršeno 60 % zemljišnoknjižnih i katastarskih podataka, uz krajnji cilj dovršetka do 100 %.</w:t>
            </w:r>
          </w:p>
        </w:tc>
      </w:tr>
      <w:tr w:rsidR="00215DFD" w:rsidRPr="00127F33" w14:paraId="39DA5085"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2921CC6D"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226</w:t>
            </w:r>
          </w:p>
        </w:tc>
        <w:tc>
          <w:tcPr>
            <w:tcW w:w="1134" w:type="dxa"/>
            <w:tcBorders>
              <w:top w:val="single" w:sz="4" w:space="0" w:color="auto"/>
              <w:left w:val="nil"/>
              <w:bottom w:val="single" w:sz="4" w:space="0" w:color="auto"/>
              <w:right w:val="single" w:sz="4" w:space="0" w:color="auto"/>
            </w:tcBorders>
            <w:shd w:val="clear" w:color="auto" w:fill="C6EFCE"/>
            <w:noWrap/>
          </w:tcPr>
          <w:p w14:paraId="10AC2C3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R1-I3</w:t>
            </w:r>
          </w:p>
        </w:tc>
        <w:tc>
          <w:tcPr>
            <w:tcW w:w="992" w:type="dxa"/>
            <w:tcBorders>
              <w:top w:val="single" w:sz="4" w:space="0" w:color="auto"/>
              <w:left w:val="nil"/>
              <w:bottom w:val="single" w:sz="4" w:space="0" w:color="auto"/>
              <w:right w:val="single" w:sz="4" w:space="0" w:color="auto"/>
            </w:tcBorders>
            <w:shd w:val="clear" w:color="auto" w:fill="C6EFCE"/>
            <w:noWrap/>
          </w:tcPr>
          <w:p w14:paraId="38282F4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78AAFB67" w14:textId="207CD26B"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 xml:space="preserve"> Sve nove prvostupanjske i drugostupanjske sudske odluke kojima se završavaju postupci anonimiziraju se i objavljuju na portalu.</w:t>
            </w:r>
          </w:p>
        </w:tc>
        <w:tc>
          <w:tcPr>
            <w:tcW w:w="2265" w:type="dxa"/>
            <w:tcBorders>
              <w:top w:val="single" w:sz="4" w:space="0" w:color="auto"/>
              <w:left w:val="nil"/>
              <w:bottom w:val="single" w:sz="4" w:space="0" w:color="auto"/>
              <w:right w:val="single" w:sz="4" w:space="0" w:color="auto"/>
            </w:tcBorders>
            <w:shd w:val="clear" w:color="auto" w:fill="C6EFCE"/>
            <w:noWrap/>
          </w:tcPr>
          <w:p w14:paraId="527B903C" w14:textId="7757DEE5"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 xml:space="preserve"> Sustav za javnu objavu i pretraživanje sudskih odluka je u funkciji.</w:t>
            </w:r>
          </w:p>
        </w:tc>
        <w:tc>
          <w:tcPr>
            <w:tcW w:w="1168" w:type="dxa"/>
            <w:tcBorders>
              <w:top w:val="single" w:sz="4" w:space="0" w:color="auto"/>
              <w:left w:val="nil"/>
              <w:bottom w:val="single" w:sz="4" w:space="0" w:color="auto"/>
              <w:right w:val="single" w:sz="4" w:space="0" w:color="auto"/>
            </w:tcBorders>
            <w:shd w:val="clear" w:color="auto" w:fill="C6EFCE"/>
            <w:noWrap/>
          </w:tcPr>
          <w:p w14:paraId="6959245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BD3EF9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2C9ACFAB"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4A1D90DD"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6B4B3B8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680" w:type="dxa"/>
            <w:tcBorders>
              <w:top w:val="single" w:sz="4" w:space="0" w:color="auto"/>
              <w:left w:val="nil"/>
              <w:bottom w:val="single" w:sz="4" w:space="0" w:color="auto"/>
              <w:right w:val="single" w:sz="4" w:space="0" w:color="auto"/>
            </w:tcBorders>
            <w:shd w:val="clear" w:color="auto" w:fill="C6EFCE"/>
            <w:noWrap/>
          </w:tcPr>
          <w:p w14:paraId="4037DB06"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noProof/>
              </w:rPr>
              <w:br/>
            </w:r>
            <w:r>
              <w:rPr>
                <w:rFonts w:ascii="Calibri" w:hAnsi="Calibri"/>
                <w:noProof/>
                <w:color w:val="000000" w:themeColor="text1"/>
                <w:sz w:val="20"/>
              </w:rPr>
              <w:t>Nove funkcionalnosti uključuju objavljivanje svih prvostupanjskih i drugostupanjskih sudskih odluka na internetu uz razrađene mogućnosti pretraživanja i automatiziranu anonimizaciju kojom se poštuju pravila o zaštiti osobnih podataka</w:t>
            </w:r>
          </w:p>
        </w:tc>
      </w:tr>
      <w:tr w:rsidR="00215DFD" w:rsidRPr="00127F33" w14:paraId="58DCC5AF"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074FC1E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227</w:t>
            </w:r>
          </w:p>
        </w:tc>
        <w:tc>
          <w:tcPr>
            <w:tcW w:w="1134" w:type="dxa"/>
            <w:tcBorders>
              <w:top w:val="single" w:sz="4" w:space="0" w:color="auto"/>
              <w:left w:val="nil"/>
              <w:bottom w:val="single" w:sz="4" w:space="0" w:color="auto"/>
              <w:right w:val="single" w:sz="4" w:space="0" w:color="auto"/>
            </w:tcBorders>
            <w:shd w:val="clear" w:color="auto" w:fill="C6EFCE"/>
            <w:noWrap/>
          </w:tcPr>
          <w:p w14:paraId="19CE8E9E"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R1-I4</w:t>
            </w:r>
          </w:p>
        </w:tc>
        <w:tc>
          <w:tcPr>
            <w:tcW w:w="992" w:type="dxa"/>
            <w:tcBorders>
              <w:top w:val="single" w:sz="4" w:space="0" w:color="auto"/>
              <w:left w:val="nil"/>
              <w:bottom w:val="single" w:sz="4" w:space="0" w:color="auto"/>
              <w:right w:val="single" w:sz="4" w:space="0" w:color="auto"/>
            </w:tcBorders>
            <w:shd w:val="clear" w:color="auto" w:fill="C6EFCE"/>
            <w:noWrap/>
          </w:tcPr>
          <w:p w14:paraId="2441F2C1"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110AA82A"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Ishođena uporabna dozvola za novoizgrađenu zgradu na Trgu pravde u Zagrebu kao preduvjet za preseljenje trgovačkog i upravnog suda, Centra za mirenje i Pravosudne akademije</w:t>
            </w:r>
          </w:p>
        </w:tc>
        <w:tc>
          <w:tcPr>
            <w:tcW w:w="2265" w:type="dxa"/>
            <w:tcBorders>
              <w:top w:val="single" w:sz="4" w:space="0" w:color="auto"/>
              <w:left w:val="nil"/>
              <w:bottom w:val="single" w:sz="4" w:space="0" w:color="auto"/>
              <w:right w:val="single" w:sz="4" w:space="0" w:color="auto"/>
            </w:tcBorders>
            <w:shd w:val="clear" w:color="auto" w:fill="C6EFCE"/>
            <w:noWrap/>
          </w:tcPr>
          <w:p w14:paraId="60E202C3"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5990D2D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23F4B64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7E01A28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425" w:type="dxa"/>
            <w:tcBorders>
              <w:top w:val="single" w:sz="4" w:space="0" w:color="auto"/>
              <w:left w:val="nil"/>
              <w:bottom w:val="single" w:sz="4" w:space="0" w:color="auto"/>
              <w:right w:val="single" w:sz="4" w:space="0" w:color="auto"/>
            </w:tcBorders>
            <w:shd w:val="clear" w:color="auto" w:fill="C6EFCE"/>
            <w:noWrap/>
          </w:tcPr>
          <w:p w14:paraId="1FC4DBA1"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5E2A672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680" w:type="dxa"/>
            <w:tcBorders>
              <w:top w:val="single" w:sz="4" w:space="0" w:color="auto"/>
              <w:left w:val="nil"/>
              <w:bottom w:val="single" w:sz="4" w:space="0" w:color="auto"/>
              <w:right w:val="single" w:sz="4" w:space="0" w:color="auto"/>
            </w:tcBorders>
            <w:shd w:val="clear" w:color="auto" w:fill="C6EFCE"/>
            <w:noWrap/>
          </w:tcPr>
          <w:p w14:paraId="1BC4682A"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Izrada idejnog, glavnog i provedbenog projekta i ishođenje dozvola potrebnih za izgradnju Trga pravde u Zagrebu na temelju kojih će se objaviti javni natječaji za građevinske radove, stručni nadzor i vođenje projekta. Nakon dovršetka izgradnje dobivena je uporabna dozvola za jednu novoizgrađenu zgradu na Trgu pravde. Ulaganje se odnosi na izgradnju nove zgrade čija je potražnja za primarnom energijom barem 20 % niža od zgrade gotovo nulte energije.</w:t>
            </w:r>
          </w:p>
        </w:tc>
      </w:tr>
      <w:tr w:rsidR="00215DFD" w:rsidRPr="00127F33" w14:paraId="53803668"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2898ADC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228</w:t>
            </w:r>
          </w:p>
        </w:tc>
        <w:tc>
          <w:tcPr>
            <w:tcW w:w="1134" w:type="dxa"/>
            <w:tcBorders>
              <w:top w:val="single" w:sz="4" w:space="0" w:color="auto"/>
              <w:left w:val="nil"/>
              <w:bottom w:val="single" w:sz="4" w:space="0" w:color="auto"/>
              <w:right w:val="single" w:sz="4" w:space="0" w:color="auto"/>
            </w:tcBorders>
            <w:shd w:val="clear" w:color="auto" w:fill="C6EFCE"/>
            <w:noWrap/>
          </w:tcPr>
          <w:p w14:paraId="044F9805"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R1-I5</w:t>
            </w:r>
          </w:p>
        </w:tc>
        <w:tc>
          <w:tcPr>
            <w:tcW w:w="992" w:type="dxa"/>
            <w:tcBorders>
              <w:top w:val="single" w:sz="4" w:space="0" w:color="auto"/>
              <w:left w:val="nil"/>
              <w:bottom w:val="single" w:sz="4" w:space="0" w:color="auto"/>
              <w:right w:val="single" w:sz="4" w:space="0" w:color="auto"/>
            </w:tcBorders>
            <w:shd w:val="clear" w:color="auto" w:fill="C6EFCE"/>
            <w:noWrap/>
          </w:tcPr>
          <w:p w14:paraId="7C879A6E"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793C6B03"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Novoobnovljene zgrade sudova koje udovoljavaju Tehničkom propisu o racionalnoj upotrebi energije i toplinskoj zaštiti u zgradama</w:t>
            </w:r>
          </w:p>
        </w:tc>
        <w:tc>
          <w:tcPr>
            <w:tcW w:w="2265" w:type="dxa"/>
            <w:tcBorders>
              <w:top w:val="single" w:sz="4" w:space="0" w:color="auto"/>
              <w:left w:val="nil"/>
              <w:bottom w:val="single" w:sz="4" w:space="0" w:color="auto"/>
              <w:right w:val="single" w:sz="4" w:space="0" w:color="auto"/>
            </w:tcBorders>
            <w:shd w:val="clear" w:color="auto" w:fill="C6EFCE"/>
            <w:noWrap/>
          </w:tcPr>
          <w:p w14:paraId="1DE25870"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0F678E6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12CE53AB"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106C899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w:t>
            </w:r>
          </w:p>
        </w:tc>
        <w:tc>
          <w:tcPr>
            <w:tcW w:w="425" w:type="dxa"/>
            <w:tcBorders>
              <w:top w:val="single" w:sz="4" w:space="0" w:color="auto"/>
              <w:left w:val="nil"/>
              <w:bottom w:val="single" w:sz="4" w:space="0" w:color="auto"/>
              <w:right w:val="single" w:sz="4" w:space="0" w:color="auto"/>
            </w:tcBorders>
            <w:shd w:val="clear" w:color="auto" w:fill="C6EFCE"/>
            <w:noWrap/>
          </w:tcPr>
          <w:p w14:paraId="2EE6F76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6DAD7E22"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680" w:type="dxa"/>
            <w:tcBorders>
              <w:top w:val="single" w:sz="4" w:space="0" w:color="auto"/>
              <w:left w:val="nil"/>
              <w:bottom w:val="single" w:sz="4" w:space="0" w:color="auto"/>
              <w:right w:val="single" w:sz="4" w:space="0" w:color="auto"/>
            </w:tcBorders>
            <w:shd w:val="clear" w:color="auto" w:fill="C6EFCE"/>
            <w:noWrap/>
          </w:tcPr>
          <w:p w14:paraId="33CCD125"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Dovršit će se obnova 20 stambenih zgrada. Novoobnovljene zgrade udovoljavat će standardima racionalne potrošnje energije i toplinske zaštite.  Ulaganje se u prosjeku odnosi na obnovu barem srednje dubine, kako je definirana u Preporuci Komisije obnovi zgrada (EU) 2019/786, kojom se postiže barem 30 %-tno smanjenje potražnje za primarnom energijom; ili postići u prosjeku barem 30 %-tno smanjenje izravnih i neizravnih emisija stakleničkih plinova u odnosu na emisije prije obnove. Uz to, pristup zgradama nije prilagođen osobama s invaliditetom, a uz tu prilagodbu provest će se i usklađivanje sa standardima protupožarne i tehničke zaštite te funkcionalno uređenje interijera. U tom će se ciklusu ulaganja prednost dati pravosudnim tijela smještenima u gospodarski slabije razvijenim dijelovima Hrvatske. </w:t>
            </w:r>
          </w:p>
        </w:tc>
      </w:tr>
      <w:tr w:rsidR="00215DFD" w:rsidRPr="00127F33" w14:paraId="46868761"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78B415EF"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229</w:t>
            </w:r>
          </w:p>
        </w:tc>
        <w:tc>
          <w:tcPr>
            <w:tcW w:w="1134" w:type="dxa"/>
            <w:tcBorders>
              <w:top w:val="single" w:sz="4" w:space="0" w:color="auto"/>
              <w:left w:val="nil"/>
              <w:bottom w:val="single" w:sz="4" w:space="0" w:color="auto"/>
              <w:right w:val="single" w:sz="4" w:space="0" w:color="auto"/>
            </w:tcBorders>
            <w:shd w:val="clear" w:color="auto" w:fill="C6EFCE"/>
            <w:noWrap/>
          </w:tcPr>
          <w:p w14:paraId="2FBA7014"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R1-I6</w:t>
            </w:r>
          </w:p>
        </w:tc>
        <w:tc>
          <w:tcPr>
            <w:tcW w:w="992" w:type="dxa"/>
            <w:tcBorders>
              <w:top w:val="single" w:sz="4" w:space="0" w:color="auto"/>
              <w:left w:val="nil"/>
              <w:bottom w:val="single" w:sz="4" w:space="0" w:color="auto"/>
              <w:right w:val="single" w:sz="4" w:space="0" w:color="auto"/>
            </w:tcBorders>
            <w:shd w:val="clear" w:color="auto" w:fill="C6EFCE"/>
            <w:noWrap/>
          </w:tcPr>
          <w:p w14:paraId="1E6A8BA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787C5E15"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Svi prvostupanjski sudovi opremljeni su i ispunjuju uvjete za održavanje ročišta na daljinu.</w:t>
            </w:r>
          </w:p>
        </w:tc>
        <w:tc>
          <w:tcPr>
            <w:tcW w:w="2265" w:type="dxa"/>
            <w:tcBorders>
              <w:top w:val="single" w:sz="4" w:space="0" w:color="auto"/>
              <w:left w:val="nil"/>
              <w:bottom w:val="single" w:sz="4" w:space="0" w:color="auto"/>
              <w:right w:val="single" w:sz="4" w:space="0" w:color="auto"/>
            </w:tcBorders>
            <w:shd w:val="clear" w:color="auto" w:fill="C6EFCE"/>
            <w:noWrap/>
          </w:tcPr>
          <w:p w14:paraId="5632325B"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Održavanje ročišta na daljinu na svim prvostupanjskim sudovima</w:t>
            </w:r>
          </w:p>
        </w:tc>
        <w:tc>
          <w:tcPr>
            <w:tcW w:w="1168" w:type="dxa"/>
            <w:tcBorders>
              <w:top w:val="single" w:sz="4" w:space="0" w:color="auto"/>
              <w:left w:val="nil"/>
              <w:bottom w:val="single" w:sz="4" w:space="0" w:color="auto"/>
              <w:right w:val="single" w:sz="4" w:space="0" w:color="auto"/>
            </w:tcBorders>
            <w:shd w:val="clear" w:color="auto" w:fill="C6EFCE"/>
            <w:noWrap/>
          </w:tcPr>
          <w:p w14:paraId="5EC2A81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6CB7952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59E203B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4EB53169"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18357040"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680" w:type="dxa"/>
            <w:tcBorders>
              <w:top w:val="single" w:sz="4" w:space="0" w:color="auto"/>
              <w:left w:val="nil"/>
              <w:bottom w:val="single" w:sz="4" w:space="0" w:color="auto"/>
              <w:right w:val="single" w:sz="4" w:space="0" w:color="auto"/>
            </w:tcBorders>
            <w:shd w:val="clear" w:color="auto" w:fill="C6EFCE"/>
            <w:noWrap/>
          </w:tcPr>
          <w:p w14:paraId="551FF854"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Ispunjeni su preduvjeti za održavanje ročišta na daljinu na svim prvostupanjskim sudovima</w:t>
            </w:r>
          </w:p>
        </w:tc>
      </w:tr>
      <w:tr w:rsidR="00215DFD" w:rsidRPr="00127F33" w14:paraId="79CE1593"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32047E6A"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230</w:t>
            </w:r>
          </w:p>
        </w:tc>
        <w:tc>
          <w:tcPr>
            <w:tcW w:w="1134" w:type="dxa"/>
            <w:tcBorders>
              <w:top w:val="single" w:sz="4" w:space="0" w:color="auto"/>
              <w:left w:val="nil"/>
              <w:bottom w:val="single" w:sz="4" w:space="0" w:color="auto"/>
              <w:right w:val="single" w:sz="4" w:space="0" w:color="auto"/>
            </w:tcBorders>
            <w:shd w:val="clear" w:color="auto" w:fill="C6EFCE"/>
            <w:noWrap/>
          </w:tcPr>
          <w:p w14:paraId="71726ABE"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C2.5. R1-I6</w:t>
            </w:r>
          </w:p>
        </w:tc>
        <w:tc>
          <w:tcPr>
            <w:tcW w:w="992" w:type="dxa"/>
            <w:tcBorders>
              <w:top w:val="single" w:sz="4" w:space="0" w:color="auto"/>
              <w:left w:val="nil"/>
              <w:bottom w:val="single" w:sz="4" w:space="0" w:color="auto"/>
              <w:right w:val="single" w:sz="4" w:space="0" w:color="auto"/>
            </w:tcBorders>
            <w:shd w:val="clear" w:color="auto" w:fill="C6EFCE"/>
            <w:noWrap/>
          </w:tcPr>
          <w:p w14:paraId="4D75EABE"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3FBB4E45"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Nadogradnja i optimizacija infrastrukture IKT-a u svim pravosudnim tijelima  </w:t>
            </w:r>
          </w:p>
        </w:tc>
        <w:tc>
          <w:tcPr>
            <w:tcW w:w="2265" w:type="dxa"/>
            <w:tcBorders>
              <w:top w:val="single" w:sz="4" w:space="0" w:color="auto"/>
              <w:left w:val="nil"/>
              <w:bottom w:val="single" w:sz="4" w:space="0" w:color="auto"/>
              <w:right w:val="single" w:sz="4" w:space="0" w:color="auto"/>
            </w:tcBorders>
            <w:shd w:val="clear" w:color="auto" w:fill="C6EFCE"/>
            <w:noWrap/>
          </w:tcPr>
          <w:p w14:paraId="0FB67F57"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Nadograđena i optimizirana infrastruktura IKT-a u svim pravosudnim tijelima</w:t>
            </w:r>
          </w:p>
        </w:tc>
        <w:tc>
          <w:tcPr>
            <w:tcW w:w="1168" w:type="dxa"/>
            <w:tcBorders>
              <w:top w:val="single" w:sz="4" w:space="0" w:color="auto"/>
              <w:left w:val="nil"/>
              <w:bottom w:val="single" w:sz="4" w:space="0" w:color="auto"/>
              <w:right w:val="single" w:sz="4" w:space="0" w:color="auto"/>
            </w:tcBorders>
            <w:shd w:val="clear" w:color="auto" w:fill="C6EFCE"/>
            <w:noWrap/>
          </w:tcPr>
          <w:p w14:paraId="673FF103"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B0DFA13"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023F79A8"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582AD1D6"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7DC0D43C" w14:textId="77777777" w:rsidR="00733DCA" w:rsidRPr="00127F33"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680" w:type="dxa"/>
            <w:tcBorders>
              <w:top w:val="single" w:sz="4" w:space="0" w:color="auto"/>
              <w:left w:val="nil"/>
              <w:bottom w:val="single" w:sz="4" w:space="0" w:color="auto"/>
              <w:right w:val="single" w:sz="4" w:space="0" w:color="auto"/>
            </w:tcBorders>
            <w:shd w:val="clear" w:color="auto" w:fill="C6EFCE"/>
            <w:noWrap/>
          </w:tcPr>
          <w:p w14:paraId="699AFC4D" w14:textId="77777777" w:rsidR="00733DCA" w:rsidRPr="00127F33"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Nadograđena je i optimizirana infrastruktura IKT-a s višim stupnjem interoperabilnosti u pravosudnim tijelima koja omogućava siguran i kontinuirano stabilan rad cjelokupnog komunikacijskog sustava koji povezuje 218 lokacija pravosudnih i kaznenih tijela te preko 10 000 korisnika u komunikacijsku mrežu</w:t>
            </w:r>
          </w:p>
        </w:tc>
      </w:tr>
    </w:tbl>
    <w:p w14:paraId="721E8F0D" w14:textId="77777777" w:rsidR="00733DCA" w:rsidRPr="00BC0323" w:rsidRDefault="00733DCA" w:rsidP="0001477B">
      <w:pPr>
        <w:spacing w:before="120" w:after="120" w:line="240" w:lineRule="auto"/>
        <w:jc w:val="both"/>
        <w:rPr>
          <w:rFonts w:ascii="Times New Roman" w:eastAsia="Calibri" w:hAnsi="Times New Roman" w:cs="Times New Roman"/>
          <w:noProof/>
          <w:sz w:val="24"/>
          <w:szCs w:val="24"/>
        </w:rPr>
        <w:sectPr w:rsidR="00733DCA" w:rsidRPr="00BC0323" w:rsidSect="0001477B">
          <w:headerReference w:type="even" r:id="rId216"/>
          <w:headerReference w:type="default" r:id="rId217"/>
          <w:footerReference w:type="even" r:id="rId218"/>
          <w:footerReference w:type="default" r:id="rId219"/>
          <w:headerReference w:type="first" r:id="rId220"/>
          <w:footerReference w:type="first" r:id="rId221"/>
          <w:pgSz w:w="15840" w:h="12240" w:orient="landscape"/>
          <w:pgMar w:top="1440" w:right="1440" w:bottom="1440" w:left="1440" w:header="708" w:footer="708" w:gutter="0"/>
          <w:cols w:space="708"/>
          <w:docGrid w:linePitch="360"/>
        </w:sectPr>
      </w:pPr>
    </w:p>
    <w:p w14:paraId="04E2C27F" w14:textId="77777777" w:rsidR="00733DCA" w:rsidRPr="00165AFF" w:rsidRDefault="00733DCA" w:rsidP="00733DCA">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L. KOMPONENTA 2.6.: SPREČAVANJE I SUZBIJANJE KORUPCIJE</w:t>
      </w:r>
    </w:p>
    <w:p w14:paraId="0A4C4773" w14:textId="77777777" w:rsidR="00733DCA" w:rsidRPr="00165AFF" w:rsidRDefault="00733DCA" w:rsidP="00733DCA">
      <w:pPr>
        <w:spacing w:before="120" w:after="120" w:line="240" w:lineRule="auto"/>
        <w:jc w:val="both"/>
        <w:rPr>
          <w:rFonts w:ascii="Times New Roman" w:eastAsia="SimSun" w:hAnsi="Times New Roman" w:cs="Times New Roman"/>
          <w:noProof/>
          <w:sz w:val="24"/>
        </w:rPr>
      </w:pPr>
      <w:r>
        <w:rPr>
          <w:rFonts w:ascii="Times New Roman" w:hAnsi="Times New Roman"/>
          <w:noProof/>
          <w:sz w:val="24"/>
        </w:rPr>
        <w:t xml:space="preserve">Cilj je ove komponente NPOO-a ojačati okvir za sprečavanje i sankcioniranje korupcije provedbom sljedećih mjera: i. povećanje učinkovitosti, koherentnosti i otvorenosti nadležnih tijela u borbi protiv korupcije, ii. unapređenje provedbe Zakona o pravu na pristup informacijama, iii. unapređenje korporativnog upravljanja trgovačkim društvima u većinskom vlasništvu jedinica lokalne i regionalne uprave i iv. jačanje kapaciteta sudske zaštite u postupcima javne nabave. </w:t>
      </w:r>
    </w:p>
    <w:p w14:paraId="2B5DBAEE"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Komponentom se podržava ispunjenje preporuke za Hrvatsku o potrebi daljnjeg jačanja okvira za sprečavanje i sankcioniranje korupcije kako bi se zajamčilo zakonito, transparentno i učinkovito korištenje javnih sredstava (4. preporuka za Hrvatsku iz 2019.).</w:t>
      </w:r>
    </w:p>
    <w:p w14:paraId="45D9001F" w14:textId="77777777" w:rsidR="00733DCA" w:rsidRPr="00BC0323" w:rsidRDefault="00733DCA" w:rsidP="00733DCA">
      <w:pPr>
        <w:spacing w:before="120" w:after="120" w:line="240" w:lineRule="auto"/>
        <w:ind w:left="850"/>
        <w:jc w:val="both"/>
        <w:rPr>
          <w:rFonts w:ascii="Times New Roman" w:eastAsia="Times New Roman" w:hAnsi="Times New Roman" w:cs="Times New Roman"/>
          <w:noProof/>
          <w:sz w:val="24"/>
          <w:szCs w:val="24"/>
        </w:rPr>
      </w:pPr>
    </w:p>
    <w:p w14:paraId="30E67FED" w14:textId="77777777" w:rsidR="00733DCA" w:rsidRPr="00165AFF" w:rsidRDefault="00733DCA" w:rsidP="00733DCA">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L.1. </w:t>
      </w:r>
      <w:r>
        <w:rPr>
          <w:rFonts w:ascii="Times New Roman" w:hAnsi="Times New Roman"/>
          <w:b/>
          <w:noProof/>
          <w:sz w:val="24"/>
          <w:u w:val="single"/>
        </w:rPr>
        <w:tab/>
        <w:t>Opis reformi i ulaganja za programe bespovratne financijske potpore</w:t>
      </w:r>
    </w:p>
    <w:p w14:paraId="15C678B3" w14:textId="77777777" w:rsidR="00733DCA" w:rsidRPr="00165AFF" w:rsidRDefault="00733DCA" w:rsidP="00733DCA">
      <w:pPr>
        <w:spacing w:before="120" w:after="120" w:line="240" w:lineRule="auto"/>
        <w:ind w:left="851"/>
        <w:jc w:val="both"/>
        <w:rPr>
          <w:rFonts w:ascii="Times New Roman" w:eastAsia="Calibri" w:hAnsi="Times New Roman" w:cs="Times New Roman"/>
          <w:noProof/>
          <w:sz w:val="24"/>
          <w:szCs w:val="24"/>
        </w:rPr>
      </w:pPr>
      <w:r>
        <w:rPr>
          <w:rFonts w:ascii="Times New Roman" w:hAnsi="Times New Roman"/>
          <w:noProof/>
          <w:sz w:val="24"/>
          <w:u w:val="single"/>
        </w:rPr>
        <w:t>Reforma: C2.6. R1 – Povećanje učinkovitosti, koherentnosti i otvorenosti nadležnih tijela u borbi protiv korupcije kroz digitalizaciju, jačanje transparentnosti i unapređenje koordinacije</w:t>
      </w:r>
      <w:r>
        <w:rPr>
          <w:rFonts w:ascii="Times New Roman" w:hAnsi="Times New Roman"/>
          <w:noProof/>
          <w:sz w:val="24"/>
        </w:rPr>
        <w:t xml:space="preserve"> </w:t>
      </w:r>
    </w:p>
    <w:p w14:paraId="7A111715"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Reformom će se poboljšati koordinacija i suradnja tijela uključenih u provedbu nacionalnih antikorupcijskih dokumenata primjenom informacijske tehnologije. Razvit će se i informacijska platforma za jasno informiranje građana o postojećem zakonodavnom okviru u području sprečavanja korupcije te o dostupnim alatima. Očekuje se da će reforma povećati djelotvornost cjelokupnog okvira antikorupcijske politike.</w:t>
      </w:r>
    </w:p>
    <w:p w14:paraId="7CAF7956"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w:t>
      </w:r>
    </w:p>
    <w:p w14:paraId="72CECA0E"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novu Strategiju suzbijanja korupcije za razdoblje 2021.–2030. radi jačanja institucionalnog i normativnog okvira za borbu protiv korupcije, jačanja transparentnosti i otvorenosti rada tijela javne vlasti, jačanja sustava integriteta i upravljanja sukobom interesa, jačanja antikorupcijskih potencijala u sustavu javne nabave, informiranja javnosti o štetnosti korupcije, nužnosti prijavljivanja nepravilnosti i jačanja transparentnosti, izmjene Zakona o sprečavanju sukoba interesa, kojima će se proširiti područje primjene Zakona kako bi se obuhvatila društva u vlasništvu jedinica lokalne i regionalne uprave i društava u vlasništvu takvih društava, uvelo obvezno podnošenje imovinskih kartica i uklonili potencijalni sukobi interesa, </w:t>
      </w:r>
    </w:p>
    <w:p w14:paraId="022A77FF"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izmjene Zakona o zaštiti osoba koje prijavljuju nepravilnosti kako bi se odredbe Zakona poboljšale i uskladile s pravnom stečevinom EU-a,</w:t>
      </w:r>
    </w:p>
    <w:p w14:paraId="324A1D52"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donošenje novog kodeksa etike za saborske zastupnike i kodeksa etike za dužnosnike u izvršnoj vlasti radi pružanja smjernica o sukobima interesa i drugim pitanjima povezanima s integritetom,</w:t>
      </w:r>
    </w:p>
    <w:p w14:paraId="6053A8A8"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uvođenje informatičkog mehanizma za provedbu i praćenje provedbe nacionalnih antikorupcijskih mjera,</w:t>
      </w:r>
    </w:p>
    <w:p w14:paraId="047A2C05"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povećanje ljudskog i tehnološkog kapaciteta antikorupcijskih tijela u pravosudnom sustavu radi skraćivanja prosječnog trajanja sudskih postupaka za kaznena djela korupcije i organiziranog kriminaliteta za 200 dana.</w:t>
      </w:r>
    </w:p>
    <w:p w14:paraId="7B04C46E" w14:textId="626D7FCD" w:rsidR="00733DCA" w:rsidRPr="004F729A" w:rsidRDefault="00733DCA" w:rsidP="004F729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u potpunosti provedena do 30. lipnja 2026.</w:t>
      </w:r>
    </w:p>
    <w:p w14:paraId="00F09CD6" w14:textId="77777777" w:rsidR="00733DCA" w:rsidRPr="00165AFF" w:rsidRDefault="00733DCA" w:rsidP="00733DCA">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C2.6. R1-I1 – Uključivanje šire javnosti u borbu protiv korupcije provođenjem komunikacijskih kampanja o štetnosti korupcije, nužnosti sprečavanja i pravnoj zaštiti prijavitelja</w:t>
      </w:r>
    </w:p>
    <w:p w14:paraId="29BD6E5F"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informiranje šire javnosti, dužnosnika i službenika javne uprave o štetnosti korupcije, nužnosti njezina sprečavanja i suzbijanja te o postojećim kanalima prijavljivanja i mehanizmima zaštite prijavitelja nepravilnosti. Ulaganje uključuje nacionalnu informativnu kampanju kojom će se građane potaknuti na prijavljivanje nepravilnosti. Informativna kampanja uključivat će sadržaj kojim se promovira odgovornost i transparentniji rad javne uprave te informacije o očekivanim standardima rada institucija, o mehanizmima komuniciranja s institucijama, o poduzetim antikoruptivnim aktivnostima u smjeru kreiranja kulture netolerancije spram korupcije te o funkcioniranju antikorupcijskih mehanizama.</w:t>
      </w:r>
    </w:p>
    <w:p w14:paraId="634007EE"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Informativnom kampanjom omogućit će se da postojeća antikorupcijska rješenja postanu vidljiva i prepoznatljiva većini hrvatskih građana te će se osvijestiti širu javnost o postojanju pravnog okvira za sprečavanje korupcije i zaštiti koju taj pravni okvir pruža. Koristit će se razni komunikacijski kanali, kao što su medijske kampanje, konferencije i druga događanja, okrugli stolovi za državne dužnosnike i nevladine organizacije, radionice za novinare i školsko obrazovanje. </w:t>
      </w:r>
    </w:p>
    <w:p w14:paraId="2A7D1D80"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u potpunosti izvršeno do 31. prosinca 2024.</w:t>
      </w:r>
    </w:p>
    <w:p w14:paraId="1CE1862D" w14:textId="77777777" w:rsidR="00733DCA" w:rsidRPr="00165AFF" w:rsidRDefault="00733DCA" w:rsidP="00733DCA">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C2.6. R1-I2 – Digitalizacija etičkog sustava državnih službenika</w:t>
      </w:r>
    </w:p>
    <w:p w14:paraId="12E53B8D"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uključuje razvoj i puštanje u rad elektroničkog sustava upravljanja etičkom infrastrukturom radi moderniziranja i unapređenja rada povjerenika za etiku, Etičkog povjerenstva i službenika zaposlenih u Službi za etiku i integritet.</w:t>
      </w:r>
    </w:p>
    <w:p w14:paraId="7F2A4378"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u potpunosti izvršeno do 31. prosinca 2025.</w:t>
      </w:r>
    </w:p>
    <w:p w14:paraId="136B5C17" w14:textId="77777777" w:rsidR="00733DCA" w:rsidRPr="00165AFF" w:rsidRDefault="00733DCA" w:rsidP="00733DCA">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C2.6. R1-I3 – Unapređenje IT sustava imovinskih kartica državnih dužnosnika</w:t>
      </w:r>
    </w:p>
    <w:p w14:paraId="18B89DD3"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dodatno ojačati postupke podnošenja i obrade imovinskih kartica dužnosnika automatiziranjem određenih postupaka u postojećem informatičkom sustavu za podnošenje izvješća o imovinskom stanju dužnosnika. </w:t>
      </w:r>
    </w:p>
    <w:p w14:paraId="7D8B555B"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2024.</w:t>
      </w:r>
    </w:p>
    <w:p w14:paraId="65567C9E" w14:textId="77777777" w:rsidR="00733DCA" w:rsidRPr="00165AFF" w:rsidRDefault="00733DCA" w:rsidP="00733DCA">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C2.6. R1-I4 – Podrška učinkovitosti u suzbijanju korupcije i organiziranog kriminaliteta</w:t>
      </w:r>
    </w:p>
    <w:p w14:paraId="41F79D47"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osnažiti učinkovitost u suzbijanju korupcije i organiziranog kriminaliteta jačanjem ljudskih i infrastrukturnih kapaciteta Policijskog nacionalnog ureda za suzbijanje korupcije i organiziranog kriminaliteta (PNUSKOK). Ulaganje uključuje obnovu i opremanje pametnom tehnologijom četiriju regionalnih centara Policijskog nacionalnog ureda za suzbijanje korupcije i organiziranog kriminaliteta (PNUSKOK). Preuređenjem starih i dotrajalih smještajnih kapaciteta objekata u Zagrebu i Splitu stvorit će se preduvjeti za funkcioniranje svih centara u sustavu regionalnih centara za borbu protiv organiziranog i teškog kriminaliteta te gospodarskog kriminaliteta i korupcije.  U novouređenim prostorima održavat će se edukacije, treninzi i razmjena dobre prakse, i to među sastavnicama PNUSKOK-a i u okviru edukacije i obuke policijskih službenika kriminalističke policije iz svih policijskih uprava, čime će se uspostaviti nova razina u suzbijanju organiziranog kriminaliteta s preventivnog i represivnog aspekta.</w:t>
      </w:r>
    </w:p>
    <w:p w14:paraId="53598B80"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2025.</w:t>
      </w:r>
    </w:p>
    <w:p w14:paraId="2D499E1E" w14:textId="77777777" w:rsidR="00733DCA" w:rsidRPr="00165AFF" w:rsidRDefault="00733DCA" w:rsidP="00733DCA">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C2.6. R2 – Unapređenje provedbe Zakona o pravu na pristup informacijama</w:t>
      </w:r>
    </w:p>
    <w:p w14:paraId="7C43BEF5"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Zakon o pravu na pristup informacijama glavni je instrument za ostvarivanje Ustavom zajamčenog prava građana na pristup informacijama kojima raspolažu javna tijela kako bi se osigurala transparentnost i otvorenost države i suzbijanje korupcije. Reforma uključuje dubinsku evaluaciju Zakona i njegovih učinaka na ostvarivanje prava na pristup informacijama, iz perspektive korisnika i iz perspektive javnih tijela, nakon čega slijedi donošenje izmjena Zakona o pravu na pristup informacijama, u skladu s preporukama iz evaluacije. </w:t>
      </w:r>
    </w:p>
    <w:p w14:paraId="4E01C9F2"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2023.</w:t>
      </w:r>
    </w:p>
    <w:p w14:paraId="35AD1604" w14:textId="77777777" w:rsidR="00733DCA" w:rsidRPr="00165AFF" w:rsidRDefault="00733DCA" w:rsidP="00733DCA">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C2.6. R3 – Unapređenje korporativnog upravljanja u trgovačkim društvima u većinskom vlasništvu jedinica lokalne i područne (regionalne) uprave</w:t>
      </w:r>
    </w:p>
    <w:p w14:paraId="4C326DC5"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unaprijediti učinkovitost, transparentnost i odgovornost lokalnih društava u državnom vlasništvu provedbom OECD-ovih preporuka za Hrvatsku koje se odnose na korporativno upravljanje i ocijeniti učinke provedbe Antikorupcijskog programa za trgovačka društva u većinskom vlasništvu jedinica lokalne i regionalne uprave za razdoblje 2021.–2022.  </w:t>
      </w:r>
    </w:p>
    <w:p w14:paraId="45AA01FF"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w:t>
      </w:r>
    </w:p>
    <w:p w14:paraId="261B6EE7"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izradu priručnika za primjenu OECD-ovih preporuka o korporativnom upravljanju u društvima u većinskom vlasništvu jedinica lokalne i regionalne uprave,</w:t>
      </w:r>
    </w:p>
    <w:p w14:paraId="057A508A"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jačanje nadzora nad pridržavanjem postojećih zakonskih obveza u smislu osiguravanja više razine transparentnosti u radu jedinica lokalne i uprave, društava u vlasništvu jedinica lokalne i regionalne uprave te uvođenje i provedbu funkcije usklađenosti u svim pravnim osobama koje imaju obvezu njezine uspostave,</w:t>
      </w:r>
    </w:p>
    <w:p w14:paraId="40706F96" w14:textId="77777777" w:rsidR="00733DCA" w:rsidRPr="00165AFF" w:rsidRDefault="00733DCA" w:rsidP="00733DCA">
      <w:pPr>
        <w:numPr>
          <w:ilvl w:val="0"/>
          <w:numId w:val="22"/>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edukacije društava o važnosti provedbe antikorupcijskih politika, uvođenja etičkog kodeksa i bolje uspostavljene funkcije usklađenosti jer time društva potvrđuju kako pažljivo provode prevenciju neetičnog ponašanja, kao i organizacijsku kulturu koja potiče etičko ponašanje i poštovanje zakona.</w:t>
      </w:r>
    </w:p>
    <w:p w14:paraId="3475A2D6" w14:textId="77777777"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30. lipnja 2026.</w:t>
      </w:r>
    </w:p>
    <w:p w14:paraId="1FF4C150" w14:textId="77777777" w:rsidR="00733DCA" w:rsidRPr="00165AFF" w:rsidRDefault="00733DCA" w:rsidP="00733DCA">
      <w:pPr>
        <w:keepNext/>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C2.6. R4 – Jačanje kapaciteta sudske zaštite u postupcima javne nabave</w:t>
      </w:r>
    </w:p>
    <w:p w14:paraId="0BA8DE2D" w14:textId="5BECCD48" w:rsidR="00733DCA" w:rsidRPr="00165AFF" w:rsidRDefault="00733DCA" w:rsidP="00733DCA">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ojačati pravosudnu zaštitu u postupcima javne nabave održavanjem edukativnih radionica za suce za koje se očekuje da će povećati njihovo znanje i svijest o upravljanju korupcijskim rizicima u javnoj nabavi i sudskoj zaštiti u postupcima javne nabave. Provest će se radionice u organizaciji Pravosudne akademije u okviru cjeloživotnog stručnog usavršavanja pravosudnih dužnosnika.</w:t>
      </w:r>
    </w:p>
    <w:p w14:paraId="014110AD" w14:textId="64D0B844" w:rsidR="00733DCA" w:rsidRPr="00EF0713" w:rsidRDefault="00733DCA" w:rsidP="00EF0713">
      <w:pPr>
        <w:spacing w:before="120" w:after="120" w:line="240" w:lineRule="auto"/>
        <w:rPr>
          <w:rStyle w:val="normaltextrun"/>
          <w:rFonts w:ascii="Times New Roman" w:eastAsia="Calibri" w:hAnsi="Times New Roman" w:cs="Times New Roman"/>
          <w:noProof/>
          <w:sz w:val="24"/>
        </w:rPr>
        <w:sectPr w:rsidR="00733DCA" w:rsidRPr="00EF0713" w:rsidSect="0001477B">
          <w:headerReference w:type="even" r:id="rId222"/>
          <w:headerReference w:type="default" r:id="rId223"/>
          <w:footerReference w:type="even" r:id="rId224"/>
          <w:footerReference w:type="default" r:id="rId225"/>
          <w:headerReference w:type="first" r:id="rId226"/>
          <w:footerReference w:type="first" r:id="rId227"/>
          <w:pgSz w:w="12240" w:h="15840"/>
          <w:pgMar w:top="1440" w:right="1440" w:bottom="1440" w:left="1440" w:header="708" w:footer="708" w:gutter="0"/>
          <w:cols w:space="708"/>
          <w:docGrid w:linePitch="360"/>
        </w:sectPr>
      </w:pPr>
      <w:r>
        <w:rPr>
          <w:rFonts w:ascii="Times New Roman" w:hAnsi="Times New Roman"/>
          <w:noProof/>
          <w:sz w:val="24"/>
        </w:rPr>
        <w:t xml:space="preserve">Reforma će biti provedena do 30. lipnja 2024. </w:t>
      </w:r>
    </w:p>
    <w:p w14:paraId="0BBF6F49" w14:textId="77777777" w:rsidR="00EF0713" w:rsidRPr="00165AFF" w:rsidRDefault="00EF0713" w:rsidP="004F729A">
      <w:pPr>
        <w:keepNext/>
        <w:tabs>
          <w:tab w:val="num" w:pos="284"/>
        </w:tabs>
        <w:spacing w:before="40"/>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L.2. </w:t>
      </w:r>
      <w:r>
        <w:rPr>
          <w:rFonts w:ascii="Times New Roman" w:hAnsi="Times New Roman"/>
          <w:b/>
          <w:noProof/>
          <w:sz w:val="24"/>
          <w:u w:val="single"/>
        </w:rPr>
        <w:tab/>
        <w:t>Ključne etape, ciljne vrijednosti, pokazatelji i vremenski raspored za praćenje i provedbu programa bespovratne financijske potpore</w:t>
      </w:r>
    </w:p>
    <w:tbl>
      <w:tblPr>
        <w:tblW w:w="14885" w:type="dxa"/>
        <w:tblInd w:w="-823" w:type="dxa"/>
        <w:tblCellMar>
          <w:top w:w="28" w:type="dxa"/>
          <w:left w:w="28" w:type="dxa"/>
          <w:bottom w:w="28" w:type="dxa"/>
          <w:right w:w="28" w:type="dxa"/>
        </w:tblCellMar>
        <w:tblLook w:val="04A0" w:firstRow="1" w:lastRow="0" w:firstColumn="1" w:lastColumn="0" w:noHBand="0" w:noVBand="1"/>
      </w:tblPr>
      <w:tblGrid>
        <w:gridCol w:w="993"/>
        <w:gridCol w:w="1134"/>
        <w:gridCol w:w="992"/>
        <w:gridCol w:w="1843"/>
        <w:gridCol w:w="2226"/>
        <w:gridCol w:w="1168"/>
        <w:gridCol w:w="836"/>
        <w:gridCol w:w="850"/>
        <w:gridCol w:w="425"/>
        <w:gridCol w:w="709"/>
        <w:gridCol w:w="3719"/>
      </w:tblGrid>
      <w:tr w:rsidR="00215DFD" w:rsidRPr="00165AFF" w14:paraId="35745F96" w14:textId="77777777" w:rsidTr="00C845C4">
        <w:trPr>
          <w:trHeight w:val="635"/>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1D0D66"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97DFA4"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B6B65"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03F335"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961949"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F54E7F9"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134" w:type="dxa"/>
            <w:gridSpan w:val="2"/>
            <w:tcBorders>
              <w:top w:val="single" w:sz="4" w:space="0" w:color="auto"/>
              <w:left w:val="nil"/>
              <w:bottom w:val="single" w:sz="4" w:space="0" w:color="auto"/>
              <w:right w:val="single" w:sz="4" w:space="0" w:color="auto"/>
            </w:tcBorders>
            <w:shd w:val="clear" w:color="auto" w:fill="BDD7EE"/>
            <w:vAlign w:val="center"/>
            <w:hideMark/>
          </w:tcPr>
          <w:p w14:paraId="27542F39"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7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A4699C"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215DFD" w:rsidRPr="00165AFF" w14:paraId="7BACC25B" w14:textId="77777777" w:rsidTr="00C845C4">
        <w:trPr>
          <w:trHeight w:val="503"/>
          <w:tblHeader/>
        </w:trPr>
        <w:tc>
          <w:tcPr>
            <w:tcW w:w="993" w:type="dxa"/>
            <w:vMerge/>
            <w:tcBorders>
              <w:top w:val="single" w:sz="4" w:space="0" w:color="auto"/>
              <w:left w:val="single" w:sz="4" w:space="0" w:color="auto"/>
              <w:bottom w:val="single" w:sz="4" w:space="0" w:color="auto"/>
              <w:right w:val="single" w:sz="4" w:space="0" w:color="auto"/>
            </w:tcBorders>
            <w:hideMark/>
          </w:tcPr>
          <w:p w14:paraId="4C83D622" w14:textId="77777777" w:rsidR="00EF0713" w:rsidRPr="00BC0323" w:rsidRDefault="00EF0713" w:rsidP="0001477B">
            <w:pPr>
              <w:spacing w:after="0" w:line="276" w:lineRule="auto"/>
              <w:jc w:val="center"/>
              <w:rPr>
                <w:rFonts w:ascii="Times New Roman" w:eastAsia="Times New Roman" w:hAnsi="Times New Roman" w:cs="Times New Roman"/>
                <w:b/>
                <w:noProof/>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78BAAB9E" w14:textId="77777777" w:rsidR="00EF0713" w:rsidRPr="00BC0323" w:rsidRDefault="00EF0713" w:rsidP="0001477B">
            <w:pPr>
              <w:spacing w:after="0" w:line="276" w:lineRule="auto"/>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2C56C15D" w14:textId="77777777" w:rsidR="00EF0713" w:rsidRPr="00BC0323" w:rsidRDefault="00EF0713" w:rsidP="0001477B">
            <w:pPr>
              <w:spacing w:after="0" w:line="276" w:lineRule="auto"/>
              <w:jc w:val="center"/>
              <w:rPr>
                <w:rFonts w:ascii="Times New Roman" w:eastAsia="Times New Roman" w:hAnsi="Times New Roman" w:cs="Times New Roman"/>
                <w:b/>
                <w:noProof/>
                <w:lang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1744D518" w14:textId="77777777" w:rsidR="00EF0713" w:rsidRPr="00BC0323" w:rsidRDefault="00EF0713" w:rsidP="0001477B">
            <w:pPr>
              <w:spacing w:after="0" w:line="276" w:lineRule="auto"/>
              <w:rPr>
                <w:rFonts w:ascii="Times New Roman" w:eastAsia="Times New Roman" w:hAnsi="Times New Roman" w:cs="Times New Roman"/>
                <w:b/>
                <w:noProof/>
                <w:lang w:eastAsia="en-GB"/>
              </w:rPr>
            </w:pPr>
          </w:p>
        </w:tc>
        <w:tc>
          <w:tcPr>
            <w:tcW w:w="2226" w:type="dxa"/>
            <w:vMerge/>
            <w:tcBorders>
              <w:top w:val="single" w:sz="4" w:space="0" w:color="auto"/>
              <w:left w:val="single" w:sz="4" w:space="0" w:color="auto"/>
              <w:bottom w:val="single" w:sz="4" w:space="0" w:color="auto"/>
              <w:right w:val="single" w:sz="4" w:space="0" w:color="auto"/>
            </w:tcBorders>
            <w:hideMark/>
          </w:tcPr>
          <w:p w14:paraId="46AFB80F" w14:textId="77777777" w:rsidR="00EF0713" w:rsidRPr="00BC0323" w:rsidRDefault="00EF0713" w:rsidP="0001477B">
            <w:pPr>
              <w:spacing w:after="0" w:line="276" w:lineRule="auto"/>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vAlign w:val="center"/>
            <w:hideMark/>
          </w:tcPr>
          <w:p w14:paraId="5E34F615"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vAlign w:val="center"/>
            <w:hideMark/>
          </w:tcPr>
          <w:p w14:paraId="30D16D47"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vAlign w:val="center"/>
            <w:hideMark/>
          </w:tcPr>
          <w:p w14:paraId="6D5A1AFA"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vAlign w:val="center"/>
            <w:hideMark/>
          </w:tcPr>
          <w:p w14:paraId="34C9CF06"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nil"/>
              <w:left w:val="nil"/>
              <w:bottom w:val="single" w:sz="4" w:space="0" w:color="auto"/>
              <w:right w:val="single" w:sz="4" w:space="0" w:color="auto"/>
            </w:tcBorders>
            <w:shd w:val="clear" w:color="auto" w:fill="BDD7EE"/>
            <w:vAlign w:val="center"/>
            <w:hideMark/>
          </w:tcPr>
          <w:p w14:paraId="3D17E9BA" w14:textId="77777777" w:rsidR="00EF0713" w:rsidRPr="00165AFF" w:rsidRDefault="00EF0713"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719" w:type="dxa"/>
            <w:vMerge/>
            <w:tcBorders>
              <w:top w:val="single" w:sz="4" w:space="0" w:color="auto"/>
              <w:bottom w:val="single" w:sz="4" w:space="0" w:color="auto"/>
              <w:right w:val="single" w:sz="4" w:space="0" w:color="auto"/>
            </w:tcBorders>
            <w:hideMark/>
          </w:tcPr>
          <w:p w14:paraId="596E6886" w14:textId="77777777" w:rsidR="00EF0713" w:rsidRPr="00165AFF" w:rsidRDefault="00EF0713" w:rsidP="0001477B">
            <w:pPr>
              <w:spacing w:after="0" w:line="276" w:lineRule="auto"/>
              <w:rPr>
                <w:rFonts w:ascii="Times New Roman" w:eastAsia="Times New Roman" w:hAnsi="Times New Roman" w:cs="Times New Roman"/>
                <w:b/>
                <w:noProof/>
                <w:lang w:val="en-GB" w:eastAsia="en-GB"/>
              </w:rPr>
            </w:pPr>
          </w:p>
        </w:tc>
      </w:tr>
      <w:tr w:rsidR="00215DFD" w:rsidRPr="00165AFF" w14:paraId="37398C98" w14:textId="77777777" w:rsidTr="00C845C4">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DA9098E" w14:textId="77777777" w:rsidR="00EF0713" w:rsidRPr="00165AFF" w:rsidRDefault="00EF0713"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231</w:t>
            </w:r>
          </w:p>
        </w:tc>
        <w:tc>
          <w:tcPr>
            <w:tcW w:w="1134" w:type="dxa"/>
            <w:tcBorders>
              <w:top w:val="single" w:sz="4" w:space="0" w:color="auto"/>
              <w:left w:val="nil"/>
              <w:bottom w:val="single" w:sz="4" w:space="0" w:color="auto"/>
              <w:right w:val="single" w:sz="4" w:space="0" w:color="auto"/>
            </w:tcBorders>
            <w:shd w:val="clear" w:color="auto" w:fill="C6EFCE"/>
            <w:noWrap/>
          </w:tcPr>
          <w:p w14:paraId="48E06706"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single" w:sz="4" w:space="0" w:color="auto"/>
              <w:left w:val="nil"/>
              <w:bottom w:val="single" w:sz="4" w:space="0" w:color="auto"/>
              <w:right w:val="single" w:sz="4" w:space="0" w:color="auto"/>
            </w:tcBorders>
            <w:shd w:val="clear" w:color="auto" w:fill="C6EFCE"/>
            <w:noWrap/>
          </w:tcPr>
          <w:p w14:paraId="63DD343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3829C095"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nove Strategije suzbijanja korupcije za razdoblje 2021.–2030.</w:t>
            </w:r>
          </w:p>
        </w:tc>
        <w:tc>
          <w:tcPr>
            <w:tcW w:w="2226" w:type="dxa"/>
            <w:tcBorders>
              <w:top w:val="single" w:sz="4" w:space="0" w:color="auto"/>
              <w:left w:val="nil"/>
              <w:bottom w:val="single" w:sz="4" w:space="0" w:color="auto"/>
              <w:right w:val="single" w:sz="4" w:space="0" w:color="auto"/>
            </w:tcBorders>
            <w:shd w:val="clear" w:color="auto" w:fill="C6EFCE"/>
            <w:noWrap/>
          </w:tcPr>
          <w:p w14:paraId="34CDE55A"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Nova Strategija suzbijanja korupcije za razdoblje 2021.–2030. donesena je u Saboru i objavljena u Narodnim novinama</w:t>
            </w:r>
          </w:p>
        </w:tc>
        <w:tc>
          <w:tcPr>
            <w:tcW w:w="1168" w:type="dxa"/>
            <w:tcBorders>
              <w:top w:val="nil"/>
              <w:left w:val="nil"/>
              <w:bottom w:val="single" w:sz="4" w:space="0" w:color="auto"/>
              <w:right w:val="single" w:sz="4" w:space="0" w:color="auto"/>
            </w:tcBorders>
            <w:shd w:val="clear" w:color="auto" w:fill="C6EFCE"/>
            <w:noWrap/>
          </w:tcPr>
          <w:p w14:paraId="59E483A3"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2E9AEB2B"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083C9A21"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17F19EB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709" w:type="dxa"/>
            <w:tcBorders>
              <w:top w:val="nil"/>
              <w:left w:val="nil"/>
              <w:bottom w:val="single" w:sz="4" w:space="0" w:color="auto"/>
              <w:right w:val="single" w:sz="4" w:space="0" w:color="auto"/>
            </w:tcBorders>
            <w:shd w:val="clear" w:color="auto" w:fill="C6EFCE"/>
            <w:noWrap/>
          </w:tcPr>
          <w:p w14:paraId="2B63555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719" w:type="dxa"/>
            <w:tcBorders>
              <w:top w:val="single" w:sz="4" w:space="0" w:color="auto"/>
              <w:left w:val="nil"/>
              <w:bottom w:val="single" w:sz="4" w:space="0" w:color="auto"/>
              <w:right w:val="single" w:sz="4" w:space="0" w:color="auto"/>
            </w:tcBorders>
            <w:shd w:val="clear" w:color="auto" w:fill="C6EFCE"/>
            <w:noWrap/>
          </w:tcPr>
          <w:p w14:paraId="1CCE73B4"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Strategija uključuje mjere za upravljanje korupcijskim rizicima u prioritetnim područjima i ispunjenje sljedećih pet ciljeva:</w:t>
            </w:r>
            <w:r>
              <w:rPr>
                <w:rFonts w:ascii="Calibri" w:hAnsi="Calibri"/>
                <w:noProof/>
                <w:color w:val="000000"/>
                <w:sz w:val="20"/>
              </w:rPr>
              <w:br/>
              <w:t>• jačanje institucionalnog i normativnog okvira za borbu protiv korupcije,</w:t>
            </w:r>
            <w:r>
              <w:rPr>
                <w:rFonts w:ascii="Calibri" w:hAnsi="Calibri"/>
                <w:noProof/>
                <w:color w:val="000000"/>
                <w:sz w:val="20"/>
              </w:rPr>
              <w:br/>
              <w:t>• jačanje transparentnosti i otvorenosti rada tijela javne vlasti,</w:t>
            </w:r>
            <w:r>
              <w:rPr>
                <w:rFonts w:ascii="Calibri" w:hAnsi="Calibri"/>
                <w:noProof/>
                <w:color w:val="000000"/>
                <w:sz w:val="20"/>
              </w:rPr>
              <w:br/>
              <w:t xml:space="preserve">• jačanje sustava integriteta i upravljanja sukobom interesa, </w:t>
            </w:r>
            <w:r>
              <w:rPr>
                <w:rFonts w:ascii="Calibri" w:hAnsi="Calibri"/>
                <w:noProof/>
                <w:color w:val="000000"/>
                <w:sz w:val="20"/>
              </w:rPr>
              <w:br/>
              <w:t>• jačanje antikorupcijskih potencijala u sustavu javne nabave,</w:t>
            </w:r>
            <w:r>
              <w:rPr>
                <w:rFonts w:ascii="Calibri" w:hAnsi="Calibri"/>
                <w:noProof/>
                <w:color w:val="000000"/>
                <w:sz w:val="20"/>
              </w:rPr>
              <w:br/>
              <w:t xml:space="preserve">• informiranje javnosti o štetnosti korupcije, nužnosti prijavljivanja nepravilnosti i jačanja transparentnosti. </w:t>
            </w:r>
          </w:p>
        </w:tc>
      </w:tr>
      <w:tr w:rsidR="00215DFD" w:rsidRPr="00165AFF" w14:paraId="2E7F4EFC" w14:textId="77777777" w:rsidTr="60E84A2C">
        <w:trPr>
          <w:trHeight w:val="283"/>
        </w:trPr>
        <w:tc>
          <w:tcPr>
            <w:tcW w:w="993" w:type="dxa"/>
            <w:tcBorders>
              <w:top w:val="nil"/>
              <w:left w:val="single" w:sz="4" w:space="0" w:color="auto"/>
              <w:bottom w:val="single" w:sz="4" w:space="0" w:color="auto"/>
              <w:right w:val="single" w:sz="4" w:space="0" w:color="auto"/>
            </w:tcBorders>
            <w:shd w:val="clear" w:color="auto" w:fill="C6EFCE"/>
            <w:noWrap/>
          </w:tcPr>
          <w:p w14:paraId="35D372A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232</w:t>
            </w:r>
          </w:p>
        </w:tc>
        <w:tc>
          <w:tcPr>
            <w:tcW w:w="1134" w:type="dxa"/>
            <w:tcBorders>
              <w:top w:val="nil"/>
              <w:left w:val="nil"/>
              <w:bottom w:val="single" w:sz="4" w:space="0" w:color="auto"/>
              <w:right w:val="single" w:sz="4" w:space="0" w:color="auto"/>
            </w:tcBorders>
            <w:shd w:val="clear" w:color="auto" w:fill="C6EFCE"/>
            <w:noWrap/>
          </w:tcPr>
          <w:p w14:paraId="0BE1EC1A"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nil"/>
              <w:left w:val="nil"/>
              <w:bottom w:val="single" w:sz="4" w:space="0" w:color="auto"/>
              <w:right w:val="single" w:sz="4" w:space="0" w:color="auto"/>
            </w:tcBorders>
            <w:shd w:val="clear" w:color="auto" w:fill="C6EFCE"/>
            <w:noWrap/>
          </w:tcPr>
          <w:p w14:paraId="752B51D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nil"/>
              <w:left w:val="nil"/>
              <w:bottom w:val="single" w:sz="4" w:space="0" w:color="auto"/>
              <w:right w:val="single" w:sz="4" w:space="0" w:color="auto"/>
            </w:tcBorders>
            <w:shd w:val="clear" w:color="auto" w:fill="C6EFCE"/>
            <w:noWrap/>
          </w:tcPr>
          <w:p w14:paraId="19EFD8B6"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novog Zakona o sprečavanju sukoba interesa </w:t>
            </w:r>
          </w:p>
        </w:tc>
        <w:tc>
          <w:tcPr>
            <w:tcW w:w="2226" w:type="dxa"/>
            <w:tcBorders>
              <w:top w:val="nil"/>
              <w:left w:val="nil"/>
              <w:bottom w:val="single" w:sz="4" w:space="0" w:color="auto"/>
              <w:right w:val="single" w:sz="4" w:space="0" w:color="auto"/>
            </w:tcBorders>
            <w:shd w:val="clear" w:color="auto" w:fill="C6EFCE"/>
            <w:noWrap/>
          </w:tcPr>
          <w:p w14:paraId="215980BB"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izmjena Zakona o sprečavanju sukoba interesa </w:t>
            </w:r>
          </w:p>
        </w:tc>
        <w:tc>
          <w:tcPr>
            <w:tcW w:w="1168" w:type="dxa"/>
            <w:tcBorders>
              <w:top w:val="nil"/>
              <w:left w:val="nil"/>
              <w:bottom w:val="single" w:sz="4" w:space="0" w:color="auto"/>
              <w:right w:val="single" w:sz="4" w:space="0" w:color="auto"/>
            </w:tcBorders>
            <w:shd w:val="clear" w:color="auto" w:fill="C6EFCE"/>
            <w:noWrap/>
          </w:tcPr>
          <w:p w14:paraId="01AC4BC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712B0E75" w14:textId="66552CF4" w:rsidR="00EF0713" w:rsidRPr="00165AFF" w:rsidRDefault="00EF0713" w:rsidP="00BA083D">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p w14:paraId="1BD6A036" w14:textId="77777777" w:rsidR="00EF0713" w:rsidRPr="00BC0323" w:rsidRDefault="00EF0713" w:rsidP="0001477B">
            <w:pPr>
              <w:spacing w:after="200" w:line="276" w:lineRule="auto"/>
              <w:rPr>
                <w:rFonts w:ascii="Times New Roman" w:eastAsia="Calibri" w:hAnsi="Times New Roman" w:cs="Times New Roman"/>
                <w:noProof/>
                <w:sz w:val="20"/>
                <w:szCs w:val="20"/>
              </w:rPr>
            </w:pPr>
          </w:p>
        </w:tc>
        <w:tc>
          <w:tcPr>
            <w:tcW w:w="850" w:type="dxa"/>
            <w:tcBorders>
              <w:top w:val="nil"/>
              <w:left w:val="nil"/>
              <w:bottom w:val="single" w:sz="4" w:space="0" w:color="auto"/>
              <w:right w:val="single" w:sz="4" w:space="0" w:color="auto"/>
            </w:tcBorders>
            <w:shd w:val="clear" w:color="auto" w:fill="C6EFCE"/>
            <w:noWrap/>
          </w:tcPr>
          <w:p w14:paraId="13CCEBD8"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3780881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58F1FD9F"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719" w:type="dxa"/>
            <w:tcBorders>
              <w:top w:val="nil"/>
              <w:left w:val="nil"/>
              <w:bottom w:val="single" w:sz="4" w:space="0" w:color="auto"/>
              <w:right w:val="single" w:sz="4" w:space="0" w:color="auto"/>
            </w:tcBorders>
            <w:shd w:val="clear" w:color="auto" w:fill="C6EFCE"/>
            <w:noWrap/>
          </w:tcPr>
          <w:p w14:paraId="569BB518"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Zakon o sprečavanju sukoba interesa izmijenit će se kako bi se: i. proširilo područje primjene Zakona u pogledu adresata, uključujući poduzeća u vlasništvu jedinica lokalne i regionalne uprave i poduzeća u vlasništvu takvih poduzeća, ii. obvezalo određene kategorije adresata da svake godine u zadanom roku podnesu imovinske kartice, iii. riješili mogući sukobi interesa, iv. regulirala mogućnost boljeg određivanja kazni za kršenje propisa uvođenjem načela proporcionalnosti i regulirali određeni aspekti razdoblja zastare, uključujući prijedloge Povjerenstva za odlučivanje o sukobu interesa o tome kako poboljšati zakon u praksi i iv. pružila pravna osnova za izradu modela etičkog kodeksa članova predstavničkih tijela jedinica lokalne i regionalne uprave, za čije bi donošenje, provedbu i nadzor bila zadužena predstavnička tijela. </w:t>
            </w:r>
          </w:p>
        </w:tc>
      </w:tr>
      <w:tr w:rsidR="00215DFD" w:rsidRPr="00165AFF" w14:paraId="4F774BAF" w14:textId="77777777" w:rsidTr="60E84A2C">
        <w:trPr>
          <w:trHeight w:val="283"/>
        </w:trPr>
        <w:tc>
          <w:tcPr>
            <w:tcW w:w="993" w:type="dxa"/>
            <w:tcBorders>
              <w:top w:val="nil"/>
              <w:left w:val="single" w:sz="4" w:space="0" w:color="auto"/>
              <w:bottom w:val="single" w:sz="4" w:space="0" w:color="auto"/>
              <w:right w:val="single" w:sz="4" w:space="0" w:color="auto"/>
            </w:tcBorders>
            <w:shd w:val="clear" w:color="auto" w:fill="C6EFCE"/>
            <w:noWrap/>
          </w:tcPr>
          <w:p w14:paraId="6505D74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233</w:t>
            </w:r>
          </w:p>
        </w:tc>
        <w:tc>
          <w:tcPr>
            <w:tcW w:w="1134" w:type="dxa"/>
            <w:tcBorders>
              <w:top w:val="nil"/>
              <w:left w:val="nil"/>
              <w:bottom w:val="single" w:sz="4" w:space="0" w:color="auto"/>
              <w:right w:val="single" w:sz="4" w:space="0" w:color="auto"/>
            </w:tcBorders>
            <w:shd w:val="clear" w:color="auto" w:fill="C6EFCE"/>
            <w:noWrap/>
          </w:tcPr>
          <w:p w14:paraId="2C20FF23"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nil"/>
              <w:left w:val="nil"/>
              <w:bottom w:val="single" w:sz="4" w:space="0" w:color="auto"/>
              <w:right w:val="single" w:sz="4" w:space="0" w:color="auto"/>
            </w:tcBorders>
            <w:shd w:val="clear" w:color="auto" w:fill="C6EFCE"/>
            <w:noWrap/>
          </w:tcPr>
          <w:p w14:paraId="08E89F9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nil"/>
              <w:left w:val="nil"/>
              <w:bottom w:val="single" w:sz="4" w:space="0" w:color="auto"/>
              <w:right w:val="single" w:sz="4" w:space="0" w:color="auto"/>
            </w:tcBorders>
            <w:shd w:val="clear" w:color="auto" w:fill="C6EFCE"/>
            <w:noWrap/>
          </w:tcPr>
          <w:p w14:paraId="5F3FD87F"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izmjena Zakona o zaštiti osoba koje prijavljuju nepravilnosti</w:t>
            </w:r>
          </w:p>
        </w:tc>
        <w:tc>
          <w:tcPr>
            <w:tcW w:w="2226" w:type="dxa"/>
            <w:tcBorders>
              <w:top w:val="nil"/>
              <w:left w:val="nil"/>
              <w:bottom w:val="single" w:sz="4" w:space="0" w:color="auto"/>
              <w:right w:val="single" w:sz="4" w:space="0" w:color="auto"/>
            </w:tcBorders>
            <w:shd w:val="clear" w:color="auto" w:fill="C6EFCE"/>
            <w:noWrap/>
          </w:tcPr>
          <w:p w14:paraId="2F615C26"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izmjena Zakona o zaštiti osoba koje prijavljuju nepravilnosti </w:t>
            </w:r>
          </w:p>
        </w:tc>
        <w:tc>
          <w:tcPr>
            <w:tcW w:w="1168" w:type="dxa"/>
            <w:tcBorders>
              <w:top w:val="nil"/>
              <w:left w:val="nil"/>
              <w:bottom w:val="single" w:sz="4" w:space="0" w:color="auto"/>
              <w:right w:val="single" w:sz="4" w:space="0" w:color="auto"/>
            </w:tcBorders>
            <w:shd w:val="clear" w:color="auto" w:fill="C6EFCE"/>
            <w:noWrap/>
          </w:tcPr>
          <w:p w14:paraId="4518F9BE"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6A31C2F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1212635E"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67ABF8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0E116DB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719" w:type="dxa"/>
            <w:tcBorders>
              <w:top w:val="nil"/>
              <w:left w:val="nil"/>
              <w:bottom w:val="single" w:sz="4" w:space="0" w:color="auto"/>
              <w:right w:val="single" w:sz="4" w:space="0" w:color="auto"/>
            </w:tcBorders>
            <w:shd w:val="clear" w:color="auto" w:fill="C6EFCE"/>
            <w:noWrap/>
          </w:tcPr>
          <w:p w14:paraId="4DABB623"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Izmijenit će se Zakon o zaštiti prijavitelja nepravilnosti kako bi se: i. poboljšale odredbe Zakona, ii. razjasnio pojam povjerljive osobe i iii. predvidjela dostava potvrde o registraciji.</w:t>
            </w:r>
          </w:p>
        </w:tc>
      </w:tr>
      <w:tr w:rsidR="00215DFD" w:rsidRPr="00165AFF" w14:paraId="7480D141" w14:textId="77777777" w:rsidTr="60E84A2C">
        <w:trPr>
          <w:trHeight w:val="283"/>
        </w:trPr>
        <w:tc>
          <w:tcPr>
            <w:tcW w:w="993" w:type="dxa"/>
            <w:tcBorders>
              <w:top w:val="nil"/>
              <w:left w:val="single" w:sz="4" w:space="0" w:color="auto"/>
              <w:bottom w:val="single" w:sz="4" w:space="0" w:color="auto"/>
              <w:right w:val="single" w:sz="4" w:space="0" w:color="auto"/>
            </w:tcBorders>
            <w:shd w:val="clear" w:color="auto" w:fill="C6EFCE"/>
            <w:noWrap/>
          </w:tcPr>
          <w:p w14:paraId="2E9F52CA"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234</w:t>
            </w:r>
          </w:p>
        </w:tc>
        <w:tc>
          <w:tcPr>
            <w:tcW w:w="1134" w:type="dxa"/>
            <w:tcBorders>
              <w:top w:val="nil"/>
              <w:left w:val="nil"/>
              <w:bottom w:val="single" w:sz="4" w:space="0" w:color="auto"/>
              <w:right w:val="single" w:sz="4" w:space="0" w:color="auto"/>
            </w:tcBorders>
            <w:shd w:val="clear" w:color="auto" w:fill="C6EFCE"/>
            <w:noWrap/>
          </w:tcPr>
          <w:p w14:paraId="3137DD8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nil"/>
              <w:left w:val="nil"/>
              <w:bottom w:val="single" w:sz="4" w:space="0" w:color="auto"/>
              <w:right w:val="single" w:sz="4" w:space="0" w:color="auto"/>
            </w:tcBorders>
            <w:shd w:val="clear" w:color="auto" w:fill="C6EFCE"/>
            <w:noWrap/>
          </w:tcPr>
          <w:p w14:paraId="473A958E"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nil"/>
              <w:left w:val="nil"/>
              <w:bottom w:val="single" w:sz="4" w:space="0" w:color="auto"/>
              <w:right w:val="single" w:sz="4" w:space="0" w:color="auto"/>
            </w:tcBorders>
            <w:shd w:val="clear" w:color="auto" w:fill="C6EFCE"/>
            <w:noWrap/>
          </w:tcPr>
          <w:p w14:paraId="2D8838B0"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kodeksa etike za saborske zastupnike i kodeksa etike za dužnosnike u izvršnoj vlasti</w:t>
            </w:r>
          </w:p>
        </w:tc>
        <w:tc>
          <w:tcPr>
            <w:tcW w:w="2226" w:type="dxa"/>
            <w:tcBorders>
              <w:top w:val="nil"/>
              <w:left w:val="nil"/>
              <w:bottom w:val="single" w:sz="4" w:space="0" w:color="auto"/>
              <w:right w:val="single" w:sz="4" w:space="0" w:color="auto"/>
            </w:tcBorders>
            <w:shd w:val="clear" w:color="auto" w:fill="C6EFCE"/>
            <w:noWrap/>
          </w:tcPr>
          <w:p w14:paraId="5DF37215"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Kodeksa etike za saborske zastupnike i Kodeksa etike za dužnosnike u izvršnoj vlasti</w:t>
            </w:r>
          </w:p>
        </w:tc>
        <w:tc>
          <w:tcPr>
            <w:tcW w:w="1168" w:type="dxa"/>
            <w:tcBorders>
              <w:top w:val="nil"/>
              <w:left w:val="nil"/>
              <w:bottom w:val="single" w:sz="4" w:space="0" w:color="auto"/>
              <w:right w:val="single" w:sz="4" w:space="0" w:color="auto"/>
            </w:tcBorders>
            <w:shd w:val="clear" w:color="auto" w:fill="C6EFCE"/>
            <w:noWrap/>
          </w:tcPr>
          <w:p w14:paraId="5F6C67AB"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5CD1F55E"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7DBF06B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24718614"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323180D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719" w:type="dxa"/>
            <w:tcBorders>
              <w:top w:val="nil"/>
              <w:left w:val="nil"/>
              <w:bottom w:val="single" w:sz="4" w:space="0" w:color="auto"/>
              <w:right w:val="single" w:sz="4" w:space="0" w:color="auto"/>
            </w:tcBorders>
            <w:shd w:val="clear" w:color="auto" w:fill="C6EFCE"/>
            <w:noWrap/>
          </w:tcPr>
          <w:p w14:paraId="30277358"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Kodeksom etike za saborske zastupnike i kodeksom etike za dužnosnike u izvršnoj vlasti pružit će se smjernica o sukobima interesa i drugim pitanjima povezanima s integritetom.</w:t>
            </w:r>
          </w:p>
        </w:tc>
      </w:tr>
      <w:tr w:rsidR="00215DFD" w:rsidRPr="00165AFF" w14:paraId="25AE12ED"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0CE8A61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235</w:t>
            </w:r>
          </w:p>
        </w:tc>
        <w:tc>
          <w:tcPr>
            <w:tcW w:w="1134" w:type="dxa"/>
            <w:tcBorders>
              <w:top w:val="single" w:sz="4" w:space="0" w:color="auto"/>
              <w:left w:val="nil"/>
              <w:bottom w:val="single" w:sz="4" w:space="0" w:color="auto"/>
              <w:right w:val="single" w:sz="4" w:space="0" w:color="auto"/>
            </w:tcBorders>
            <w:shd w:val="clear" w:color="auto" w:fill="C6EFCE"/>
            <w:noWrap/>
          </w:tcPr>
          <w:p w14:paraId="5438CDBF"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single" w:sz="4" w:space="0" w:color="auto"/>
              <w:left w:val="nil"/>
              <w:bottom w:val="single" w:sz="4" w:space="0" w:color="auto"/>
              <w:right w:val="single" w:sz="4" w:space="0" w:color="auto"/>
            </w:tcBorders>
            <w:shd w:val="clear" w:color="auto" w:fill="C6EFCE"/>
            <w:noWrap/>
          </w:tcPr>
          <w:p w14:paraId="2239E8D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22A71CE9"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Povećanje proračuna za osoblje antikorupcijskih tijela u pravosudnom sustavu.</w:t>
            </w:r>
          </w:p>
        </w:tc>
        <w:tc>
          <w:tcPr>
            <w:tcW w:w="2226" w:type="dxa"/>
            <w:tcBorders>
              <w:top w:val="single" w:sz="4" w:space="0" w:color="auto"/>
              <w:left w:val="nil"/>
              <w:bottom w:val="single" w:sz="4" w:space="0" w:color="auto"/>
              <w:right w:val="single" w:sz="4" w:space="0" w:color="auto"/>
            </w:tcBorders>
            <w:shd w:val="clear" w:color="auto" w:fill="C6EFCE"/>
            <w:noWrap/>
          </w:tcPr>
          <w:p w14:paraId="000CDA16"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08171D64"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79CF3CE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850" w:type="dxa"/>
            <w:tcBorders>
              <w:top w:val="single" w:sz="4" w:space="0" w:color="auto"/>
              <w:left w:val="nil"/>
              <w:bottom w:val="single" w:sz="4" w:space="0" w:color="auto"/>
              <w:right w:val="single" w:sz="4" w:space="0" w:color="auto"/>
            </w:tcBorders>
            <w:shd w:val="clear" w:color="auto" w:fill="C6EFCE"/>
            <w:noWrap/>
          </w:tcPr>
          <w:p w14:paraId="1E612F0E"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110</w:t>
            </w:r>
          </w:p>
        </w:tc>
        <w:tc>
          <w:tcPr>
            <w:tcW w:w="425" w:type="dxa"/>
            <w:tcBorders>
              <w:top w:val="single" w:sz="4" w:space="0" w:color="auto"/>
              <w:left w:val="nil"/>
              <w:bottom w:val="single" w:sz="4" w:space="0" w:color="auto"/>
              <w:right w:val="single" w:sz="4" w:space="0" w:color="auto"/>
            </w:tcBorders>
            <w:shd w:val="clear" w:color="auto" w:fill="C6EFCE"/>
            <w:noWrap/>
          </w:tcPr>
          <w:p w14:paraId="1156DD2B"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4C6F6D1F"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719" w:type="dxa"/>
            <w:tcBorders>
              <w:top w:val="single" w:sz="4" w:space="0" w:color="auto"/>
              <w:left w:val="nil"/>
              <w:bottom w:val="single" w:sz="4" w:space="0" w:color="auto"/>
              <w:right w:val="single" w:sz="4" w:space="0" w:color="auto"/>
            </w:tcBorders>
            <w:shd w:val="clear" w:color="auto" w:fill="C6EFCE"/>
            <w:noWrap/>
          </w:tcPr>
          <w:p w14:paraId="69BA286F"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Povećanje proračuna za osoblja za 10 % u odnosu na 2020. (uključujući zapošljavanje i mobilnost u pravosudnom sustavu) </w:t>
            </w:r>
          </w:p>
        </w:tc>
      </w:tr>
      <w:tr w:rsidR="00215DFD" w:rsidRPr="00165AFF" w14:paraId="4E43473D"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218D774"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236</w:t>
            </w:r>
          </w:p>
        </w:tc>
        <w:tc>
          <w:tcPr>
            <w:tcW w:w="1134" w:type="dxa"/>
            <w:tcBorders>
              <w:top w:val="single" w:sz="4" w:space="0" w:color="auto"/>
              <w:left w:val="nil"/>
              <w:bottom w:val="single" w:sz="4" w:space="0" w:color="auto"/>
              <w:right w:val="single" w:sz="4" w:space="0" w:color="auto"/>
            </w:tcBorders>
            <w:shd w:val="clear" w:color="auto" w:fill="C6EFCE"/>
            <w:noWrap/>
          </w:tcPr>
          <w:p w14:paraId="2E0E505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single" w:sz="4" w:space="0" w:color="auto"/>
              <w:left w:val="nil"/>
              <w:bottom w:val="single" w:sz="4" w:space="0" w:color="auto"/>
              <w:right w:val="single" w:sz="4" w:space="0" w:color="auto"/>
            </w:tcBorders>
            <w:shd w:val="clear" w:color="auto" w:fill="C6EFCE"/>
            <w:noWrap/>
          </w:tcPr>
          <w:p w14:paraId="762BD85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0B1856AF"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Povećanje proračuna za nabavu informatičkih alata i opreme u pravosudnim tijelima za potrebe istraživanja za kaznena djela korupcije i organiziranog kriminaliteta</w:t>
            </w:r>
          </w:p>
        </w:tc>
        <w:tc>
          <w:tcPr>
            <w:tcW w:w="2226" w:type="dxa"/>
            <w:tcBorders>
              <w:top w:val="single" w:sz="4" w:space="0" w:color="auto"/>
              <w:left w:val="nil"/>
              <w:bottom w:val="single" w:sz="4" w:space="0" w:color="auto"/>
              <w:right w:val="single" w:sz="4" w:space="0" w:color="auto"/>
            </w:tcBorders>
            <w:shd w:val="clear" w:color="auto" w:fill="C6EFCE"/>
            <w:noWrap/>
          </w:tcPr>
          <w:p w14:paraId="3FC22475"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15FD6EC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368F8CB4"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850" w:type="dxa"/>
            <w:tcBorders>
              <w:top w:val="single" w:sz="4" w:space="0" w:color="auto"/>
              <w:left w:val="nil"/>
              <w:bottom w:val="single" w:sz="4" w:space="0" w:color="auto"/>
              <w:right w:val="single" w:sz="4" w:space="0" w:color="auto"/>
            </w:tcBorders>
            <w:shd w:val="clear" w:color="auto" w:fill="C6EFCE"/>
            <w:noWrap/>
          </w:tcPr>
          <w:p w14:paraId="3C15A903"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120</w:t>
            </w:r>
          </w:p>
        </w:tc>
        <w:tc>
          <w:tcPr>
            <w:tcW w:w="425" w:type="dxa"/>
            <w:tcBorders>
              <w:top w:val="single" w:sz="4" w:space="0" w:color="auto"/>
              <w:left w:val="nil"/>
              <w:bottom w:val="single" w:sz="4" w:space="0" w:color="auto"/>
              <w:right w:val="single" w:sz="4" w:space="0" w:color="auto"/>
            </w:tcBorders>
            <w:shd w:val="clear" w:color="auto" w:fill="C6EFCE"/>
            <w:noWrap/>
          </w:tcPr>
          <w:p w14:paraId="2601A6D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286A5C46"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719" w:type="dxa"/>
            <w:tcBorders>
              <w:top w:val="single" w:sz="4" w:space="0" w:color="auto"/>
              <w:left w:val="nil"/>
              <w:bottom w:val="single" w:sz="4" w:space="0" w:color="auto"/>
              <w:right w:val="single" w:sz="4" w:space="0" w:color="auto"/>
            </w:tcBorders>
            <w:shd w:val="clear" w:color="auto" w:fill="C6EFCE"/>
            <w:noWrap/>
          </w:tcPr>
          <w:p w14:paraId="1362BEED"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Povećanje proračuna za 20 % u odnosu na 2020. za računalne usluge i IT opremu u antikorupcijskim tijelima u pravosudnom sustavu </w:t>
            </w:r>
          </w:p>
        </w:tc>
      </w:tr>
      <w:tr w:rsidR="00215DFD" w:rsidRPr="00165AFF" w14:paraId="753833A0"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0610D16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237</w:t>
            </w:r>
          </w:p>
        </w:tc>
        <w:tc>
          <w:tcPr>
            <w:tcW w:w="1134" w:type="dxa"/>
            <w:tcBorders>
              <w:top w:val="single" w:sz="4" w:space="0" w:color="auto"/>
              <w:left w:val="nil"/>
              <w:bottom w:val="single" w:sz="4" w:space="0" w:color="auto"/>
              <w:right w:val="single" w:sz="4" w:space="0" w:color="auto"/>
            </w:tcBorders>
            <w:shd w:val="clear" w:color="auto" w:fill="C6EFCE"/>
            <w:noWrap/>
          </w:tcPr>
          <w:p w14:paraId="4E3DC83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single" w:sz="4" w:space="0" w:color="auto"/>
              <w:left w:val="nil"/>
              <w:bottom w:val="single" w:sz="4" w:space="0" w:color="auto"/>
              <w:right w:val="single" w:sz="4" w:space="0" w:color="auto"/>
            </w:tcBorders>
            <w:shd w:val="clear" w:color="auto" w:fill="C6EFCE"/>
            <w:noWrap/>
          </w:tcPr>
          <w:p w14:paraId="3335B1A1"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2DEC3F50"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Uvođenje informacijskog sustava za praćenje provedbe nacionalnih antikorupcijskih mjera</w:t>
            </w:r>
          </w:p>
        </w:tc>
        <w:tc>
          <w:tcPr>
            <w:tcW w:w="2226" w:type="dxa"/>
            <w:tcBorders>
              <w:top w:val="single" w:sz="4" w:space="0" w:color="auto"/>
              <w:left w:val="nil"/>
              <w:bottom w:val="single" w:sz="4" w:space="0" w:color="auto"/>
              <w:right w:val="single" w:sz="4" w:space="0" w:color="auto"/>
            </w:tcBorders>
            <w:shd w:val="clear" w:color="auto" w:fill="C6EFCE"/>
            <w:noWrap/>
          </w:tcPr>
          <w:p w14:paraId="5B45A106"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funkciji je novi informacijski sustav za praćenje provedbe nacionalnih antikorupcijskih mjera </w:t>
            </w:r>
          </w:p>
        </w:tc>
        <w:tc>
          <w:tcPr>
            <w:tcW w:w="1168" w:type="dxa"/>
            <w:tcBorders>
              <w:top w:val="single" w:sz="4" w:space="0" w:color="auto"/>
              <w:left w:val="nil"/>
              <w:bottom w:val="single" w:sz="4" w:space="0" w:color="auto"/>
              <w:right w:val="single" w:sz="4" w:space="0" w:color="auto"/>
            </w:tcBorders>
            <w:shd w:val="clear" w:color="auto" w:fill="C6EFCE"/>
            <w:noWrap/>
          </w:tcPr>
          <w:p w14:paraId="193F4F8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2CDABA8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5E3351CB"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71D5B6C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2ED1EEE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719" w:type="dxa"/>
            <w:tcBorders>
              <w:top w:val="single" w:sz="4" w:space="0" w:color="auto"/>
              <w:left w:val="nil"/>
              <w:bottom w:val="single" w:sz="4" w:space="0" w:color="auto"/>
              <w:right w:val="single" w:sz="4" w:space="0" w:color="auto"/>
            </w:tcBorders>
            <w:shd w:val="clear" w:color="auto" w:fill="C6EFCE"/>
            <w:noWrap/>
          </w:tcPr>
          <w:p w14:paraId="46C7ACAD"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Uvođenje informacijskog sustava/platforme za praćenje različitih područja sprečavanja korupcije: (1) zaštita prijavitelja nepravilnosti, (2) pravo na pristup informacijama, (3) lobiranje, (4) sukob interesa, (5) umrežavanje i koordinacija državnih tijela za izradu, provedbu i praćenje provedbe nacionalnih strateških i provedbenih dokumenata, (6) vođenje, ažuriranje i objava popisa društava u državnom vlasništvu i društava u vlasništvu jedinica lokalne i regionalne uprave, (7) prijavljivanje pučkom pravobranitelju, omogućavanje brže komunikacije, razmjene podataka i bolje koordinacije među tijelima uključenima u izradu, provedbu i praćenje provedbe nacionalnih antikorupcijskih mjera i informiranje javnosti o postojećem zakonodavnom okviru u području prevencije korupcije.</w:t>
            </w:r>
            <w:r>
              <w:rPr>
                <w:rFonts w:ascii="Calibri" w:hAnsi="Calibri"/>
                <w:noProof/>
                <w:color w:val="000000"/>
                <w:sz w:val="20"/>
              </w:rPr>
              <w:br/>
              <w:t xml:space="preserve"> </w:t>
            </w:r>
          </w:p>
        </w:tc>
      </w:tr>
      <w:tr w:rsidR="00215DFD" w:rsidRPr="00165AFF" w14:paraId="40C2A5E4"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0821659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238</w:t>
            </w:r>
          </w:p>
        </w:tc>
        <w:tc>
          <w:tcPr>
            <w:tcW w:w="1134" w:type="dxa"/>
            <w:tcBorders>
              <w:top w:val="single" w:sz="4" w:space="0" w:color="auto"/>
              <w:left w:val="nil"/>
              <w:bottom w:val="single" w:sz="4" w:space="0" w:color="auto"/>
              <w:right w:val="single" w:sz="4" w:space="0" w:color="auto"/>
            </w:tcBorders>
            <w:shd w:val="clear" w:color="auto" w:fill="C6EFCE"/>
            <w:noWrap/>
          </w:tcPr>
          <w:p w14:paraId="0443B51E"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w:t>
            </w:r>
          </w:p>
        </w:tc>
        <w:tc>
          <w:tcPr>
            <w:tcW w:w="992" w:type="dxa"/>
            <w:tcBorders>
              <w:top w:val="single" w:sz="4" w:space="0" w:color="auto"/>
              <w:left w:val="nil"/>
              <w:bottom w:val="single" w:sz="4" w:space="0" w:color="auto"/>
              <w:right w:val="single" w:sz="4" w:space="0" w:color="auto"/>
            </w:tcBorders>
            <w:shd w:val="clear" w:color="auto" w:fill="C6EFCE"/>
            <w:noWrap/>
          </w:tcPr>
          <w:p w14:paraId="3487F02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5E14E11B"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Skraćivanje prosječnog trajanja sudskih postupaka za kaznena djela korupcije i organiziranog kriminaliteta</w:t>
            </w:r>
          </w:p>
        </w:tc>
        <w:tc>
          <w:tcPr>
            <w:tcW w:w="2226" w:type="dxa"/>
            <w:tcBorders>
              <w:top w:val="single" w:sz="4" w:space="0" w:color="auto"/>
              <w:left w:val="nil"/>
              <w:bottom w:val="single" w:sz="4" w:space="0" w:color="auto"/>
              <w:right w:val="single" w:sz="4" w:space="0" w:color="auto"/>
            </w:tcBorders>
            <w:shd w:val="clear" w:color="auto" w:fill="C6EFCE"/>
            <w:noWrap/>
          </w:tcPr>
          <w:p w14:paraId="620CB9F3"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1D4683C2"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3539733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999</w:t>
            </w:r>
          </w:p>
        </w:tc>
        <w:tc>
          <w:tcPr>
            <w:tcW w:w="850" w:type="dxa"/>
            <w:tcBorders>
              <w:top w:val="single" w:sz="4" w:space="0" w:color="auto"/>
              <w:left w:val="nil"/>
              <w:bottom w:val="single" w:sz="4" w:space="0" w:color="auto"/>
              <w:right w:val="single" w:sz="4" w:space="0" w:color="auto"/>
            </w:tcBorders>
            <w:shd w:val="clear" w:color="auto" w:fill="C6EFCE"/>
            <w:noWrap/>
          </w:tcPr>
          <w:p w14:paraId="780587E6"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799</w:t>
            </w:r>
          </w:p>
        </w:tc>
        <w:tc>
          <w:tcPr>
            <w:tcW w:w="425" w:type="dxa"/>
            <w:tcBorders>
              <w:top w:val="single" w:sz="4" w:space="0" w:color="auto"/>
              <w:left w:val="nil"/>
              <w:bottom w:val="single" w:sz="4" w:space="0" w:color="auto"/>
              <w:right w:val="single" w:sz="4" w:space="0" w:color="auto"/>
            </w:tcBorders>
            <w:shd w:val="clear" w:color="auto" w:fill="C6EFCE"/>
            <w:noWrap/>
          </w:tcPr>
          <w:p w14:paraId="073B85F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118FB8BE"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719" w:type="dxa"/>
            <w:tcBorders>
              <w:top w:val="single" w:sz="4" w:space="0" w:color="auto"/>
              <w:left w:val="nil"/>
              <w:bottom w:val="single" w:sz="4" w:space="0" w:color="auto"/>
              <w:right w:val="single" w:sz="4" w:space="0" w:color="auto"/>
            </w:tcBorders>
            <w:shd w:val="clear" w:color="auto" w:fill="C6EFCE"/>
            <w:noWrap/>
          </w:tcPr>
          <w:p w14:paraId="51AEFA3C"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Skraćivanje prosječnog trajanja sudskih postupaka za kaznena djela korupcije i organiziranog kriminaliteta za 200 dana u odnosu na 1. tromjesečje 2021. (999 dana)</w:t>
            </w:r>
          </w:p>
        </w:tc>
      </w:tr>
      <w:tr w:rsidR="00215DFD" w:rsidRPr="00165AFF" w14:paraId="1286EC7D"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0662EA5B"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239</w:t>
            </w:r>
          </w:p>
        </w:tc>
        <w:tc>
          <w:tcPr>
            <w:tcW w:w="1134" w:type="dxa"/>
            <w:tcBorders>
              <w:top w:val="single" w:sz="4" w:space="0" w:color="auto"/>
              <w:left w:val="nil"/>
              <w:bottom w:val="single" w:sz="4" w:space="0" w:color="auto"/>
              <w:right w:val="single" w:sz="4" w:space="0" w:color="auto"/>
            </w:tcBorders>
            <w:shd w:val="clear" w:color="auto" w:fill="C6EFCE"/>
            <w:noWrap/>
          </w:tcPr>
          <w:p w14:paraId="1BC56653"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R1-I1</w:t>
            </w:r>
          </w:p>
        </w:tc>
        <w:tc>
          <w:tcPr>
            <w:tcW w:w="992" w:type="dxa"/>
            <w:tcBorders>
              <w:top w:val="single" w:sz="4" w:space="0" w:color="auto"/>
              <w:left w:val="nil"/>
              <w:bottom w:val="single" w:sz="4" w:space="0" w:color="auto"/>
              <w:right w:val="single" w:sz="4" w:space="0" w:color="auto"/>
            </w:tcBorders>
            <w:shd w:val="clear" w:color="auto" w:fill="C6EFCE"/>
            <w:noWrap/>
          </w:tcPr>
          <w:p w14:paraId="7EF339A4"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53F75152"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Ocjena učinaka nacionalne informativne kampanje protiv korupcije</w:t>
            </w:r>
          </w:p>
        </w:tc>
        <w:tc>
          <w:tcPr>
            <w:tcW w:w="2226" w:type="dxa"/>
            <w:tcBorders>
              <w:top w:val="single" w:sz="4" w:space="0" w:color="auto"/>
              <w:left w:val="nil"/>
              <w:bottom w:val="single" w:sz="4" w:space="0" w:color="auto"/>
              <w:right w:val="single" w:sz="4" w:space="0" w:color="auto"/>
            </w:tcBorders>
            <w:shd w:val="clear" w:color="auto" w:fill="C6EFCE"/>
            <w:noWrap/>
          </w:tcPr>
          <w:p w14:paraId="51F7A3A9"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izvješća Ministarstva pravosuđa i uprave o procjeni učinaka</w:t>
            </w:r>
          </w:p>
        </w:tc>
        <w:tc>
          <w:tcPr>
            <w:tcW w:w="1168" w:type="dxa"/>
            <w:tcBorders>
              <w:top w:val="single" w:sz="4" w:space="0" w:color="auto"/>
              <w:left w:val="nil"/>
              <w:bottom w:val="single" w:sz="4" w:space="0" w:color="auto"/>
              <w:right w:val="single" w:sz="4" w:space="0" w:color="auto"/>
            </w:tcBorders>
            <w:shd w:val="clear" w:color="auto" w:fill="C6EFCE"/>
            <w:noWrap/>
          </w:tcPr>
          <w:p w14:paraId="244E615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6DF80883"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5F6B6A3F"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36D7D904"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11AD380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719" w:type="dxa"/>
            <w:tcBorders>
              <w:top w:val="single" w:sz="4" w:space="0" w:color="auto"/>
              <w:left w:val="nil"/>
              <w:bottom w:val="single" w:sz="4" w:space="0" w:color="auto"/>
              <w:right w:val="single" w:sz="4" w:space="0" w:color="auto"/>
            </w:tcBorders>
            <w:shd w:val="clear" w:color="auto" w:fill="C6EFCE"/>
            <w:noWrap/>
          </w:tcPr>
          <w:p w14:paraId="3D4B72FB"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Objavljena studija s preporukama o evaluaciji učinaka nacionalne medijske kampanje. Poseban naglasak stavit će se na informiranje javnosti o štetnosti korupcije i djelovanju postojećih antikorupcijskih mehanizama, s ciljem jačanja uloge građana u sinergijskom antikorupcijskom djelovanju. </w:t>
            </w:r>
          </w:p>
        </w:tc>
      </w:tr>
      <w:tr w:rsidR="00215DFD" w:rsidRPr="00165AFF" w14:paraId="1C3EB513"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5D2B411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240</w:t>
            </w:r>
          </w:p>
        </w:tc>
        <w:tc>
          <w:tcPr>
            <w:tcW w:w="1134" w:type="dxa"/>
            <w:tcBorders>
              <w:top w:val="single" w:sz="4" w:space="0" w:color="auto"/>
              <w:left w:val="nil"/>
              <w:bottom w:val="single" w:sz="4" w:space="0" w:color="auto"/>
              <w:right w:val="single" w:sz="4" w:space="0" w:color="auto"/>
            </w:tcBorders>
            <w:shd w:val="clear" w:color="auto" w:fill="C6EFCE"/>
            <w:noWrap/>
          </w:tcPr>
          <w:p w14:paraId="5F6BF1DB"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R1-I2</w:t>
            </w:r>
          </w:p>
        </w:tc>
        <w:tc>
          <w:tcPr>
            <w:tcW w:w="992" w:type="dxa"/>
            <w:tcBorders>
              <w:top w:val="single" w:sz="4" w:space="0" w:color="auto"/>
              <w:left w:val="nil"/>
              <w:bottom w:val="single" w:sz="4" w:space="0" w:color="auto"/>
              <w:right w:val="single" w:sz="4" w:space="0" w:color="auto"/>
            </w:tcBorders>
            <w:shd w:val="clear" w:color="auto" w:fill="C6EFCE"/>
            <w:noWrap/>
          </w:tcPr>
          <w:p w14:paraId="4B2A3FB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2EDC260E"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Uspostava informacijskog sustava za upravljanje etičkom infrastrukturom u državnoj službi</w:t>
            </w:r>
          </w:p>
        </w:tc>
        <w:tc>
          <w:tcPr>
            <w:tcW w:w="2226" w:type="dxa"/>
            <w:tcBorders>
              <w:top w:val="single" w:sz="4" w:space="0" w:color="auto"/>
              <w:left w:val="nil"/>
              <w:bottom w:val="single" w:sz="4" w:space="0" w:color="auto"/>
              <w:right w:val="single" w:sz="4" w:space="0" w:color="auto"/>
            </w:tcBorders>
            <w:shd w:val="clear" w:color="auto" w:fill="C6EFCE"/>
            <w:noWrap/>
          </w:tcPr>
          <w:p w14:paraId="4EACAC3F"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Informacijski sustav u potpunosti je razvijen i pušten u rad</w:t>
            </w:r>
          </w:p>
        </w:tc>
        <w:tc>
          <w:tcPr>
            <w:tcW w:w="1168" w:type="dxa"/>
            <w:tcBorders>
              <w:top w:val="single" w:sz="4" w:space="0" w:color="auto"/>
              <w:left w:val="nil"/>
              <w:bottom w:val="single" w:sz="4" w:space="0" w:color="auto"/>
              <w:right w:val="single" w:sz="4" w:space="0" w:color="auto"/>
            </w:tcBorders>
            <w:shd w:val="clear" w:color="auto" w:fill="C6EFCE"/>
            <w:noWrap/>
          </w:tcPr>
          <w:p w14:paraId="5158B976"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53CFD622"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6756B043"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03B4F95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50CE7A3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719" w:type="dxa"/>
            <w:tcBorders>
              <w:top w:val="single" w:sz="4" w:space="0" w:color="auto"/>
              <w:left w:val="nil"/>
              <w:bottom w:val="single" w:sz="4" w:space="0" w:color="auto"/>
              <w:right w:val="single" w:sz="4" w:space="0" w:color="auto"/>
            </w:tcBorders>
            <w:shd w:val="clear" w:color="auto" w:fill="C6EFCE"/>
            <w:noWrap/>
          </w:tcPr>
          <w:p w14:paraId="1C3444C3" w14:textId="77777777" w:rsidR="00EF0713" w:rsidRPr="00165AFF" w:rsidRDefault="00EF0713" w:rsidP="00185D4F">
            <w:pPr>
              <w:spacing w:after="200" w:line="276" w:lineRule="auto"/>
              <w:contextualSpacing/>
              <w:rPr>
                <w:rFonts w:ascii="Times New Roman" w:eastAsia="Calibri" w:hAnsi="Times New Roman" w:cs="Times New Roman"/>
                <w:noProof/>
                <w:sz w:val="20"/>
                <w:szCs w:val="20"/>
              </w:rPr>
            </w:pPr>
            <w:r>
              <w:rPr>
                <w:rFonts w:ascii="Calibri" w:hAnsi="Calibri"/>
                <w:noProof/>
                <w:color w:val="000000"/>
                <w:sz w:val="20"/>
              </w:rPr>
              <w:t xml:space="preserve">Razvit će se i uvesti u rad elektronički sustav upravljanja etičkom infrastrukturom s ciljem moderniziranja i poboljšanja rada povjerenika za etiku, Etičkog povjerenstva i službenika zaposlenih u Službi za etiku i integritet, s funkcijama za obradu barem sljedećih kategorija pritužbi: </w:t>
            </w:r>
            <w:r>
              <w:rPr>
                <w:rFonts w:ascii="Calibri" w:hAnsi="Calibri"/>
                <w:noProof/>
                <w:color w:val="000000"/>
                <w:sz w:val="20"/>
              </w:rPr>
              <w:br/>
              <w:t>– pritužbe na način postupanja službenika prema građanima,</w:t>
            </w:r>
            <w:r>
              <w:rPr>
                <w:rFonts w:ascii="Calibri" w:hAnsi="Calibri"/>
                <w:noProof/>
                <w:color w:val="000000"/>
                <w:sz w:val="20"/>
              </w:rPr>
              <w:br/>
              <w:t>– pritužbe na ponašanje u javnim nastupima,</w:t>
            </w:r>
            <w:r>
              <w:rPr>
                <w:rFonts w:ascii="Calibri" w:hAnsi="Calibri"/>
                <w:noProof/>
                <w:color w:val="000000"/>
                <w:sz w:val="20"/>
              </w:rPr>
              <w:br/>
              <w:t>— pritužbe zbog stjecanja materijalne ili druge koristi,</w:t>
            </w:r>
            <w:r>
              <w:rPr>
                <w:rFonts w:ascii="Calibri" w:hAnsi="Calibri"/>
                <w:noProof/>
                <w:color w:val="000000"/>
                <w:sz w:val="20"/>
              </w:rPr>
              <w:br/>
              <w:t>— pritužbe na sukob interesa,</w:t>
            </w:r>
            <w:r>
              <w:rPr>
                <w:rFonts w:ascii="Calibri" w:hAnsi="Calibri"/>
                <w:noProof/>
                <w:color w:val="000000"/>
                <w:sz w:val="20"/>
              </w:rPr>
              <w:br/>
              <w:t>— pritužbe državnih službenika na druge državne službenike, uključujući na ponašanje nadređenih službenika.</w:t>
            </w:r>
          </w:p>
        </w:tc>
      </w:tr>
      <w:tr w:rsidR="00215DFD" w:rsidRPr="00165AFF" w14:paraId="545113C2"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2CB5514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241</w:t>
            </w:r>
          </w:p>
        </w:tc>
        <w:tc>
          <w:tcPr>
            <w:tcW w:w="1134" w:type="dxa"/>
            <w:tcBorders>
              <w:top w:val="single" w:sz="4" w:space="0" w:color="auto"/>
              <w:left w:val="nil"/>
              <w:bottom w:val="single" w:sz="4" w:space="0" w:color="auto"/>
              <w:right w:val="single" w:sz="4" w:space="0" w:color="auto"/>
            </w:tcBorders>
            <w:shd w:val="clear" w:color="auto" w:fill="C6EFCE"/>
            <w:noWrap/>
          </w:tcPr>
          <w:p w14:paraId="42FBCD2F"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R1-I3</w:t>
            </w:r>
          </w:p>
        </w:tc>
        <w:tc>
          <w:tcPr>
            <w:tcW w:w="992" w:type="dxa"/>
            <w:tcBorders>
              <w:top w:val="single" w:sz="4" w:space="0" w:color="auto"/>
              <w:left w:val="nil"/>
              <w:bottom w:val="single" w:sz="4" w:space="0" w:color="auto"/>
              <w:right w:val="single" w:sz="4" w:space="0" w:color="auto"/>
            </w:tcBorders>
            <w:shd w:val="clear" w:color="auto" w:fill="C6EFCE"/>
            <w:noWrap/>
          </w:tcPr>
          <w:p w14:paraId="50FB6D59"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589ED10A"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unaprijeđeni informacijski sustavi imovinskih kartica državnih dužnosnika i pravosudnih dužnosnika</w:t>
            </w:r>
          </w:p>
        </w:tc>
        <w:tc>
          <w:tcPr>
            <w:tcW w:w="2226" w:type="dxa"/>
            <w:tcBorders>
              <w:top w:val="single" w:sz="4" w:space="0" w:color="auto"/>
              <w:left w:val="nil"/>
              <w:bottom w:val="single" w:sz="4" w:space="0" w:color="auto"/>
              <w:right w:val="single" w:sz="4" w:space="0" w:color="auto"/>
            </w:tcBorders>
            <w:shd w:val="clear" w:color="auto" w:fill="C6EFCE"/>
            <w:noWrap/>
          </w:tcPr>
          <w:p w14:paraId="5FC64113"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Informacijski sustavi nadograđeni su i provedeni</w:t>
            </w:r>
          </w:p>
        </w:tc>
        <w:tc>
          <w:tcPr>
            <w:tcW w:w="1168" w:type="dxa"/>
            <w:tcBorders>
              <w:top w:val="single" w:sz="4" w:space="0" w:color="auto"/>
              <w:left w:val="nil"/>
              <w:bottom w:val="single" w:sz="4" w:space="0" w:color="auto"/>
              <w:right w:val="single" w:sz="4" w:space="0" w:color="auto"/>
            </w:tcBorders>
            <w:shd w:val="clear" w:color="auto" w:fill="C6EFCE"/>
            <w:noWrap/>
          </w:tcPr>
          <w:p w14:paraId="53BB6AF1"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58026EC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705F955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1DF1F3EB"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66273DD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3719" w:type="dxa"/>
            <w:tcBorders>
              <w:top w:val="single" w:sz="4" w:space="0" w:color="auto"/>
              <w:left w:val="nil"/>
              <w:bottom w:val="single" w:sz="4" w:space="0" w:color="auto"/>
              <w:right w:val="single" w:sz="4" w:space="0" w:color="auto"/>
            </w:tcBorders>
            <w:shd w:val="clear" w:color="auto" w:fill="C6EFCE"/>
            <w:noWrap/>
          </w:tcPr>
          <w:p w14:paraId="0A7C0ED1"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Postojeći sustav za podnošenje imovinskih kartica dužnosnika poboljšat će se tako što će se omogućiti automatsko učitavanje podataka iz dostupnih javnih izvora i poboljšati preduvjeti za provjeru informacija sadržanih u imovinskim karticama državnih službenika i pravosudnih dužnosnika. </w:t>
            </w:r>
          </w:p>
        </w:tc>
      </w:tr>
      <w:tr w:rsidR="00215DFD" w:rsidRPr="00165AFF" w14:paraId="5EC3A5F4"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456FDD48"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242</w:t>
            </w:r>
          </w:p>
        </w:tc>
        <w:tc>
          <w:tcPr>
            <w:tcW w:w="1134" w:type="dxa"/>
            <w:tcBorders>
              <w:top w:val="single" w:sz="4" w:space="0" w:color="auto"/>
              <w:left w:val="nil"/>
              <w:bottom w:val="single" w:sz="4" w:space="0" w:color="auto"/>
              <w:right w:val="single" w:sz="4" w:space="0" w:color="auto"/>
            </w:tcBorders>
            <w:shd w:val="clear" w:color="auto" w:fill="C6EFCE"/>
            <w:noWrap/>
          </w:tcPr>
          <w:p w14:paraId="6F88EAE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R1-I4</w:t>
            </w:r>
          </w:p>
        </w:tc>
        <w:tc>
          <w:tcPr>
            <w:tcW w:w="992" w:type="dxa"/>
            <w:tcBorders>
              <w:top w:val="single" w:sz="4" w:space="0" w:color="auto"/>
              <w:left w:val="nil"/>
              <w:bottom w:val="single" w:sz="4" w:space="0" w:color="auto"/>
              <w:right w:val="single" w:sz="4" w:space="0" w:color="auto"/>
            </w:tcBorders>
            <w:shd w:val="clear" w:color="auto" w:fill="C6EFCE"/>
            <w:noWrap/>
          </w:tcPr>
          <w:p w14:paraId="72A847ED"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843" w:type="dxa"/>
            <w:tcBorders>
              <w:top w:val="single" w:sz="4" w:space="0" w:color="auto"/>
              <w:left w:val="nil"/>
              <w:bottom w:val="single" w:sz="4" w:space="0" w:color="auto"/>
              <w:right w:val="single" w:sz="4" w:space="0" w:color="auto"/>
            </w:tcBorders>
            <w:shd w:val="clear" w:color="auto" w:fill="C6EFCE"/>
            <w:noWrap/>
          </w:tcPr>
          <w:p w14:paraId="3CDC4F4D"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Nadogradnja i pametna digitalizacija četiriju regionalnih centara Policijskog nacionalnog ureda za suzbijanje korupcije i organiziranog kriminaliteta (PNUSKOK) </w:t>
            </w:r>
          </w:p>
        </w:tc>
        <w:tc>
          <w:tcPr>
            <w:tcW w:w="2226" w:type="dxa"/>
            <w:tcBorders>
              <w:top w:val="single" w:sz="4" w:space="0" w:color="auto"/>
              <w:left w:val="nil"/>
              <w:bottom w:val="single" w:sz="4" w:space="0" w:color="auto"/>
              <w:right w:val="single" w:sz="4" w:space="0" w:color="auto"/>
            </w:tcBorders>
            <w:shd w:val="clear" w:color="auto" w:fill="C6EFCE"/>
            <w:noWrap/>
          </w:tcPr>
          <w:p w14:paraId="6ADB0EB8"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70D08933"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0B2C5A26"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3F8B179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425" w:type="dxa"/>
            <w:tcBorders>
              <w:top w:val="single" w:sz="4" w:space="0" w:color="auto"/>
              <w:left w:val="nil"/>
              <w:bottom w:val="single" w:sz="4" w:space="0" w:color="auto"/>
              <w:right w:val="single" w:sz="4" w:space="0" w:color="auto"/>
            </w:tcBorders>
            <w:shd w:val="clear" w:color="auto" w:fill="C6EFCE"/>
            <w:noWrap/>
          </w:tcPr>
          <w:p w14:paraId="5614764F"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6A0BA3F7"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719" w:type="dxa"/>
            <w:tcBorders>
              <w:top w:val="single" w:sz="4" w:space="0" w:color="auto"/>
              <w:left w:val="nil"/>
              <w:bottom w:val="single" w:sz="4" w:space="0" w:color="auto"/>
              <w:right w:val="single" w:sz="4" w:space="0" w:color="auto"/>
            </w:tcBorders>
            <w:shd w:val="clear" w:color="auto" w:fill="C6EFCE"/>
            <w:noWrap/>
          </w:tcPr>
          <w:p w14:paraId="5B9E30D1"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Regionalni PNUSKOK u Zagrebu, Splitu, Rijeci i Osijeku obnovit će se, u potpunosti digitalizirati i opremiti pametnom tehnologijom i modernom funkcionalnom opremom, čime će se osigurati funkcionalni uvjeti za rad i smještaj službenika. Obnova će uključivati i energetsku obnovu objekata, ali bez obveze ispunjenja zahtjeva za minimalnu uštedu energije od 30 %. IT oprema u sva četiri regionalna centra zamijenit će se novom suvremenom opremom koja omogućuje primjenu suvremenih softverskih alata i rješenja te pametnih tehnologija. U centrima u Splitu i Zagrebu osnovat će se i novi laboratoriji koji će biti opremljeni svom potrebnom tehničkom opremom i softverskim alatima s licencijama za digitalnu forenziku. Kako bi se moderniziralo i ubrzao postupak čuvanja dokaza, sva četiri regionalna centra bit će opremljena serverima za pohranu digitalnih dokaza. Očekuje se da će to doprinijeti sistematizaciji dokaza i racionaliziranju troškova jer će se osigurati pohrana i korištenje digitalnih dokaza s jedne lokacije.</w:t>
            </w:r>
          </w:p>
        </w:tc>
      </w:tr>
      <w:tr w:rsidR="00215DFD" w:rsidRPr="00165AFF" w14:paraId="1D917813"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12C26E4A"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243</w:t>
            </w:r>
          </w:p>
        </w:tc>
        <w:tc>
          <w:tcPr>
            <w:tcW w:w="1134" w:type="dxa"/>
            <w:tcBorders>
              <w:top w:val="single" w:sz="4" w:space="0" w:color="auto"/>
              <w:left w:val="nil"/>
              <w:bottom w:val="single" w:sz="4" w:space="0" w:color="auto"/>
              <w:right w:val="single" w:sz="4" w:space="0" w:color="auto"/>
            </w:tcBorders>
            <w:shd w:val="clear" w:color="auto" w:fill="C6EFCE"/>
            <w:noWrap/>
          </w:tcPr>
          <w:p w14:paraId="480DCEE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C2.6. R2</w:t>
            </w:r>
          </w:p>
        </w:tc>
        <w:tc>
          <w:tcPr>
            <w:tcW w:w="992" w:type="dxa"/>
            <w:tcBorders>
              <w:top w:val="single" w:sz="4" w:space="0" w:color="auto"/>
              <w:left w:val="nil"/>
              <w:bottom w:val="single" w:sz="4" w:space="0" w:color="auto"/>
              <w:right w:val="single" w:sz="4" w:space="0" w:color="auto"/>
            </w:tcBorders>
            <w:shd w:val="clear" w:color="auto" w:fill="C6EFCE"/>
            <w:noWrap/>
          </w:tcPr>
          <w:p w14:paraId="54C70201"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843" w:type="dxa"/>
            <w:tcBorders>
              <w:top w:val="single" w:sz="4" w:space="0" w:color="auto"/>
              <w:left w:val="nil"/>
              <w:bottom w:val="single" w:sz="4" w:space="0" w:color="auto"/>
              <w:right w:val="single" w:sz="4" w:space="0" w:color="auto"/>
            </w:tcBorders>
            <w:shd w:val="clear" w:color="auto" w:fill="C6EFCE"/>
            <w:noWrap/>
          </w:tcPr>
          <w:p w14:paraId="71A4BFE5"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Vrednovanje učinaka Zakona o pravu na pristup informacijama </w:t>
            </w:r>
          </w:p>
        </w:tc>
        <w:tc>
          <w:tcPr>
            <w:tcW w:w="2226" w:type="dxa"/>
            <w:tcBorders>
              <w:top w:val="single" w:sz="4" w:space="0" w:color="auto"/>
              <w:left w:val="nil"/>
              <w:bottom w:val="single" w:sz="4" w:space="0" w:color="auto"/>
              <w:right w:val="single" w:sz="4" w:space="0" w:color="auto"/>
            </w:tcBorders>
            <w:shd w:val="clear" w:color="auto" w:fill="C6EFCE"/>
            <w:noWrap/>
          </w:tcPr>
          <w:p w14:paraId="5862A4BC"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izvješća o vrednovanju Zakona o pravu na pristup informacijama</w:t>
            </w:r>
          </w:p>
        </w:tc>
        <w:tc>
          <w:tcPr>
            <w:tcW w:w="1168" w:type="dxa"/>
            <w:tcBorders>
              <w:top w:val="single" w:sz="4" w:space="0" w:color="auto"/>
              <w:left w:val="nil"/>
              <w:bottom w:val="single" w:sz="4" w:space="0" w:color="auto"/>
              <w:right w:val="single" w:sz="4" w:space="0" w:color="auto"/>
            </w:tcBorders>
            <w:shd w:val="clear" w:color="auto" w:fill="C6EFCE"/>
            <w:noWrap/>
          </w:tcPr>
          <w:p w14:paraId="5B56938A"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23670DC5"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438802FA"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53E70470"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60A231CC" w14:textId="77777777" w:rsidR="00EF0713" w:rsidRPr="00165AFF" w:rsidRDefault="00EF0713"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719" w:type="dxa"/>
            <w:tcBorders>
              <w:top w:val="single" w:sz="4" w:space="0" w:color="auto"/>
              <w:left w:val="nil"/>
              <w:bottom w:val="single" w:sz="4" w:space="0" w:color="auto"/>
              <w:right w:val="single" w:sz="4" w:space="0" w:color="auto"/>
            </w:tcBorders>
            <w:shd w:val="clear" w:color="auto" w:fill="C6EFCE"/>
            <w:noWrap/>
          </w:tcPr>
          <w:p w14:paraId="495D5BA4" w14:textId="77777777" w:rsidR="00EF0713" w:rsidRPr="00165AFF" w:rsidRDefault="00EF0713"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Objavljena je studija s preporukama o procjeni učinaka Zakona o pravu na pristup informacijama i njegovu učinku na segment ostvarivanja Ustavom zajamčenog prava iz perspektive korisnika i tijela javne vlasti. Preporuke će se uzeti u obzir u kontekstu budućih izmjena Zakona o pravu na pristup informacijama.  </w:t>
            </w:r>
          </w:p>
        </w:tc>
      </w:tr>
      <w:tr w:rsidR="00215DFD" w:rsidRPr="00031FD3" w14:paraId="60C6686C"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1920B596"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244 </w:t>
            </w:r>
          </w:p>
        </w:tc>
        <w:tc>
          <w:tcPr>
            <w:tcW w:w="1134" w:type="dxa"/>
            <w:tcBorders>
              <w:top w:val="single" w:sz="4" w:space="0" w:color="auto"/>
              <w:left w:val="nil"/>
              <w:bottom w:val="single" w:sz="4" w:space="0" w:color="auto"/>
              <w:right w:val="single" w:sz="4" w:space="0" w:color="auto"/>
            </w:tcBorders>
            <w:shd w:val="clear" w:color="auto" w:fill="C6EFCE"/>
            <w:noWrap/>
          </w:tcPr>
          <w:p w14:paraId="16E305C0"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C2.6. R3 </w:t>
            </w:r>
          </w:p>
        </w:tc>
        <w:tc>
          <w:tcPr>
            <w:tcW w:w="992" w:type="dxa"/>
            <w:tcBorders>
              <w:top w:val="single" w:sz="4" w:space="0" w:color="auto"/>
              <w:left w:val="nil"/>
              <w:bottom w:val="single" w:sz="4" w:space="0" w:color="auto"/>
              <w:right w:val="single" w:sz="4" w:space="0" w:color="auto"/>
            </w:tcBorders>
            <w:shd w:val="clear" w:color="auto" w:fill="C6EFCE"/>
            <w:noWrap/>
          </w:tcPr>
          <w:p w14:paraId="1E604A74"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 </w:t>
            </w:r>
          </w:p>
        </w:tc>
        <w:tc>
          <w:tcPr>
            <w:tcW w:w="1843" w:type="dxa"/>
            <w:tcBorders>
              <w:top w:val="single" w:sz="4" w:space="0" w:color="auto"/>
              <w:left w:val="nil"/>
              <w:bottom w:val="single" w:sz="4" w:space="0" w:color="auto"/>
              <w:right w:val="single" w:sz="4" w:space="0" w:color="auto"/>
            </w:tcBorders>
            <w:shd w:val="clear" w:color="auto" w:fill="C6EFCE"/>
            <w:noWrap/>
          </w:tcPr>
          <w:p w14:paraId="6F15045A"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Primjena OECD-ovih preporuka o korporativnom upravljanja društvima u većinskom vlasništvu jedinica lokalne i regionalne uprave  </w:t>
            </w:r>
          </w:p>
        </w:tc>
        <w:tc>
          <w:tcPr>
            <w:tcW w:w="2226" w:type="dxa"/>
            <w:tcBorders>
              <w:top w:val="single" w:sz="4" w:space="0" w:color="auto"/>
              <w:left w:val="nil"/>
              <w:bottom w:val="single" w:sz="4" w:space="0" w:color="auto"/>
              <w:right w:val="single" w:sz="4" w:space="0" w:color="auto"/>
            </w:tcBorders>
            <w:shd w:val="clear" w:color="auto" w:fill="C6EFCE"/>
            <w:noWrap/>
          </w:tcPr>
          <w:p w14:paraId="1454E416"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Objava priručnika za primjenu OECD-ovih preporuka o korporativnom upravljanju društvima u većinskom vlasništvu jedinica lokalne i regionalne uprave </w:t>
            </w:r>
          </w:p>
        </w:tc>
        <w:tc>
          <w:tcPr>
            <w:tcW w:w="1168" w:type="dxa"/>
            <w:tcBorders>
              <w:top w:val="single" w:sz="4" w:space="0" w:color="auto"/>
              <w:left w:val="nil"/>
              <w:bottom w:val="single" w:sz="4" w:space="0" w:color="auto"/>
              <w:right w:val="single" w:sz="4" w:space="0" w:color="auto"/>
            </w:tcBorders>
            <w:shd w:val="clear" w:color="auto" w:fill="C6EFCE"/>
            <w:noWrap/>
          </w:tcPr>
          <w:p w14:paraId="17BEEF58"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2F0C429"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39A20D6C"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18E9A860"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1. </w:t>
            </w:r>
          </w:p>
        </w:tc>
        <w:tc>
          <w:tcPr>
            <w:tcW w:w="709" w:type="dxa"/>
            <w:tcBorders>
              <w:top w:val="single" w:sz="4" w:space="0" w:color="auto"/>
              <w:left w:val="nil"/>
              <w:bottom w:val="single" w:sz="4" w:space="0" w:color="auto"/>
              <w:right w:val="single" w:sz="4" w:space="0" w:color="auto"/>
            </w:tcBorders>
            <w:shd w:val="clear" w:color="auto" w:fill="C6EFCE"/>
            <w:noWrap/>
          </w:tcPr>
          <w:p w14:paraId="56ED30EF"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2024. </w:t>
            </w:r>
          </w:p>
        </w:tc>
        <w:tc>
          <w:tcPr>
            <w:tcW w:w="3719" w:type="dxa"/>
            <w:tcBorders>
              <w:top w:val="single" w:sz="4" w:space="0" w:color="auto"/>
              <w:left w:val="nil"/>
              <w:bottom w:val="single" w:sz="4" w:space="0" w:color="auto"/>
              <w:right w:val="single" w:sz="4" w:space="0" w:color="auto"/>
            </w:tcBorders>
            <w:shd w:val="clear" w:color="auto" w:fill="C6EFCE"/>
            <w:noWrap/>
          </w:tcPr>
          <w:p w14:paraId="647B144B"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Objavljen priručnik: </w:t>
            </w:r>
            <w:r>
              <w:rPr>
                <w:rFonts w:ascii="Calibri" w:hAnsi="Calibri"/>
                <w:noProof/>
                <w:color w:val="000000"/>
                <w:sz w:val="20"/>
              </w:rPr>
              <w:br/>
              <w:t>– za primjenu OECD-ovih preporuka o korporativnom upravljanju društvima u većinskom vlasništvu jedinica lokalne i regionalne uprave,  </w:t>
            </w:r>
            <w:r>
              <w:rPr>
                <w:rFonts w:ascii="Calibri" w:hAnsi="Calibri"/>
                <w:noProof/>
                <w:color w:val="000000"/>
                <w:sz w:val="20"/>
              </w:rPr>
              <w:br/>
              <w:t>– za uvođenje i provedbu funkcije usklađenosti u svim pravnim osobama koje imaju obvezu njezine uspostave. Važnost provedbe antikorupcijskih politika, uvođenja etičkog kodeksa i bolje uspostavljene funkcije usklađenosti jer time društva potvrđuju kako pažljivo provode prevenciju neetičnog ponašanja, kao i organizacijsku kulturu koja potiče etičko ponašanje i poštovanje zakona. </w:t>
            </w:r>
          </w:p>
        </w:tc>
      </w:tr>
      <w:tr w:rsidR="00215DFD" w:rsidRPr="00031FD3" w14:paraId="0FDA9140"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36A0D5A5"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245 </w:t>
            </w:r>
          </w:p>
        </w:tc>
        <w:tc>
          <w:tcPr>
            <w:tcW w:w="1134" w:type="dxa"/>
            <w:tcBorders>
              <w:top w:val="single" w:sz="4" w:space="0" w:color="auto"/>
              <w:left w:val="nil"/>
              <w:bottom w:val="single" w:sz="4" w:space="0" w:color="auto"/>
              <w:right w:val="single" w:sz="4" w:space="0" w:color="auto"/>
            </w:tcBorders>
            <w:shd w:val="clear" w:color="auto" w:fill="C6EFCE"/>
            <w:noWrap/>
          </w:tcPr>
          <w:p w14:paraId="5330EFAF"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C2.6. R3 </w:t>
            </w:r>
          </w:p>
        </w:tc>
        <w:tc>
          <w:tcPr>
            <w:tcW w:w="992" w:type="dxa"/>
            <w:tcBorders>
              <w:top w:val="single" w:sz="4" w:space="0" w:color="auto"/>
              <w:left w:val="nil"/>
              <w:bottom w:val="single" w:sz="4" w:space="0" w:color="auto"/>
              <w:right w:val="single" w:sz="4" w:space="0" w:color="auto"/>
            </w:tcBorders>
            <w:shd w:val="clear" w:color="auto" w:fill="C6EFCE"/>
            <w:noWrap/>
          </w:tcPr>
          <w:p w14:paraId="1767F720"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 </w:t>
            </w:r>
          </w:p>
        </w:tc>
        <w:tc>
          <w:tcPr>
            <w:tcW w:w="1843" w:type="dxa"/>
            <w:tcBorders>
              <w:top w:val="single" w:sz="4" w:space="0" w:color="auto"/>
              <w:left w:val="nil"/>
              <w:bottom w:val="single" w:sz="4" w:space="0" w:color="auto"/>
              <w:right w:val="single" w:sz="4" w:space="0" w:color="auto"/>
            </w:tcBorders>
            <w:shd w:val="clear" w:color="auto" w:fill="C6EFCE"/>
            <w:noWrap/>
          </w:tcPr>
          <w:p w14:paraId="0A804558"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Procjena učinaka provedbe Antikorupcijskog programa za poduzeća u većinskom vlasništvu jedinica lokalne i regionalne uprave za razdoblje 2021.–2022. </w:t>
            </w:r>
          </w:p>
        </w:tc>
        <w:tc>
          <w:tcPr>
            <w:tcW w:w="2226" w:type="dxa"/>
            <w:tcBorders>
              <w:top w:val="single" w:sz="4" w:space="0" w:color="auto"/>
              <w:left w:val="nil"/>
              <w:bottom w:val="single" w:sz="4" w:space="0" w:color="auto"/>
              <w:right w:val="single" w:sz="4" w:space="0" w:color="auto"/>
            </w:tcBorders>
            <w:shd w:val="clear" w:color="auto" w:fill="C6EFCE"/>
            <w:noWrap/>
          </w:tcPr>
          <w:p w14:paraId="75F0F5B7"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Objava izvješća Ministarstva pravosuđa i uprave o procjeni učinaka </w:t>
            </w:r>
          </w:p>
        </w:tc>
        <w:tc>
          <w:tcPr>
            <w:tcW w:w="1168" w:type="dxa"/>
            <w:tcBorders>
              <w:top w:val="single" w:sz="4" w:space="0" w:color="auto"/>
              <w:left w:val="nil"/>
              <w:bottom w:val="single" w:sz="4" w:space="0" w:color="auto"/>
              <w:right w:val="single" w:sz="4" w:space="0" w:color="auto"/>
            </w:tcBorders>
            <w:shd w:val="clear" w:color="auto" w:fill="C6EFCE"/>
            <w:noWrap/>
          </w:tcPr>
          <w:p w14:paraId="380F68E3"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4237AC99"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6CE54524"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329A74EF"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2. </w:t>
            </w:r>
          </w:p>
        </w:tc>
        <w:tc>
          <w:tcPr>
            <w:tcW w:w="709" w:type="dxa"/>
            <w:tcBorders>
              <w:top w:val="single" w:sz="4" w:space="0" w:color="auto"/>
              <w:left w:val="nil"/>
              <w:bottom w:val="single" w:sz="4" w:space="0" w:color="auto"/>
              <w:right w:val="single" w:sz="4" w:space="0" w:color="auto"/>
            </w:tcBorders>
            <w:shd w:val="clear" w:color="auto" w:fill="C6EFCE"/>
            <w:noWrap/>
          </w:tcPr>
          <w:p w14:paraId="6A84BC3B"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2026. </w:t>
            </w:r>
          </w:p>
        </w:tc>
        <w:tc>
          <w:tcPr>
            <w:tcW w:w="3719" w:type="dxa"/>
            <w:tcBorders>
              <w:top w:val="single" w:sz="4" w:space="0" w:color="auto"/>
              <w:left w:val="nil"/>
              <w:bottom w:val="single" w:sz="4" w:space="0" w:color="auto"/>
              <w:right w:val="single" w:sz="4" w:space="0" w:color="auto"/>
            </w:tcBorders>
            <w:shd w:val="clear" w:color="auto" w:fill="C6EFCE"/>
            <w:noWrap/>
          </w:tcPr>
          <w:p w14:paraId="0136013F"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Metodologija razvijena u izvješću trebala bi omogućiti procjenu učinaka provedbe Antikorupcijskog programa za poduzeća u većinskom vlasništvu jedinica lokalne i regionalne uprave i budućih takvih dokumenata. Na temelju rezultata procjene učinaka provedenog Programa i preporuka u izvjješću će se formulirati i prioriteti i mjere budućih antikorupcijskih dokumenata u tom području. </w:t>
            </w:r>
          </w:p>
        </w:tc>
      </w:tr>
      <w:tr w:rsidR="00215DFD" w:rsidRPr="00031FD3" w14:paraId="31728DBB" w14:textId="77777777" w:rsidTr="60E84A2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C6EFCE"/>
            <w:noWrap/>
          </w:tcPr>
          <w:p w14:paraId="4F03030A"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246 </w:t>
            </w:r>
          </w:p>
        </w:tc>
        <w:tc>
          <w:tcPr>
            <w:tcW w:w="1134" w:type="dxa"/>
            <w:tcBorders>
              <w:top w:val="single" w:sz="4" w:space="0" w:color="auto"/>
              <w:left w:val="nil"/>
              <w:bottom w:val="single" w:sz="4" w:space="0" w:color="auto"/>
              <w:right w:val="single" w:sz="4" w:space="0" w:color="auto"/>
            </w:tcBorders>
            <w:shd w:val="clear" w:color="auto" w:fill="C6EFCE"/>
            <w:noWrap/>
          </w:tcPr>
          <w:p w14:paraId="41988437"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C2.6. R4 </w:t>
            </w:r>
          </w:p>
        </w:tc>
        <w:tc>
          <w:tcPr>
            <w:tcW w:w="992" w:type="dxa"/>
            <w:tcBorders>
              <w:top w:val="single" w:sz="4" w:space="0" w:color="auto"/>
              <w:left w:val="nil"/>
              <w:bottom w:val="single" w:sz="4" w:space="0" w:color="auto"/>
              <w:right w:val="single" w:sz="4" w:space="0" w:color="auto"/>
            </w:tcBorders>
            <w:shd w:val="clear" w:color="auto" w:fill="C6EFCE"/>
            <w:noWrap/>
          </w:tcPr>
          <w:p w14:paraId="13151198"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Ciljna vrijednost </w:t>
            </w:r>
          </w:p>
        </w:tc>
        <w:tc>
          <w:tcPr>
            <w:tcW w:w="1843" w:type="dxa"/>
            <w:tcBorders>
              <w:top w:val="single" w:sz="4" w:space="0" w:color="auto"/>
              <w:left w:val="nil"/>
              <w:bottom w:val="single" w:sz="4" w:space="0" w:color="auto"/>
              <w:right w:val="single" w:sz="4" w:space="0" w:color="auto"/>
            </w:tcBorders>
            <w:shd w:val="clear" w:color="auto" w:fill="C6EFCE"/>
            <w:noWrap/>
          </w:tcPr>
          <w:p w14:paraId="2A509F01"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Edukacija sudaca o upravljanju korupcijskim rizicima u javnoj nabavi i sudskoj zaštiti u postupcima javne nabave. </w:t>
            </w:r>
          </w:p>
        </w:tc>
        <w:tc>
          <w:tcPr>
            <w:tcW w:w="2226" w:type="dxa"/>
            <w:tcBorders>
              <w:top w:val="single" w:sz="4" w:space="0" w:color="auto"/>
              <w:left w:val="nil"/>
              <w:bottom w:val="single" w:sz="4" w:space="0" w:color="auto"/>
              <w:right w:val="single" w:sz="4" w:space="0" w:color="auto"/>
            </w:tcBorders>
            <w:shd w:val="clear" w:color="auto" w:fill="C6EFCE"/>
            <w:noWrap/>
          </w:tcPr>
          <w:p w14:paraId="71F0B856" w14:textId="7777777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sz w:val="20"/>
              </w:rPr>
              <w:t>  </w:t>
            </w:r>
          </w:p>
        </w:tc>
        <w:tc>
          <w:tcPr>
            <w:tcW w:w="1168" w:type="dxa"/>
            <w:tcBorders>
              <w:top w:val="single" w:sz="4" w:space="0" w:color="auto"/>
              <w:left w:val="nil"/>
              <w:bottom w:val="single" w:sz="4" w:space="0" w:color="auto"/>
              <w:right w:val="single" w:sz="4" w:space="0" w:color="auto"/>
            </w:tcBorders>
            <w:shd w:val="clear" w:color="auto" w:fill="C6EFCE"/>
            <w:noWrap/>
          </w:tcPr>
          <w:p w14:paraId="3ADCA651"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 </w:t>
            </w:r>
          </w:p>
        </w:tc>
        <w:tc>
          <w:tcPr>
            <w:tcW w:w="826" w:type="dxa"/>
            <w:tcBorders>
              <w:top w:val="single" w:sz="4" w:space="0" w:color="auto"/>
              <w:left w:val="nil"/>
              <w:bottom w:val="single" w:sz="4" w:space="0" w:color="auto"/>
              <w:right w:val="single" w:sz="4" w:space="0" w:color="auto"/>
            </w:tcBorders>
            <w:shd w:val="clear" w:color="auto" w:fill="C6EFCE"/>
            <w:noWrap/>
          </w:tcPr>
          <w:p w14:paraId="3DE53AA2"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0 </w:t>
            </w:r>
          </w:p>
        </w:tc>
        <w:tc>
          <w:tcPr>
            <w:tcW w:w="850" w:type="dxa"/>
            <w:tcBorders>
              <w:top w:val="single" w:sz="4" w:space="0" w:color="auto"/>
              <w:left w:val="nil"/>
              <w:bottom w:val="single" w:sz="4" w:space="0" w:color="auto"/>
              <w:right w:val="single" w:sz="4" w:space="0" w:color="auto"/>
            </w:tcBorders>
            <w:shd w:val="clear" w:color="auto" w:fill="C6EFCE"/>
            <w:noWrap/>
          </w:tcPr>
          <w:p w14:paraId="1E071E16" w14:textId="16BE4E32"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themeColor="text1"/>
                <w:sz w:val="20"/>
              </w:rPr>
              <w:t>20 </w:t>
            </w:r>
          </w:p>
        </w:tc>
        <w:tc>
          <w:tcPr>
            <w:tcW w:w="425" w:type="dxa"/>
            <w:tcBorders>
              <w:top w:val="single" w:sz="4" w:space="0" w:color="auto"/>
              <w:left w:val="nil"/>
              <w:bottom w:val="single" w:sz="4" w:space="0" w:color="auto"/>
              <w:right w:val="single" w:sz="4" w:space="0" w:color="auto"/>
            </w:tcBorders>
            <w:shd w:val="clear" w:color="auto" w:fill="C6EFCE"/>
            <w:noWrap/>
          </w:tcPr>
          <w:p w14:paraId="121A058A"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themeColor="text1"/>
                <w:sz w:val="20"/>
              </w:rPr>
              <w:t>2. </w:t>
            </w:r>
          </w:p>
        </w:tc>
        <w:tc>
          <w:tcPr>
            <w:tcW w:w="709" w:type="dxa"/>
            <w:tcBorders>
              <w:top w:val="single" w:sz="4" w:space="0" w:color="auto"/>
              <w:left w:val="nil"/>
              <w:bottom w:val="single" w:sz="4" w:space="0" w:color="auto"/>
              <w:right w:val="single" w:sz="4" w:space="0" w:color="auto"/>
            </w:tcBorders>
            <w:shd w:val="clear" w:color="auto" w:fill="C6EFCE"/>
            <w:noWrap/>
          </w:tcPr>
          <w:p w14:paraId="0B5346EB" w14:textId="77777777" w:rsidR="00031FD3" w:rsidRPr="00031FD3" w:rsidRDefault="00031FD3" w:rsidP="00031FD3">
            <w:pPr>
              <w:spacing w:after="200" w:line="276" w:lineRule="auto"/>
              <w:jc w:val="center"/>
              <w:rPr>
                <w:rFonts w:ascii="Calibri" w:eastAsia="Calibri" w:hAnsi="Calibri" w:cs="Arial"/>
                <w:noProof/>
                <w:color w:val="000000"/>
                <w:sz w:val="20"/>
                <w:szCs w:val="20"/>
              </w:rPr>
            </w:pPr>
            <w:r>
              <w:rPr>
                <w:rFonts w:ascii="Calibri" w:hAnsi="Calibri"/>
                <w:noProof/>
                <w:color w:val="000000" w:themeColor="text1"/>
                <w:sz w:val="20"/>
              </w:rPr>
              <w:t>2024. </w:t>
            </w:r>
          </w:p>
        </w:tc>
        <w:tc>
          <w:tcPr>
            <w:tcW w:w="3719" w:type="dxa"/>
            <w:tcBorders>
              <w:top w:val="single" w:sz="4" w:space="0" w:color="auto"/>
              <w:left w:val="nil"/>
              <w:bottom w:val="single" w:sz="4" w:space="0" w:color="auto"/>
              <w:right w:val="single" w:sz="4" w:space="0" w:color="auto"/>
            </w:tcBorders>
            <w:shd w:val="clear" w:color="auto" w:fill="C6EFCE"/>
            <w:noWrap/>
          </w:tcPr>
          <w:p w14:paraId="14D4594D" w14:textId="394937D7" w:rsidR="00031FD3" w:rsidRPr="00031FD3" w:rsidRDefault="00031FD3" w:rsidP="00031FD3">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Educirat će se 20 sudaca Visokog upravnog suda Republike Hrvatske na temu upravljanja korupcijskim rizicima u javnoj nabavi i sudske zaštite u postupcima javne nabave. U tu svrhu provest će se 2 radionice u organizaciji Pravosudne akademije u okviru cjeloživotnog stručnog usavršavanja pravosudnih dužnosnika, u formi radionica kroz klasične/redovne edukacije, odnosno učenje na daljinu ovisno o okolnostima, radi dodatnog jačanja sudske zaštite u postupcima javne nabave.  </w:t>
            </w:r>
          </w:p>
        </w:tc>
      </w:tr>
    </w:tbl>
    <w:p w14:paraId="3D0E0650" w14:textId="77777777" w:rsidR="00EF0713" w:rsidRPr="00BC0323" w:rsidRDefault="00EF0713">
      <w:pPr>
        <w:rPr>
          <w:noProof/>
        </w:rPr>
        <w:sectPr w:rsidR="00EF0713" w:rsidRPr="00BC0323" w:rsidSect="0001477B">
          <w:headerReference w:type="even" r:id="rId228"/>
          <w:headerReference w:type="default" r:id="rId229"/>
          <w:footerReference w:type="even" r:id="rId230"/>
          <w:footerReference w:type="default" r:id="rId231"/>
          <w:headerReference w:type="first" r:id="rId232"/>
          <w:footerReference w:type="first" r:id="rId233"/>
          <w:pgSz w:w="15840" w:h="12240" w:orient="landscape"/>
          <w:pgMar w:top="1440" w:right="1440" w:bottom="1440" w:left="1440" w:header="708" w:footer="708" w:gutter="0"/>
          <w:cols w:space="708"/>
          <w:docGrid w:linePitch="360"/>
        </w:sectPr>
      </w:pPr>
    </w:p>
    <w:p w14:paraId="244DDD51" w14:textId="77777777" w:rsidR="00EF0713" w:rsidRPr="00EF0713" w:rsidRDefault="00EF0713" w:rsidP="00EF0713">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M. KOMPONENTA 2.7.: JAČANJE FISKALNOG OKVIRA</w:t>
      </w:r>
    </w:p>
    <w:p w14:paraId="5A302FC9" w14:textId="77777777" w:rsidR="00EF0713" w:rsidRPr="00EF0713" w:rsidRDefault="00EF0713" w:rsidP="00EF071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Komponenta je usmjerena na daljnje jačanje fiskalnog okvira i fiskalne discipline novim Zakonom o proračunu kako bi se unaprijedili proračunski procesi, poboljšalo financijsko izvještavanje i razvio model makroekonomskih projekcija.</w:t>
      </w:r>
    </w:p>
    <w:p w14:paraId="05A6172D" w14:textId="77777777" w:rsidR="00EF0713" w:rsidRPr="00EF0713" w:rsidRDefault="00EF0713" w:rsidP="00EF071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Jačanje fiskalnog okvira jedan je od glavnih elemenata unapređenja održivosti javnih financija, koja pak doprinosi makroekonomskoj stabilnosti te stvara preduvjete za povećanje potencijalne stope rasta, kao i za ekonomski oporavak i otpornost. </w:t>
      </w:r>
    </w:p>
    <w:p w14:paraId="4FD3D511" w14:textId="77777777" w:rsidR="00EF0713" w:rsidRPr="00EF0713" w:rsidRDefault="00EF0713" w:rsidP="00EF0713">
      <w:pPr>
        <w:spacing w:after="200" w:line="276" w:lineRule="auto"/>
        <w:jc w:val="both"/>
        <w:rPr>
          <w:rFonts w:ascii="Calibri" w:eastAsia="Calibri" w:hAnsi="Calibri" w:cs="Arial"/>
          <w:noProof/>
        </w:rPr>
      </w:pPr>
      <w:r>
        <w:rPr>
          <w:rFonts w:ascii="Times New Roman" w:hAnsi="Times New Roman"/>
          <w:noProof/>
          <w:sz w:val="24"/>
        </w:rPr>
        <w:t>Komponentom se ispunjuju preporuke za Hrvatsku o jačanju fiskalnog okvira (1. preporuka za Hrvatsku iz 2019.) i o provođenju fiskalnih politika s ciljem postizanja razboritih srednjoročnih fiskalnih pozicija (1. preporuka za Hrvatsku iz 2020.).</w:t>
      </w:r>
    </w:p>
    <w:p w14:paraId="0CA1BE1A" w14:textId="77777777" w:rsidR="00EF0713" w:rsidRPr="00BC0323" w:rsidRDefault="00EF0713" w:rsidP="00EF0713">
      <w:pPr>
        <w:spacing w:before="120" w:after="120" w:line="240" w:lineRule="auto"/>
        <w:jc w:val="both"/>
        <w:rPr>
          <w:rFonts w:ascii="Times New Roman" w:eastAsia="Calibri" w:hAnsi="Times New Roman" w:cs="Times New Roman"/>
          <w:noProof/>
          <w:sz w:val="24"/>
        </w:rPr>
      </w:pPr>
    </w:p>
    <w:p w14:paraId="3406A584" w14:textId="77777777" w:rsidR="00EF0713" w:rsidRPr="00EF0713" w:rsidRDefault="00EF0713" w:rsidP="00EF0713">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M.1. </w:t>
      </w:r>
      <w:r>
        <w:rPr>
          <w:rFonts w:ascii="Times New Roman" w:hAnsi="Times New Roman"/>
          <w:b/>
          <w:noProof/>
          <w:sz w:val="24"/>
          <w:u w:val="single"/>
        </w:rPr>
        <w:tab/>
        <w:t>Opis reformi i ulaganja za programe bespovratne financijske potpore</w:t>
      </w:r>
    </w:p>
    <w:p w14:paraId="7E088A06" w14:textId="77777777" w:rsidR="00EF0713" w:rsidRPr="00EF0713" w:rsidRDefault="00EF0713" w:rsidP="00EF0713">
      <w:pPr>
        <w:keepNext/>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u w:val="single"/>
        </w:rPr>
        <w:t>Reforma 1 (C2.7. R1) – Unapređenje fiskalnog planiranja i izvještavanja</w:t>
      </w:r>
      <w:r>
        <w:rPr>
          <w:rFonts w:ascii="Times New Roman" w:hAnsi="Times New Roman"/>
          <w:noProof/>
          <w:sz w:val="24"/>
        </w:rPr>
        <w:t xml:space="preserve"> </w:t>
      </w:r>
    </w:p>
    <w:p w14:paraId="28A3F68D" w14:textId="77777777" w:rsidR="00EF0713" w:rsidRPr="00EF0713" w:rsidRDefault="00EF0713" w:rsidP="00EF071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reforme izmijeniti Zakon o proračunu i unaprijediti proračunske procese i s njima povezane proračunske dokumente, kao i financijsko izvještavanje, te tako osigurati razvoj učinkovitog i održivog sustava upravljanja javnim financijama.</w:t>
      </w:r>
    </w:p>
    <w:p w14:paraId="35364821" w14:textId="77777777" w:rsidR="00EF0713" w:rsidRPr="00EF0713" w:rsidRDefault="00EF0713" w:rsidP="00EF0713">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Reforma uključuje:</w:t>
      </w:r>
    </w:p>
    <w:p w14:paraId="7E79E9B5" w14:textId="77777777" w:rsidR="00EF0713" w:rsidRPr="00EF0713" w:rsidRDefault="00EF0713" w:rsidP="00EF0713">
      <w:pPr>
        <w:numPr>
          <w:ilvl w:val="0"/>
          <w:numId w:val="36"/>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izradu i donošenje novog Zakona o proračunu,</w:t>
      </w:r>
    </w:p>
    <w:p w14:paraId="2607CF26" w14:textId="77777777" w:rsidR="00EF0713" w:rsidRPr="00EF0713" w:rsidRDefault="00EF0713" w:rsidP="00EF0713">
      <w:pPr>
        <w:numPr>
          <w:ilvl w:val="0"/>
          <w:numId w:val="36"/>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osiguravanje potpune funkcionalnosti Povjerenstva za fiskalnu politiku imenovanjem novog predsjednika na temelju javnog natječaja.</w:t>
      </w:r>
    </w:p>
    <w:p w14:paraId="14A2AB2A" w14:textId="77777777" w:rsidR="00EF0713" w:rsidRPr="00EF0713" w:rsidRDefault="00EF0713" w:rsidP="00EF071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ožujka 2022.</w:t>
      </w:r>
    </w:p>
    <w:p w14:paraId="3F8D333D" w14:textId="77777777" w:rsidR="00EF0713" w:rsidRPr="00EF0713" w:rsidRDefault="00EF0713" w:rsidP="00EF0713">
      <w:pPr>
        <w:spacing w:before="120" w:after="120" w:line="240" w:lineRule="auto"/>
        <w:jc w:val="both"/>
        <w:rPr>
          <w:rFonts w:ascii="Times New Roman" w:eastAsia="Times New Roman" w:hAnsi="Times New Roman" w:cs="Times New Roman"/>
          <w:noProof/>
          <w:sz w:val="24"/>
          <w:szCs w:val="24"/>
          <w:lang w:val="en"/>
        </w:rPr>
      </w:pPr>
    </w:p>
    <w:p w14:paraId="26F381DB" w14:textId="77777777" w:rsidR="00EF0713" w:rsidRPr="00EF0713" w:rsidRDefault="00EF0713" w:rsidP="00EF0713">
      <w:pPr>
        <w:keepNext/>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Reforma 2 (C2.7. R2) – Razvoj strukturnog makroekonomskog modela hrvatskog gospodarstva</w:t>
      </w:r>
    </w:p>
    <w:p w14:paraId="66C9681A" w14:textId="77777777" w:rsidR="00EF0713" w:rsidRPr="00EF0713" w:rsidRDefault="00EF0713" w:rsidP="00EF0713">
      <w:pPr>
        <w:spacing w:after="200" w:line="276" w:lineRule="auto"/>
        <w:jc w:val="both"/>
        <w:rPr>
          <w:rFonts w:ascii="Calibri" w:eastAsia="Calibri" w:hAnsi="Calibri" w:cs="Arial"/>
          <w:noProof/>
        </w:rPr>
      </w:pPr>
      <w:r>
        <w:rPr>
          <w:rFonts w:ascii="Times New Roman" w:hAnsi="Times New Roman"/>
          <w:noProof/>
          <w:sz w:val="24"/>
        </w:rPr>
        <w:t>Cilj je reforme razviti strukturni makroekonomski model hrvatskog gospodarstva, pogodan za izradu srednjoročnih makroekonomskih prognoza, simulaciju učinaka ekonomskih politika i procjenu utjecaja šokova te u konačnici ojačati kapacitete MINFIN-a za izradu proračunskih prognoza.</w:t>
      </w:r>
    </w:p>
    <w:p w14:paraId="57AB9A77" w14:textId="77777777" w:rsidR="00EF0713" w:rsidRPr="00EF0713" w:rsidRDefault="00EF0713" w:rsidP="00EF0713">
      <w:pPr>
        <w:spacing w:before="120" w:after="120" w:line="240" w:lineRule="auto"/>
        <w:jc w:val="both"/>
        <w:rPr>
          <w:rFonts w:ascii="Times New Roman" w:eastAsia="Calibri" w:hAnsi="Times New Roman" w:cs="Times New Roman"/>
          <w:noProof/>
          <w:sz w:val="24"/>
          <w:szCs w:val="24"/>
          <w:u w:val="single"/>
        </w:rPr>
      </w:pPr>
      <w:r>
        <w:rPr>
          <w:rFonts w:ascii="Times New Roman" w:hAnsi="Times New Roman"/>
          <w:noProof/>
          <w:sz w:val="24"/>
        </w:rPr>
        <w:t xml:space="preserve">Reforma će biti dovršena do 30. rujna 2022. </w:t>
      </w:r>
    </w:p>
    <w:p w14:paraId="01BE6C6C" w14:textId="77777777" w:rsidR="00EF0713" w:rsidRDefault="00EF0713">
      <w:pPr>
        <w:rPr>
          <w:noProof/>
          <w:lang w:val="en-GB"/>
        </w:rPr>
        <w:sectPr w:rsidR="00EF0713" w:rsidSect="00EF0713">
          <w:headerReference w:type="even" r:id="rId234"/>
          <w:headerReference w:type="default" r:id="rId235"/>
          <w:footerReference w:type="even" r:id="rId236"/>
          <w:footerReference w:type="default" r:id="rId237"/>
          <w:headerReference w:type="first" r:id="rId238"/>
          <w:footerReference w:type="first" r:id="rId239"/>
          <w:pgSz w:w="12240" w:h="15840"/>
          <w:pgMar w:top="1440" w:right="1440" w:bottom="1440" w:left="1440" w:header="708" w:footer="708" w:gutter="0"/>
          <w:cols w:space="708"/>
          <w:docGrid w:linePitch="360"/>
        </w:sectPr>
      </w:pPr>
    </w:p>
    <w:p w14:paraId="3262021B" w14:textId="77777777" w:rsidR="00EF0713" w:rsidRPr="00EF0713" w:rsidRDefault="00EF0713" w:rsidP="00EF0713">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M.2. </w:t>
      </w:r>
      <w:r>
        <w:rPr>
          <w:rFonts w:ascii="Times New Roman" w:hAnsi="Times New Roman"/>
          <w:b/>
          <w:noProof/>
          <w:sz w:val="24"/>
          <w:u w:val="single"/>
        </w:rPr>
        <w:tab/>
        <w:t>Ključne etape, ciljne vrijednosti, pokazatelji i vremenski raspored za praćenje i provedbu programa bespovratne financijske potpore</w:t>
      </w:r>
    </w:p>
    <w:p w14:paraId="74F78AF7" w14:textId="77777777" w:rsidR="00EF0713" w:rsidRPr="00EF0713" w:rsidRDefault="00EF0713" w:rsidP="00EF0713">
      <w:pPr>
        <w:keepNext/>
        <w:tabs>
          <w:tab w:val="num" w:pos="850"/>
        </w:tabs>
        <w:spacing w:before="40" w:after="0"/>
        <w:ind w:left="851"/>
        <w:jc w:val="both"/>
        <w:outlineLvl w:val="1"/>
        <w:rPr>
          <w:rFonts w:ascii="Times New Roman" w:eastAsia="SimSun" w:hAnsi="Times New Roman" w:cs="Times New Roman"/>
          <w:b/>
          <w:noProof/>
          <w:sz w:val="24"/>
          <w:szCs w:val="24"/>
          <w:u w:val="single"/>
          <w:lang w:val="en-GB"/>
        </w:rPr>
      </w:pPr>
    </w:p>
    <w:tbl>
      <w:tblPr>
        <w:tblW w:w="14796" w:type="dxa"/>
        <w:jc w:val="center"/>
        <w:tblCellMar>
          <w:top w:w="28" w:type="dxa"/>
          <w:left w:w="28" w:type="dxa"/>
          <w:bottom w:w="28" w:type="dxa"/>
          <w:right w:w="28" w:type="dxa"/>
        </w:tblCellMar>
        <w:tblLook w:val="04A0" w:firstRow="1" w:lastRow="0" w:firstColumn="1" w:lastColumn="0" w:noHBand="0" w:noVBand="1"/>
      </w:tblPr>
      <w:tblGrid>
        <w:gridCol w:w="737"/>
        <w:gridCol w:w="850"/>
        <w:gridCol w:w="850"/>
        <w:gridCol w:w="2298"/>
        <w:gridCol w:w="1951"/>
        <w:gridCol w:w="734"/>
        <w:gridCol w:w="836"/>
        <w:gridCol w:w="850"/>
        <w:gridCol w:w="645"/>
        <w:gridCol w:w="806"/>
        <w:gridCol w:w="4249"/>
      </w:tblGrid>
      <w:tr w:rsidR="00E96B25" w:rsidRPr="00EF0713" w14:paraId="5E674540" w14:textId="77777777" w:rsidTr="00E25E44">
        <w:trPr>
          <w:trHeight w:val="919"/>
          <w:tblHeader/>
          <w:jc w:val="center"/>
        </w:trPr>
        <w:tc>
          <w:tcPr>
            <w:tcW w:w="73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79B18AB"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40E4A89"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34E519E"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298" w:type="dxa"/>
            <w:vMerge w:val="restart"/>
            <w:tcBorders>
              <w:top w:val="single" w:sz="4" w:space="0" w:color="auto"/>
              <w:left w:val="nil"/>
              <w:bottom w:val="single" w:sz="4" w:space="0" w:color="000000"/>
              <w:right w:val="single" w:sz="4" w:space="0" w:color="auto"/>
            </w:tcBorders>
            <w:shd w:val="clear" w:color="auto" w:fill="BDD7EE"/>
            <w:vAlign w:val="center"/>
            <w:hideMark/>
          </w:tcPr>
          <w:p w14:paraId="4E9E114F"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95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10AE7A8"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410" w:type="dxa"/>
            <w:gridSpan w:val="3"/>
            <w:tcBorders>
              <w:top w:val="single" w:sz="4" w:space="0" w:color="auto"/>
              <w:left w:val="nil"/>
              <w:bottom w:val="single" w:sz="4" w:space="0" w:color="auto"/>
              <w:right w:val="single" w:sz="4" w:space="0" w:color="auto"/>
            </w:tcBorders>
            <w:shd w:val="clear" w:color="auto" w:fill="BDD7EE"/>
            <w:vAlign w:val="center"/>
            <w:hideMark/>
          </w:tcPr>
          <w:p w14:paraId="3A65D759"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451" w:type="dxa"/>
            <w:gridSpan w:val="2"/>
            <w:tcBorders>
              <w:top w:val="single" w:sz="4" w:space="0" w:color="auto"/>
              <w:left w:val="nil"/>
              <w:bottom w:val="single" w:sz="4" w:space="0" w:color="auto"/>
              <w:right w:val="single" w:sz="4" w:space="0" w:color="auto"/>
            </w:tcBorders>
            <w:shd w:val="clear" w:color="auto" w:fill="BDD7EE"/>
            <w:vAlign w:val="center"/>
            <w:hideMark/>
          </w:tcPr>
          <w:p w14:paraId="70033776" w14:textId="718C4A0D" w:rsidR="00EF0713" w:rsidRPr="00EF0713" w:rsidRDefault="00E25E44"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Vrijeme </w:t>
            </w:r>
          </w:p>
        </w:tc>
        <w:tc>
          <w:tcPr>
            <w:tcW w:w="42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73AAAB"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C4307A" w:rsidRPr="00EF0713" w14:paraId="4C10A76E" w14:textId="77777777" w:rsidTr="00E25E44">
        <w:trPr>
          <w:trHeight w:val="508"/>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14:paraId="3AD88E01" w14:textId="77777777" w:rsidR="00EF0713" w:rsidRPr="00BC0323" w:rsidRDefault="00EF0713" w:rsidP="00EF0713">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14:paraId="20CC8977" w14:textId="77777777" w:rsidR="00EF0713" w:rsidRPr="00BC0323" w:rsidRDefault="00EF0713" w:rsidP="00EF0713">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14:paraId="61C2708C" w14:textId="77777777" w:rsidR="00EF0713" w:rsidRPr="00BC0323" w:rsidRDefault="00EF0713" w:rsidP="00EF0713">
            <w:pPr>
              <w:spacing w:after="0" w:line="276" w:lineRule="auto"/>
              <w:jc w:val="center"/>
              <w:rPr>
                <w:rFonts w:ascii="Times New Roman" w:eastAsia="Times New Roman" w:hAnsi="Times New Roman" w:cs="Times New Roman"/>
                <w:b/>
                <w:noProof/>
                <w:lang w:eastAsia="en-GB"/>
              </w:rPr>
            </w:pPr>
          </w:p>
        </w:tc>
        <w:tc>
          <w:tcPr>
            <w:tcW w:w="2298" w:type="dxa"/>
            <w:vMerge/>
            <w:tcBorders>
              <w:top w:val="single" w:sz="4" w:space="0" w:color="auto"/>
              <w:left w:val="nil"/>
              <w:bottom w:val="single" w:sz="4" w:space="0" w:color="000000"/>
              <w:right w:val="single" w:sz="4" w:space="0" w:color="auto"/>
            </w:tcBorders>
            <w:hideMark/>
          </w:tcPr>
          <w:p w14:paraId="7B648E49" w14:textId="77777777" w:rsidR="00EF0713" w:rsidRPr="00BC0323" w:rsidRDefault="00EF0713" w:rsidP="00EF0713">
            <w:pPr>
              <w:spacing w:after="0" w:line="276" w:lineRule="auto"/>
              <w:rPr>
                <w:rFonts w:ascii="Times New Roman" w:eastAsia="Times New Roman" w:hAnsi="Times New Roman" w:cs="Times New Roman"/>
                <w:b/>
                <w:noProof/>
                <w:lang w:eastAsia="en-GB"/>
              </w:rPr>
            </w:pPr>
          </w:p>
        </w:tc>
        <w:tc>
          <w:tcPr>
            <w:tcW w:w="1951" w:type="dxa"/>
            <w:vMerge/>
            <w:tcBorders>
              <w:top w:val="single" w:sz="4" w:space="0" w:color="auto"/>
              <w:left w:val="single" w:sz="4" w:space="0" w:color="auto"/>
              <w:bottom w:val="single" w:sz="4" w:space="0" w:color="000000"/>
              <w:right w:val="single" w:sz="4" w:space="0" w:color="auto"/>
            </w:tcBorders>
            <w:hideMark/>
          </w:tcPr>
          <w:p w14:paraId="5BB38825" w14:textId="77777777" w:rsidR="00EF0713" w:rsidRPr="00BC0323" w:rsidRDefault="00EF0713" w:rsidP="00EF0713">
            <w:pPr>
              <w:spacing w:after="0" w:line="276" w:lineRule="auto"/>
              <w:rPr>
                <w:rFonts w:ascii="Times New Roman" w:eastAsia="Times New Roman" w:hAnsi="Times New Roman" w:cs="Times New Roman"/>
                <w:b/>
                <w:noProof/>
                <w:lang w:eastAsia="en-GB"/>
              </w:rPr>
            </w:pPr>
          </w:p>
        </w:tc>
        <w:tc>
          <w:tcPr>
            <w:tcW w:w="734" w:type="dxa"/>
            <w:tcBorders>
              <w:top w:val="nil"/>
              <w:left w:val="nil"/>
              <w:bottom w:val="single" w:sz="4" w:space="0" w:color="auto"/>
              <w:right w:val="single" w:sz="4" w:space="0" w:color="auto"/>
            </w:tcBorders>
            <w:shd w:val="clear" w:color="auto" w:fill="BDD7EE"/>
            <w:vAlign w:val="center"/>
            <w:hideMark/>
          </w:tcPr>
          <w:p w14:paraId="117AD693"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vAlign w:val="center"/>
            <w:hideMark/>
          </w:tcPr>
          <w:p w14:paraId="308684CB"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vAlign w:val="center"/>
            <w:hideMark/>
          </w:tcPr>
          <w:p w14:paraId="33A12CD9"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645" w:type="dxa"/>
            <w:tcBorders>
              <w:top w:val="nil"/>
              <w:left w:val="nil"/>
              <w:bottom w:val="single" w:sz="4" w:space="0" w:color="auto"/>
              <w:right w:val="single" w:sz="4" w:space="0" w:color="auto"/>
            </w:tcBorders>
            <w:shd w:val="clear" w:color="auto" w:fill="BDD7EE"/>
            <w:vAlign w:val="center"/>
            <w:hideMark/>
          </w:tcPr>
          <w:p w14:paraId="49425726"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806" w:type="dxa"/>
            <w:tcBorders>
              <w:top w:val="nil"/>
              <w:left w:val="nil"/>
              <w:bottom w:val="single" w:sz="4" w:space="0" w:color="auto"/>
              <w:right w:val="single" w:sz="4" w:space="0" w:color="auto"/>
            </w:tcBorders>
            <w:shd w:val="clear" w:color="auto" w:fill="BDD7EE"/>
            <w:vAlign w:val="center"/>
            <w:hideMark/>
          </w:tcPr>
          <w:p w14:paraId="1116303D" w14:textId="77777777" w:rsidR="00EF0713" w:rsidRPr="00EF0713" w:rsidRDefault="00EF0713" w:rsidP="00EF0713">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249" w:type="dxa"/>
            <w:vMerge/>
            <w:tcBorders>
              <w:top w:val="single" w:sz="4" w:space="0" w:color="auto"/>
              <w:left w:val="single" w:sz="4" w:space="0" w:color="auto"/>
              <w:bottom w:val="single" w:sz="4" w:space="0" w:color="auto"/>
              <w:right w:val="single" w:sz="4" w:space="0" w:color="auto"/>
            </w:tcBorders>
            <w:hideMark/>
          </w:tcPr>
          <w:p w14:paraId="1B454910" w14:textId="77777777" w:rsidR="00EF0713" w:rsidRPr="00EF0713" w:rsidRDefault="00EF0713" w:rsidP="00EF0713">
            <w:pPr>
              <w:spacing w:after="0" w:line="276" w:lineRule="auto"/>
              <w:rPr>
                <w:rFonts w:ascii="Times New Roman" w:eastAsia="Times New Roman" w:hAnsi="Times New Roman" w:cs="Times New Roman"/>
                <w:b/>
                <w:noProof/>
                <w:lang w:val="en-GB" w:eastAsia="en-GB"/>
              </w:rPr>
            </w:pPr>
          </w:p>
        </w:tc>
      </w:tr>
      <w:tr w:rsidR="00E96B25" w:rsidRPr="00EF0713" w14:paraId="7E414CBF"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35F3FEC7" w14:textId="77777777" w:rsidR="00EF0713" w:rsidRPr="00EF0713" w:rsidRDefault="00EF0713" w:rsidP="00EF0713">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247</w:t>
            </w:r>
          </w:p>
        </w:tc>
        <w:tc>
          <w:tcPr>
            <w:tcW w:w="850" w:type="dxa"/>
            <w:tcBorders>
              <w:top w:val="nil"/>
              <w:left w:val="nil"/>
              <w:bottom w:val="single" w:sz="4" w:space="0" w:color="auto"/>
              <w:right w:val="single" w:sz="4" w:space="0" w:color="auto"/>
            </w:tcBorders>
            <w:shd w:val="clear" w:color="auto" w:fill="C6EFCE"/>
            <w:noWrap/>
          </w:tcPr>
          <w:p w14:paraId="6C81EDA2"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C2.7. R1</w:t>
            </w:r>
          </w:p>
        </w:tc>
        <w:tc>
          <w:tcPr>
            <w:tcW w:w="850" w:type="dxa"/>
            <w:tcBorders>
              <w:top w:val="nil"/>
              <w:left w:val="nil"/>
              <w:bottom w:val="single" w:sz="4" w:space="0" w:color="auto"/>
              <w:right w:val="single" w:sz="4" w:space="0" w:color="auto"/>
            </w:tcBorders>
            <w:shd w:val="clear" w:color="auto" w:fill="C6EFCE"/>
            <w:noWrap/>
          </w:tcPr>
          <w:p w14:paraId="4F865BC8"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98" w:type="dxa"/>
            <w:tcBorders>
              <w:top w:val="nil"/>
              <w:left w:val="nil"/>
              <w:bottom w:val="single" w:sz="4" w:space="0" w:color="auto"/>
              <w:right w:val="single" w:sz="4" w:space="0" w:color="auto"/>
            </w:tcBorders>
            <w:shd w:val="clear" w:color="auto" w:fill="C6EFCE"/>
            <w:noWrap/>
          </w:tcPr>
          <w:p w14:paraId="707BF247"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Jačanje fiskalnog okvira donošenjem Zakona o proračunu radi unapređenja proračunskih procesa</w:t>
            </w:r>
          </w:p>
        </w:tc>
        <w:tc>
          <w:tcPr>
            <w:tcW w:w="1951" w:type="dxa"/>
            <w:tcBorders>
              <w:top w:val="nil"/>
              <w:left w:val="nil"/>
              <w:bottom w:val="single" w:sz="4" w:space="0" w:color="auto"/>
              <w:right w:val="single" w:sz="4" w:space="0" w:color="auto"/>
            </w:tcBorders>
            <w:shd w:val="clear" w:color="auto" w:fill="C6EFCE"/>
            <w:noWrap/>
          </w:tcPr>
          <w:p w14:paraId="5E0A79D7"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novog Zakona o proračunu </w:t>
            </w:r>
          </w:p>
        </w:tc>
        <w:tc>
          <w:tcPr>
            <w:tcW w:w="734" w:type="dxa"/>
            <w:tcBorders>
              <w:top w:val="nil"/>
              <w:left w:val="nil"/>
              <w:bottom w:val="single" w:sz="4" w:space="0" w:color="auto"/>
              <w:right w:val="single" w:sz="4" w:space="0" w:color="auto"/>
            </w:tcBorders>
            <w:shd w:val="clear" w:color="auto" w:fill="C6EFCE"/>
            <w:noWrap/>
          </w:tcPr>
          <w:p w14:paraId="52F1043F"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033CC83F"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4DDAC6D1"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645" w:type="dxa"/>
            <w:tcBorders>
              <w:top w:val="nil"/>
              <w:left w:val="nil"/>
              <w:bottom w:val="single" w:sz="4" w:space="0" w:color="auto"/>
              <w:right w:val="single" w:sz="4" w:space="0" w:color="auto"/>
            </w:tcBorders>
            <w:shd w:val="clear" w:color="auto" w:fill="C6EFCE"/>
            <w:noWrap/>
          </w:tcPr>
          <w:p w14:paraId="5D0A2707"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06" w:type="dxa"/>
            <w:tcBorders>
              <w:top w:val="nil"/>
              <w:left w:val="nil"/>
              <w:bottom w:val="single" w:sz="4" w:space="0" w:color="auto"/>
              <w:right w:val="single" w:sz="4" w:space="0" w:color="auto"/>
            </w:tcBorders>
            <w:shd w:val="clear" w:color="auto" w:fill="C6EFCE"/>
            <w:noWrap/>
          </w:tcPr>
          <w:p w14:paraId="698825FC"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249" w:type="dxa"/>
            <w:tcBorders>
              <w:top w:val="nil"/>
              <w:left w:val="nil"/>
              <w:bottom w:val="single" w:sz="4" w:space="0" w:color="auto"/>
              <w:right w:val="single" w:sz="4" w:space="0" w:color="auto"/>
            </w:tcBorders>
            <w:shd w:val="clear" w:color="auto" w:fill="C6EFCE"/>
            <w:noWrap/>
          </w:tcPr>
          <w:p w14:paraId="27262AB6"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U novom Zakonu o proračunu utvrdit će se postupci i ključni dokumenti za izradu, donošenje i izvršenje državnog proračuna, proračuna jedinica lokalne i regionalne uprave i njihovih izvanproračunskih korisnika, okvir zaduživanja jedinica lokalne i regionalne uprave, praćenje korištenja vlastitih i namjenskih prihoda te predviđanje i kontrola buduće potrošnje uključujući višegodišnje obveze, čime će se omogućiti i veća fleksibilnost u provedbi projekata EU-a te usklađenost s Direktivom Vijeća 2011/85 kako bi se uspostavio učinkovitiji sustav financijskog i statističkog izvještavanja.</w:t>
            </w:r>
          </w:p>
        </w:tc>
      </w:tr>
      <w:tr w:rsidR="00E96B25" w:rsidRPr="00EF0713" w14:paraId="3B2C7D4A"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2A2A4A47"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248</w:t>
            </w:r>
          </w:p>
        </w:tc>
        <w:tc>
          <w:tcPr>
            <w:tcW w:w="850" w:type="dxa"/>
            <w:tcBorders>
              <w:top w:val="nil"/>
              <w:left w:val="nil"/>
              <w:bottom w:val="single" w:sz="4" w:space="0" w:color="auto"/>
              <w:right w:val="single" w:sz="4" w:space="0" w:color="auto"/>
            </w:tcBorders>
            <w:shd w:val="clear" w:color="auto" w:fill="C6EFCE"/>
            <w:noWrap/>
          </w:tcPr>
          <w:p w14:paraId="33704841"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C2.7. R1</w:t>
            </w:r>
          </w:p>
        </w:tc>
        <w:tc>
          <w:tcPr>
            <w:tcW w:w="850" w:type="dxa"/>
            <w:tcBorders>
              <w:top w:val="nil"/>
              <w:left w:val="nil"/>
              <w:bottom w:val="single" w:sz="4" w:space="0" w:color="auto"/>
              <w:right w:val="single" w:sz="4" w:space="0" w:color="auto"/>
            </w:tcBorders>
            <w:shd w:val="clear" w:color="auto" w:fill="C6EFCE"/>
            <w:noWrap/>
          </w:tcPr>
          <w:p w14:paraId="7590C3DF"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98" w:type="dxa"/>
            <w:tcBorders>
              <w:top w:val="nil"/>
              <w:left w:val="nil"/>
              <w:bottom w:val="single" w:sz="4" w:space="0" w:color="auto"/>
              <w:right w:val="single" w:sz="4" w:space="0" w:color="auto"/>
            </w:tcBorders>
            <w:shd w:val="clear" w:color="auto" w:fill="C6EFCE"/>
            <w:noWrap/>
          </w:tcPr>
          <w:p w14:paraId="4DB72F2F"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Osiguravanje potpune funkcionalnosti Povjerenstva za fiskalnu politiku</w:t>
            </w:r>
          </w:p>
        </w:tc>
        <w:tc>
          <w:tcPr>
            <w:tcW w:w="1951" w:type="dxa"/>
            <w:tcBorders>
              <w:top w:val="nil"/>
              <w:left w:val="nil"/>
              <w:bottom w:val="single" w:sz="4" w:space="0" w:color="auto"/>
              <w:right w:val="single" w:sz="4" w:space="0" w:color="auto"/>
            </w:tcBorders>
            <w:shd w:val="clear" w:color="auto" w:fill="C6EFCE"/>
            <w:noWrap/>
          </w:tcPr>
          <w:p w14:paraId="0799EA94"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Sabor imenuje novog predsjednika Povjerenstva za fiskalnu politiku  </w:t>
            </w:r>
          </w:p>
        </w:tc>
        <w:tc>
          <w:tcPr>
            <w:tcW w:w="734" w:type="dxa"/>
            <w:tcBorders>
              <w:top w:val="nil"/>
              <w:left w:val="nil"/>
              <w:bottom w:val="single" w:sz="4" w:space="0" w:color="auto"/>
              <w:right w:val="single" w:sz="4" w:space="0" w:color="auto"/>
            </w:tcBorders>
            <w:shd w:val="clear" w:color="auto" w:fill="C6EFCE"/>
            <w:noWrap/>
          </w:tcPr>
          <w:p w14:paraId="36C8F4B3"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56605510"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48AC1F14"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645" w:type="dxa"/>
            <w:tcBorders>
              <w:top w:val="nil"/>
              <w:left w:val="nil"/>
              <w:bottom w:val="single" w:sz="4" w:space="0" w:color="auto"/>
              <w:right w:val="single" w:sz="4" w:space="0" w:color="auto"/>
            </w:tcBorders>
            <w:shd w:val="clear" w:color="auto" w:fill="C6EFCE"/>
            <w:noWrap/>
          </w:tcPr>
          <w:p w14:paraId="0E311B0F"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06" w:type="dxa"/>
            <w:tcBorders>
              <w:top w:val="nil"/>
              <w:left w:val="nil"/>
              <w:bottom w:val="single" w:sz="4" w:space="0" w:color="auto"/>
              <w:right w:val="single" w:sz="4" w:space="0" w:color="auto"/>
            </w:tcBorders>
            <w:shd w:val="clear" w:color="auto" w:fill="C6EFCE"/>
            <w:noWrap/>
          </w:tcPr>
          <w:p w14:paraId="0CE7CB4B"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249" w:type="dxa"/>
            <w:tcBorders>
              <w:top w:val="nil"/>
              <w:left w:val="nil"/>
              <w:bottom w:val="single" w:sz="4" w:space="0" w:color="auto"/>
              <w:right w:val="single" w:sz="4" w:space="0" w:color="auto"/>
            </w:tcBorders>
            <w:shd w:val="clear" w:color="auto" w:fill="C6EFCE"/>
            <w:noWrap/>
          </w:tcPr>
          <w:p w14:paraId="336EC29B"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Imenovanjem novog predsjednika Povjerenstva za fiskalnu politiku osigurava se potpuna funkcionalnost Povjerenstva i provedba Zakona o fiskalnoj odgovornosti (NN 111/2018)</w:t>
            </w:r>
          </w:p>
        </w:tc>
      </w:tr>
      <w:tr w:rsidR="00E96B25" w:rsidRPr="00EF0713" w14:paraId="2F4321D3"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34CF5693"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249</w:t>
            </w:r>
          </w:p>
        </w:tc>
        <w:tc>
          <w:tcPr>
            <w:tcW w:w="850" w:type="dxa"/>
            <w:tcBorders>
              <w:top w:val="nil"/>
              <w:left w:val="nil"/>
              <w:bottom w:val="single" w:sz="4" w:space="0" w:color="auto"/>
              <w:right w:val="single" w:sz="4" w:space="0" w:color="auto"/>
            </w:tcBorders>
            <w:shd w:val="clear" w:color="auto" w:fill="C6EFCE"/>
            <w:noWrap/>
          </w:tcPr>
          <w:p w14:paraId="11392550"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C2.7. R2</w:t>
            </w:r>
          </w:p>
        </w:tc>
        <w:tc>
          <w:tcPr>
            <w:tcW w:w="850" w:type="dxa"/>
            <w:tcBorders>
              <w:top w:val="nil"/>
              <w:left w:val="nil"/>
              <w:bottom w:val="single" w:sz="4" w:space="0" w:color="auto"/>
              <w:right w:val="single" w:sz="4" w:space="0" w:color="auto"/>
            </w:tcBorders>
            <w:shd w:val="clear" w:color="auto" w:fill="C6EFCE"/>
            <w:noWrap/>
          </w:tcPr>
          <w:p w14:paraId="585934B8"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98" w:type="dxa"/>
            <w:tcBorders>
              <w:top w:val="nil"/>
              <w:left w:val="nil"/>
              <w:bottom w:val="single" w:sz="4" w:space="0" w:color="auto"/>
              <w:right w:val="single" w:sz="4" w:space="0" w:color="auto"/>
            </w:tcBorders>
            <w:shd w:val="clear" w:color="auto" w:fill="C6EFCE"/>
            <w:noWrap/>
          </w:tcPr>
          <w:p w14:paraId="71485BB2"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Razvoj strukturnog makroekonomskog modela za hrvatsko gospodarstvo namijenjenog izradi srednjoročnih makroekonomskih prognoza, proračunskom planiranju</w:t>
            </w:r>
            <w:r>
              <w:rPr>
                <w:rFonts w:ascii="Calibri" w:hAnsi="Calibri"/>
                <w:noProof/>
                <w:color w:val="000000"/>
                <w:sz w:val="20"/>
              </w:rPr>
              <w:br/>
              <w:t>i analizi ekonomskih politika</w:t>
            </w:r>
          </w:p>
        </w:tc>
        <w:tc>
          <w:tcPr>
            <w:tcW w:w="1951" w:type="dxa"/>
            <w:tcBorders>
              <w:top w:val="nil"/>
              <w:left w:val="nil"/>
              <w:bottom w:val="single" w:sz="4" w:space="0" w:color="auto"/>
              <w:right w:val="single" w:sz="4" w:space="0" w:color="auto"/>
            </w:tcBorders>
            <w:shd w:val="clear" w:color="auto" w:fill="C6EFCE"/>
            <w:noWrap/>
          </w:tcPr>
          <w:p w14:paraId="7FF2A83B"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Razvoj i primjena potpuno funkcionalnog strukturnog makroekonomskog modela za hrvatsko gospodarstvo namijenjenog izradi projekcija na kojima se temelji godišnji proračun</w:t>
            </w:r>
          </w:p>
        </w:tc>
        <w:tc>
          <w:tcPr>
            <w:tcW w:w="734" w:type="dxa"/>
            <w:tcBorders>
              <w:top w:val="nil"/>
              <w:left w:val="nil"/>
              <w:bottom w:val="single" w:sz="4" w:space="0" w:color="auto"/>
              <w:right w:val="single" w:sz="4" w:space="0" w:color="auto"/>
            </w:tcBorders>
            <w:shd w:val="clear" w:color="auto" w:fill="C6EFCE"/>
            <w:noWrap/>
          </w:tcPr>
          <w:p w14:paraId="1B2CE748"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24B174C6"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46D98B93"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645" w:type="dxa"/>
            <w:tcBorders>
              <w:top w:val="nil"/>
              <w:left w:val="nil"/>
              <w:bottom w:val="single" w:sz="4" w:space="0" w:color="auto"/>
              <w:right w:val="single" w:sz="4" w:space="0" w:color="auto"/>
            </w:tcBorders>
            <w:shd w:val="clear" w:color="auto" w:fill="C6EFCE"/>
            <w:noWrap/>
          </w:tcPr>
          <w:p w14:paraId="22CC505C"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806" w:type="dxa"/>
            <w:tcBorders>
              <w:top w:val="nil"/>
              <w:left w:val="nil"/>
              <w:bottom w:val="single" w:sz="4" w:space="0" w:color="auto"/>
              <w:right w:val="single" w:sz="4" w:space="0" w:color="auto"/>
            </w:tcBorders>
            <w:shd w:val="clear" w:color="auto" w:fill="C6EFCE"/>
            <w:noWrap/>
          </w:tcPr>
          <w:p w14:paraId="1333979E" w14:textId="77777777" w:rsidR="00EF0713" w:rsidRPr="00EF0713" w:rsidRDefault="00EF0713" w:rsidP="00EF0713">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249" w:type="dxa"/>
            <w:tcBorders>
              <w:top w:val="nil"/>
              <w:left w:val="nil"/>
              <w:bottom w:val="single" w:sz="4" w:space="0" w:color="auto"/>
              <w:right w:val="single" w:sz="4" w:space="0" w:color="auto"/>
            </w:tcBorders>
            <w:shd w:val="clear" w:color="auto" w:fill="C6EFCE"/>
            <w:noWrap/>
          </w:tcPr>
          <w:p w14:paraId="3D4C32BC" w14:textId="77777777" w:rsidR="00EF0713" w:rsidRPr="00EF0713" w:rsidRDefault="00EF0713" w:rsidP="00EF0713">
            <w:pPr>
              <w:spacing w:after="200" w:line="276" w:lineRule="auto"/>
              <w:rPr>
                <w:rFonts w:ascii="Times New Roman" w:eastAsia="Calibri" w:hAnsi="Times New Roman" w:cs="Times New Roman"/>
                <w:noProof/>
                <w:sz w:val="20"/>
                <w:szCs w:val="20"/>
              </w:rPr>
            </w:pPr>
            <w:r>
              <w:rPr>
                <w:rFonts w:ascii="Calibri" w:hAnsi="Calibri"/>
                <w:noProof/>
                <w:color w:val="000000"/>
                <w:sz w:val="20"/>
              </w:rPr>
              <w:t>Razvit će se strukturni makroekonomski model hrvatskog gospodarstva za izradu srednjoročnih makroekonomskih prognoza, simulaciju učinaka ekonomskih politika i utjecaja šokova te u konačnici ojačati kapaciteti MINFIN-a za izradu proračunskih prognoza. Početni model razvit će se do kraja 2021. i postat će u potpunosti operativan do sredine 2022., čime će se omogućiti izrada projekcija na kojima se temelji proračun za 2023. Rezultati modela koristit će se za pripremu proračunskih dokumenata, poboljšavajući kvalitetu srednjoročnih proračunskih prognoza, a time i održivost javnih financija.</w:t>
            </w:r>
          </w:p>
        </w:tc>
      </w:tr>
    </w:tbl>
    <w:p w14:paraId="4C0325BB" w14:textId="77777777" w:rsidR="00EF0713" w:rsidRPr="00BC0323" w:rsidRDefault="00EF0713" w:rsidP="00EF0713">
      <w:pPr>
        <w:rPr>
          <w:noProof/>
        </w:rPr>
        <w:sectPr w:rsidR="00EF0713" w:rsidRPr="00BC0323" w:rsidSect="00EF0713">
          <w:headerReference w:type="even" r:id="rId240"/>
          <w:headerReference w:type="default" r:id="rId241"/>
          <w:footerReference w:type="even" r:id="rId242"/>
          <w:footerReference w:type="default" r:id="rId243"/>
          <w:headerReference w:type="first" r:id="rId244"/>
          <w:footerReference w:type="first" r:id="rId245"/>
          <w:pgSz w:w="15840" w:h="12240" w:orient="landscape"/>
          <w:pgMar w:top="1440" w:right="1440" w:bottom="1440" w:left="1701" w:header="708" w:footer="708" w:gutter="0"/>
          <w:cols w:space="708"/>
          <w:docGrid w:linePitch="360"/>
        </w:sectPr>
      </w:pPr>
    </w:p>
    <w:p w14:paraId="11703160" w14:textId="77777777" w:rsidR="00EF0713" w:rsidRDefault="00EF0713" w:rsidP="00EF0713">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N. KOMPONENTA 2.8.: JAČANJE OKVIRA ZA SPREČAVANJE PRANJA NOVCA</w:t>
      </w:r>
    </w:p>
    <w:p w14:paraId="1822E740" w14:textId="77777777" w:rsidR="00EF0713" w:rsidRDefault="00EF0713" w:rsidP="00EF07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Cilj je komponente jačanje kapaciteta hrvatskih tijela (nadzorna tijela, Ured za sprečavanje pranja novca, tijela za kazneni progon) u borbi protiv pranja novca i financiranja terorizma, poboljšanju njihove koordinacije i suradnje i daljnjem informiranju svih uključenih dionika.</w:t>
      </w:r>
    </w:p>
    <w:p w14:paraId="0E0E3EA5" w14:textId="77777777" w:rsidR="00EF0713" w:rsidRDefault="00EF0713" w:rsidP="00EF0713">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Reforma je u skladu s hrvatskim Akcijskim planom za sudjelovanje u ERM-u II.</w:t>
      </w:r>
    </w:p>
    <w:p w14:paraId="538602DA" w14:textId="77777777" w:rsidR="00EF0713" w:rsidRPr="00BC0323" w:rsidRDefault="00EF0713" w:rsidP="00EF0713">
      <w:pPr>
        <w:spacing w:before="120" w:after="120" w:line="240" w:lineRule="auto"/>
        <w:jc w:val="both"/>
        <w:rPr>
          <w:rFonts w:ascii="Times New Roman" w:eastAsia="Times New Roman" w:hAnsi="Times New Roman" w:cs="Times New Roman"/>
          <w:noProof/>
          <w:sz w:val="24"/>
          <w:szCs w:val="24"/>
        </w:rPr>
      </w:pPr>
    </w:p>
    <w:p w14:paraId="572846E7" w14:textId="77777777" w:rsidR="00EF0713" w:rsidRDefault="00EF0713" w:rsidP="00EF0713">
      <w:pPr>
        <w:keepNext/>
        <w:tabs>
          <w:tab w:val="num" w:pos="850"/>
        </w:tabs>
        <w:spacing w:before="40" w:after="0"/>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u w:val="single"/>
        </w:rPr>
        <w:t xml:space="preserve">N.1. </w:t>
      </w:r>
      <w:r>
        <w:rPr>
          <w:rFonts w:ascii="Times New Roman" w:hAnsi="Times New Roman"/>
          <w:b/>
          <w:noProof/>
          <w:sz w:val="24"/>
          <w:u w:val="single"/>
        </w:rPr>
        <w:tab/>
        <w:t>Opis reformi i ulaganja za programe bespovratne financijske potpore</w:t>
      </w:r>
    </w:p>
    <w:p w14:paraId="3F34E05D" w14:textId="77777777" w:rsidR="00EF0713" w:rsidRDefault="00EF0713" w:rsidP="00EF0713">
      <w:pPr>
        <w:keepNext/>
        <w:tabs>
          <w:tab w:val="num" w:pos="850"/>
        </w:tabs>
        <w:spacing w:before="240" w:after="0"/>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u w:val="single"/>
        </w:rPr>
        <w:t>Reforma C2.8. R1 – Educiranje o potrebi sprečavanja pranja novca</w:t>
      </w:r>
    </w:p>
    <w:p w14:paraId="6A901E75" w14:textId="77777777" w:rsidR="00EF0713" w:rsidRDefault="00EF0713" w:rsidP="00EF0713">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rPr>
        <w:t>Cilj je reforme održati učinkovitost financijskog sustava u skladu s međunarodnim normama uz istovremeno sprečavanje nezakonitih financijskih tokova, i to uspostavom okvira za redovito educiranje u svim nadležnim ustanovama i tijelima, radi provedbe mjera za sprečavanje pranja novca.</w:t>
      </w:r>
    </w:p>
    <w:p w14:paraId="35ED6411" w14:textId="77777777" w:rsidR="00EF0713" w:rsidRDefault="00EF0713" w:rsidP="00EF0713">
      <w:pPr>
        <w:jc w:val="both"/>
        <w:rPr>
          <w:noProof/>
        </w:rPr>
      </w:pPr>
      <w:r>
        <w:rPr>
          <w:rFonts w:ascii="Times New Roman" w:hAnsi="Times New Roman"/>
          <w:noProof/>
          <w:sz w:val="24"/>
        </w:rPr>
        <w:t>Provedba je trebala biti dovršena do 31. prosinca 2020.</w:t>
      </w:r>
    </w:p>
    <w:p w14:paraId="6F24B9CA" w14:textId="77777777" w:rsidR="00EF0713" w:rsidRDefault="00EF0713" w:rsidP="00EF0713">
      <w:pPr>
        <w:keepNext/>
        <w:tabs>
          <w:tab w:val="num" w:pos="850"/>
        </w:tabs>
        <w:spacing w:before="240" w:after="0"/>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u w:val="single"/>
        </w:rPr>
        <w:t xml:space="preserve">Reforma C2.8. R2 – Jačanje suradnje Ureda za sprečavanje pranja novca i nadzornih tijela </w:t>
      </w:r>
    </w:p>
    <w:p w14:paraId="6EF85D83" w14:textId="77777777" w:rsidR="00EF0713" w:rsidRDefault="00EF0713" w:rsidP="00EF0713">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rPr>
        <w:t>Cilj je reforme jačanje suradnje Ureda za sprečavanje pranja novca i nadzornih tijela. To će se postići izmjenom sporazuma o suradnji između financijskih nadzornih tijela i Ureda za sprečavanje pranja novca i održavanjem redovnih sastanaka u okviru Međuinstitucionalne radne skupine za sprečavanje pranja novca i financiranja terorizma (MIRS) s ciljem poboljšanja razmjene informacija i dobre prakse u borbi protiv pranja novca i financiranja terorizma.</w:t>
      </w:r>
    </w:p>
    <w:p w14:paraId="4928506B" w14:textId="77777777" w:rsidR="00EF0713" w:rsidRDefault="00EF0713" w:rsidP="00EF0713">
      <w:pPr>
        <w:jc w:val="both"/>
        <w:rPr>
          <w:noProof/>
        </w:rPr>
      </w:pPr>
      <w:r>
        <w:rPr>
          <w:rFonts w:ascii="Times New Roman" w:hAnsi="Times New Roman"/>
          <w:noProof/>
          <w:sz w:val="24"/>
        </w:rPr>
        <w:t>Reforma će biti dovršena do 31. prosinca 2024.</w:t>
      </w:r>
    </w:p>
    <w:p w14:paraId="2AA1ED04" w14:textId="77777777" w:rsidR="00EF0713" w:rsidRDefault="00EF0713" w:rsidP="00EF0713">
      <w:pPr>
        <w:keepNext/>
        <w:tabs>
          <w:tab w:val="num" w:pos="850"/>
        </w:tabs>
        <w:ind w:left="851"/>
        <w:jc w:val="both"/>
        <w:outlineLvl w:val="2"/>
        <w:rPr>
          <w:noProof/>
        </w:rPr>
      </w:pPr>
      <w:r>
        <w:rPr>
          <w:rFonts w:ascii="Times New Roman" w:hAnsi="Times New Roman"/>
          <w:noProof/>
          <w:sz w:val="24"/>
          <w:u w:val="single"/>
        </w:rPr>
        <w:t>Reforma C2.8. R3 – Dovršetak provedbe Akcijskog plana za smanjenje identificiranih rizika od pranja novca i financiranja terorizma</w:t>
      </w:r>
    </w:p>
    <w:p w14:paraId="210E8B9F" w14:textId="77777777" w:rsidR="00EF0713" w:rsidRDefault="00EF0713" w:rsidP="00EF0713">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Opći je cilj reforme provesti Akcijski plan za smanjenje identificiranih rizika od pranja novca i financiranja terorizma u Hrvatskoj koji je donijela Vlada. Akcijski plan sadržava mjere namijenjene, primjerice, jačanju administrativnih kapaciteta Ureda za sprečavanje pranja novca, Financijskog inspektorata i nadzornih tijela, povećanju broja nadzornih aktivnosti, poboljšanju informatičke infrastrukture i pružanju edukacije zaposlenicima svih obveznika provedbe s ciljem jačanja suradnje i administrativnih kapaciteta. </w:t>
      </w:r>
    </w:p>
    <w:p w14:paraId="460F0C15" w14:textId="77777777" w:rsidR="00EF0713" w:rsidRDefault="00EF0713" w:rsidP="00EF0713">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rPr>
        <w:t>Reforma će biti dovršena do 31. prosinca 2021.</w:t>
      </w:r>
    </w:p>
    <w:p w14:paraId="4A4F59BF" w14:textId="77777777" w:rsidR="00EF0713" w:rsidRDefault="00EF0713" w:rsidP="00EF0713">
      <w:pPr>
        <w:keepNext/>
        <w:tabs>
          <w:tab w:val="num" w:pos="850"/>
        </w:tabs>
        <w:ind w:left="851"/>
        <w:jc w:val="both"/>
        <w:outlineLvl w:val="2"/>
        <w:rPr>
          <w:noProof/>
        </w:rPr>
      </w:pPr>
      <w:r>
        <w:rPr>
          <w:rFonts w:ascii="Times New Roman" w:hAnsi="Times New Roman"/>
          <w:noProof/>
          <w:sz w:val="24"/>
          <w:u w:val="single"/>
        </w:rPr>
        <w:t>Reforma C2.8. R4 – Unapređenje nadzora sprečavanja pranja novca i financiranja terorizma koji se temelji na procjeni rizika u financijskom sektoru u Hrvatskoj</w:t>
      </w:r>
    </w:p>
    <w:p w14:paraId="6132BF3D" w14:textId="77777777" w:rsidR="00EF0713" w:rsidRDefault="00EF0713" w:rsidP="00EF0713">
      <w:pPr>
        <w:jc w:val="both"/>
        <w:rPr>
          <w:noProof/>
        </w:rPr>
      </w:pPr>
      <w:r>
        <w:rPr>
          <w:rFonts w:ascii="Times New Roman" w:hAnsi="Times New Roman"/>
          <w:noProof/>
          <w:sz w:val="24"/>
        </w:rPr>
        <w:t>Glavni cilj reforme je ojačati institucionalne i administrativne kapacitete provedbom preporuka izdanih u okviru Instrumenta tehničke pomoći o razvoju pristupa temeljenog na procjeni rizika u borbi protiv pranja novca i nadzora sprečavanja pranja novca</w:t>
      </w:r>
      <w:r>
        <w:rPr>
          <w:rFonts w:ascii="Times New Roman" w:hAnsi="Times New Roman"/>
          <w:noProof/>
          <w:sz w:val="20"/>
        </w:rPr>
        <w:t xml:space="preserve">. </w:t>
      </w:r>
    </w:p>
    <w:p w14:paraId="72DF729B" w14:textId="77777777" w:rsidR="00EF0713" w:rsidRDefault="00EF0713" w:rsidP="00EF0713">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Reformom se doprinosi općem poboljšanju okvira za sprečavanje pranja novca i financiranja terorizma u Hrvatskoj te istodobno olakšava ispunjenje obveza iz Akcijskog plana za sudjelovanje u ERM-u II. </w:t>
      </w:r>
    </w:p>
    <w:p w14:paraId="041D0725" w14:textId="46C82150" w:rsidR="00733DCA" w:rsidRDefault="00EF0713" w:rsidP="00EF0713">
      <w:pPr>
        <w:rPr>
          <w:rFonts w:ascii="Times New Roman" w:eastAsiaTheme="minorEastAsia" w:hAnsi="Times New Roman" w:cs="Times New Roman"/>
          <w:noProof/>
          <w:sz w:val="24"/>
          <w:szCs w:val="24"/>
        </w:rPr>
      </w:pPr>
      <w:r>
        <w:rPr>
          <w:rFonts w:ascii="Times New Roman" w:hAnsi="Times New Roman"/>
          <w:noProof/>
          <w:sz w:val="24"/>
        </w:rPr>
        <w:t>Reforma će biti dovršena do 31. prosinca 2025.</w:t>
      </w:r>
    </w:p>
    <w:p w14:paraId="168C0A2D" w14:textId="77777777" w:rsidR="00EF0713" w:rsidRDefault="00EF0713" w:rsidP="00EF0713">
      <w:pPr>
        <w:rPr>
          <w:noProof/>
          <w:lang w:val="en-GB"/>
        </w:rPr>
        <w:sectPr w:rsidR="00EF0713" w:rsidSect="00EF0713">
          <w:headerReference w:type="even" r:id="rId246"/>
          <w:headerReference w:type="default" r:id="rId247"/>
          <w:footerReference w:type="even" r:id="rId248"/>
          <w:footerReference w:type="default" r:id="rId249"/>
          <w:headerReference w:type="first" r:id="rId250"/>
          <w:footerReference w:type="first" r:id="rId251"/>
          <w:pgSz w:w="12240" w:h="15840"/>
          <w:pgMar w:top="1440" w:right="1440" w:bottom="1701" w:left="1440" w:header="708" w:footer="708" w:gutter="0"/>
          <w:cols w:space="708"/>
          <w:docGrid w:linePitch="360"/>
        </w:sectPr>
      </w:pPr>
    </w:p>
    <w:p w14:paraId="65102295" w14:textId="77777777" w:rsidR="00EF0713" w:rsidRDefault="00EF0713" w:rsidP="00EF0713">
      <w:pPr>
        <w:keepNext/>
        <w:tabs>
          <w:tab w:val="num" w:pos="850"/>
        </w:tabs>
        <w:spacing w:before="40" w:after="0"/>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u w:val="single"/>
        </w:rPr>
        <w:t xml:space="preserve">N.2. </w:t>
      </w:r>
      <w:r>
        <w:rPr>
          <w:rFonts w:ascii="Times New Roman" w:hAnsi="Times New Roman"/>
          <w:b/>
          <w:noProof/>
          <w:sz w:val="24"/>
          <w:u w:val="single"/>
        </w:rPr>
        <w:tab/>
        <w:t>Ključne etape, ciljne vrijednosti, pokazatelji i vremenski raspored za praćenje i provedbu programa bespovratne financijske potpore</w:t>
      </w:r>
    </w:p>
    <w:p w14:paraId="370B8F76" w14:textId="77777777" w:rsidR="00EF0713" w:rsidRDefault="00EF0713" w:rsidP="00EF0713">
      <w:pPr>
        <w:keepNext/>
        <w:tabs>
          <w:tab w:val="num" w:pos="850"/>
        </w:tabs>
        <w:spacing w:before="40" w:after="0"/>
        <w:ind w:left="851"/>
        <w:jc w:val="both"/>
        <w:outlineLvl w:val="1"/>
        <w:rPr>
          <w:rFonts w:ascii="Times New Roman" w:eastAsiaTheme="minorEastAsia" w:hAnsi="Times New Roman" w:cs="Times New Roman"/>
          <w:b/>
          <w:noProof/>
          <w:sz w:val="24"/>
          <w:szCs w:val="24"/>
          <w:u w:val="single"/>
        </w:rPr>
      </w:pPr>
    </w:p>
    <w:tbl>
      <w:tblPr>
        <w:tblW w:w="14650" w:type="dxa"/>
        <w:jc w:val="center"/>
        <w:tblLayout w:type="fixed"/>
        <w:tblCellMar>
          <w:top w:w="28" w:type="dxa"/>
          <w:left w:w="28" w:type="dxa"/>
          <w:bottom w:w="28" w:type="dxa"/>
          <w:right w:w="28" w:type="dxa"/>
        </w:tblCellMar>
        <w:tblLook w:val="04A0" w:firstRow="1" w:lastRow="0" w:firstColumn="1" w:lastColumn="0" w:noHBand="0" w:noVBand="1"/>
      </w:tblPr>
      <w:tblGrid>
        <w:gridCol w:w="696"/>
        <w:gridCol w:w="835"/>
        <w:gridCol w:w="835"/>
        <w:gridCol w:w="1668"/>
        <w:gridCol w:w="3292"/>
        <w:gridCol w:w="992"/>
        <w:gridCol w:w="992"/>
        <w:gridCol w:w="709"/>
        <w:gridCol w:w="425"/>
        <w:gridCol w:w="709"/>
        <w:gridCol w:w="3497"/>
      </w:tblGrid>
      <w:tr w:rsidR="00BD1A7F" w14:paraId="61454233" w14:textId="77777777" w:rsidTr="00C845C4">
        <w:trPr>
          <w:tblHeader/>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8B79D5" w14:textId="77777777" w:rsidR="00EF0713" w:rsidRDefault="00EF0713" w:rsidP="00C845C4">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CDC3A8" w14:textId="77777777" w:rsidR="00EF0713" w:rsidRDefault="00EF0713" w:rsidP="00C845C4">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D7F7B8" w14:textId="77777777" w:rsidR="00EF0713" w:rsidRDefault="00EF0713" w:rsidP="00C845C4">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473912" w14:textId="77777777" w:rsidR="00EF0713" w:rsidRDefault="00EF0713" w:rsidP="00C845C4">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32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65183D" w14:textId="77777777" w:rsidR="00EF0713" w:rsidRDefault="00EF0713" w:rsidP="00C845C4">
            <w:pPr>
              <w:spacing w:after="0"/>
              <w:ind w:right="-72"/>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25FDEE9" w14:textId="77777777" w:rsidR="00EF0713" w:rsidRDefault="00EF0713" w:rsidP="00C845C4">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72F76922" w14:textId="77777777" w:rsidR="00EF0713" w:rsidRDefault="00EF0713"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 xml:space="preserve">Indikativni vremenski plan dovršetka </w:t>
            </w:r>
          </w:p>
        </w:tc>
        <w:tc>
          <w:tcPr>
            <w:tcW w:w="34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892B0D" w14:textId="77777777" w:rsidR="00EF0713" w:rsidRDefault="00EF0713" w:rsidP="00C845C4">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BD1A7F" w14:paraId="11618F99" w14:textId="77777777" w:rsidTr="00C845C4">
        <w:trPr>
          <w:tblHeader/>
          <w:jc w:val="center"/>
        </w:trPr>
        <w:tc>
          <w:tcPr>
            <w:tcW w:w="696" w:type="dxa"/>
            <w:vMerge/>
            <w:tcBorders>
              <w:top w:val="single" w:sz="4" w:space="0" w:color="auto"/>
              <w:left w:val="single" w:sz="4" w:space="0" w:color="auto"/>
              <w:bottom w:val="single" w:sz="4" w:space="0" w:color="auto"/>
              <w:right w:val="single" w:sz="4" w:space="0" w:color="auto"/>
            </w:tcBorders>
            <w:hideMark/>
          </w:tcPr>
          <w:p w14:paraId="39098C5F" w14:textId="77777777" w:rsidR="00EF0713" w:rsidRDefault="00EF0713" w:rsidP="0001477B">
            <w:pPr>
              <w:spacing w:after="0"/>
              <w:jc w:val="center"/>
              <w:rPr>
                <w:rFonts w:ascii="Times New Roman" w:eastAsia="Times New Roman" w:hAnsi="Times New Roman" w:cs="Times New Roman"/>
                <w:b/>
                <w:noProof/>
                <w:lang w:eastAsia="en-GB"/>
              </w:rPr>
            </w:pPr>
          </w:p>
        </w:tc>
        <w:tc>
          <w:tcPr>
            <w:tcW w:w="835" w:type="dxa"/>
            <w:vMerge/>
            <w:tcBorders>
              <w:top w:val="single" w:sz="4" w:space="0" w:color="auto"/>
              <w:left w:val="single" w:sz="4" w:space="0" w:color="auto"/>
              <w:bottom w:val="single" w:sz="4" w:space="0" w:color="auto"/>
              <w:right w:val="single" w:sz="4" w:space="0" w:color="auto"/>
            </w:tcBorders>
            <w:hideMark/>
          </w:tcPr>
          <w:p w14:paraId="3E5AFD4A" w14:textId="77777777" w:rsidR="00EF0713" w:rsidRDefault="00EF0713" w:rsidP="0001477B">
            <w:pPr>
              <w:spacing w:after="0"/>
              <w:jc w:val="center"/>
              <w:rPr>
                <w:rFonts w:ascii="Times New Roman" w:eastAsia="Times New Roman" w:hAnsi="Times New Roman" w:cs="Times New Roman"/>
                <w:b/>
                <w:noProof/>
                <w:lang w:eastAsia="en-GB"/>
              </w:rPr>
            </w:pPr>
          </w:p>
        </w:tc>
        <w:tc>
          <w:tcPr>
            <w:tcW w:w="835" w:type="dxa"/>
            <w:vMerge/>
            <w:tcBorders>
              <w:top w:val="single" w:sz="4" w:space="0" w:color="auto"/>
              <w:left w:val="single" w:sz="4" w:space="0" w:color="auto"/>
              <w:bottom w:val="single" w:sz="4" w:space="0" w:color="auto"/>
              <w:right w:val="single" w:sz="4" w:space="0" w:color="auto"/>
            </w:tcBorders>
            <w:hideMark/>
          </w:tcPr>
          <w:p w14:paraId="43B3E57C" w14:textId="77777777" w:rsidR="00EF0713" w:rsidRDefault="00EF0713" w:rsidP="0001477B">
            <w:pPr>
              <w:spacing w:after="0"/>
              <w:jc w:val="center"/>
              <w:rPr>
                <w:rFonts w:ascii="Times New Roman" w:eastAsia="Times New Roman" w:hAnsi="Times New Roman" w:cs="Times New Roman"/>
                <w:b/>
                <w:noProof/>
                <w:lang w:eastAsia="en-GB"/>
              </w:rPr>
            </w:pPr>
          </w:p>
        </w:tc>
        <w:tc>
          <w:tcPr>
            <w:tcW w:w="1668" w:type="dxa"/>
            <w:vMerge/>
            <w:tcBorders>
              <w:top w:val="single" w:sz="4" w:space="0" w:color="auto"/>
              <w:left w:val="single" w:sz="4" w:space="0" w:color="auto"/>
              <w:bottom w:val="single" w:sz="4" w:space="0" w:color="auto"/>
              <w:right w:val="single" w:sz="4" w:space="0" w:color="auto"/>
            </w:tcBorders>
            <w:hideMark/>
          </w:tcPr>
          <w:p w14:paraId="6777AB93" w14:textId="77777777" w:rsidR="00EF0713" w:rsidRDefault="00EF0713" w:rsidP="0001477B">
            <w:pPr>
              <w:spacing w:after="0"/>
              <w:rPr>
                <w:rFonts w:ascii="Times New Roman" w:eastAsia="Times New Roman" w:hAnsi="Times New Roman" w:cs="Times New Roman"/>
                <w:b/>
                <w:noProof/>
                <w:lang w:eastAsia="en-GB"/>
              </w:rPr>
            </w:pPr>
          </w:p>
        </w:tc>
        <w:tc>
          <w:tcPr>
            <w:tcW w:w="3292" w:type="dxa"/>
            <w:vMerge/>
            <w:tcBorders>
              <w:top w:val="single" w:sz="4" w:space="0" w:color="auto"/>
              <w:left w:val="single" w:sz="4" w:space="0" w:color="auto"/>
              <w:bottom w:val="single" w:sz="4" w:space="0" w:color="auto"/>
              <w:right w:val="single" w:sz="4" w:space="0" w:color="auto"/>
            </w:tcBorders>
            <w:hideMark/>
          </w:tcPr>
          <w:p w14:paraId="74FE04F5" w14:textId="77777777" w:rsidR="00EF0713" w:rsidRDefault="00EF0713" w:rsidP="0001477B">
            <w:pPr>
              <w:spacing w:after="0"/>
              <w:rPr>
                <w:rFonts w:ascii="Times New Roman" w:eastAsia="Times New Roman" w:hAnsi="Times New Roman" w:cs="Times New Roman"/>
                <w:b/>
                <w:noProof/>
                <w:lang w:eastAsia="en-GB"/>
              </w:rPr>
            </w:pPr>
          </w:p>
        </w:tc>
        <w:tc>
          <w:tcPr>
            <w:tcW w:w="992" w:type="dxa"/>
            <w:tcBorders>
              <w:top w:val="nil"/>
              <w:left w:val="single" w:sz="4" w:space="0" w:color="auto"/>
              <w:bottom w:val="single" w:sz="4" w:space="0" w:color="auto"/>
              <w:right w:val="single" w:sz="4" w:space="0" w:color="auto"/>
            </w:tcBorders>
            <w:shd w:val="clear" w:color="auto" w:fill="BDD7EE"/>
            <w:hideMark/>
          </w:tcPr>
          <w:p w14:paraId="5011340C" w14:textId="77777777" w:rsidR="00EF0713" w:rsidRDefault="00EF0713"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992" w:type="dxa"/>
            <w:tcBorders>
              <w:top w:val="nil"/>
              <w:left w:val="nil"/>
              <w:bottom w:val="single" w:sz="4" w:space="0" w:color="auto"/>
              <w:right w:val="single" w:sz="4" w:space="0" w:color="auto"/>
            </w:tcBorders>
            <w:shd w:val="clear" w:color="auto" w:fill="BDD7EE"/>
            <w:hideMark/>
          </w:tcPr>
          <w:p w14:paraId="3F0692BE" w14:textId="77777777" w:rsidR="00EF0713" w:rsidRDefault="00EF0713"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709" w:type="dxa"/>
            <w:tcBorders>
              <w:top w:val="nil"/>
              <w:left w:val="nil"/>
              <w:bottom w:val="single" w:sz="4" w:space="0" w:color="auto"/>
              <w:right w:val="single" w:sz="4" w:space="0" w:color="auto"/>
            </w:tcBorders>
            <w:shd w:val="clear" w:color="auto" w:fill="BDD7EE"/>
            <w:hideMark/>
          </w:tcPr>
          <w:p w14:paraId="7A384974" w14:textId="77777777" w:rsidR="00EF0713" w:rsidRDefault="00EF0713"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hideMark/>
          </w:tcPr>
          <w:p w14:paraId="5C66DD73" w14:textId="77777777" w:rsidR="00EF0713" w:rsidRDefault="00EF0713"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nil"/>
              <w:left w:val="nil"/>
              <w:bottom w:val="single" w:sz="4" w:space="0" w:color="auto"/>
              <w:right w:val="single" w:sz="4" w:space="0" w:color="auto"/>
            </w:tcBorders>
            <w:shd w:val="clear" w:color="auto" w:fill="BDD7EE"/>
            <w:hideMark/>
          </w:tcPr>
          <w:p w14:paraId="714A7DC9" w14:textId="77777777" w:rsidR="00EF0713" w:rsidRDefault="00EF0713"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497" w:type="dxa"/>
            <w:vMerge/>
            <w:tcBorders>
              <w:top w:val="single" w:sz="4" w:space="0" w:color="auto"/>
              <w:bottom w:val="single" w:sz="4" w:space="0" w:color="auto"/>
              <w:right w:val="single" w:sz="4" w:space="0" w:color="auto"/>
            </w:tcBorders>
            <w:hideMark/>
          </w:tcPr>
          <w:p w14:paraId="51C86F45" w14:textId="77777777" w:rsidR="00EF0713" w:rsidRDefault="00EF0713" w:rsidP="0001477B">
            <w:pPr>
              <w:spacing w:after="0"/>
              <w:rPr>
                <w:rFonts w:ascii="Times New Roman" w:eastAsia="Times New Roman" w:hAnsi="Times New Roman" w:cs="Times New Roman"/>
                <w:b/>
                <w:noProof/>
                <w:lang w:eastAsia="en-GB"/>
              </w:rPr>
            </w:pPr>
          </w:p>
        </w:tc>
      </w:tr>
      <w:tr w:rsidR="00BD1A7F" w14:paraId="2A27D876" w14:textId="77777777" w:rsidTr="00C845C4">
        <w:trPr>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tcPr>
          <w:p w14:paraId="66CE98C7" w14:textId="77777777" w:rsidR="00EF0713" w:rsidRDefault="00EF0713" w:rsidP="0001477B">
            <w:pPr>
              <w:spacing w:after="0"/>
              <w:jc w:val="center"/>
              <w:rPr>
                <w:rFonts w:ascii="Times New Roman" w:hAnsi="Times New Roman" w:cs="Times New Roman"/>
                <w:noProof/>
                <w:sz w:val="20"/>
                <w:szCs w:val="20"/>
              </w:rPr>
            </w:pPr>
            <w:r>
              <w:rPr>
                <w:noProof/>
                <w:color w:val="000000"/>
                <w:sz w:val="20"/>
              </w:rPr>
              <w:t>250</w:t>
            </w:r>
          </w:p>
        </w:tc>
        <w:tc>
          <w:tcPr>
            <w:tcW w:w="835" w:type="dxa"/>
            <w:tcBorders>
              <w:top w:val="single" w:sz="4" w:space="0" w:color="auto"/>
              <w:left w:val="nil"/>
              <w:bottom w:val="single" w:sz="4" w:space="0" w:color="auto"/>
              <w:right w:val="single" w:sz="4" w:space="0" w:color="auto"/>
            </w:tcBorders>
            <w:shd w:val="clear" w:color="auto" w:fill="C6EFCE"/>
            <w:noWrap/>
          </w:tcPr>
          <w:p w14:paraId="1EC7ECFA" w14:textId="77777777" w:rsidR="00EF0713" w:rsidRDefault="00EF0713" w:rsidP="0001477B">
            <w:pPr>
              <w:jc w:val="center"/>
              <w:rPr>
                <w:rFonts w:ascii="Times New Roman" w:hAnsi="Times New Roman" w:cs="Times New Roman"/>
                <w:noProof/>
                <w:sz w:val="20"/>
                <w:szCs w:val="20"/>
              </w:rPr>
            </w:pPr>
            <w:r>
              <w:rPr>
                <w:noProof/>
                <w:color w:val="000000"/>
                <w:sz w:val="20"/>
              </w:rPr>
              <w:t>C2.8. R1</w:t>
            </w:r>
          </w:p>
        </w:tc>
        <w:tc>
          <w:tcPr>
            <w:tcW w:w="835" w:type="dxa"/>
            <w:tcBorders>
              <w:top w:val="single" w:sz="4" w:space="0" w:color="auto"/>
              <w:left w:val="nil"/>
              <w:bottom w:val="single" w:sz="4" w:space="0" w:color="auto"/>
              <w:right w:val="single" w:sz="4" w:space="0" w:color="auto"/>
            </w:tcBorders>
            <w:shd w:val="clear" w:color="auto" w:fill="C6EFCE"/>
            <w:noWrap/>
          </w:tcPr>
          <w:p w14:paraId="76DAEEC3" w14:textId="77777777" w:rsidR="00EF0713" w:rsidRDefault="00EF0713" w:rsidP="0001477B">
            <w:pPr>
              <w:jc w:val="center"/>
              <w:rPr>
                <w:rFonts w:ascii="Times New Roman" w:hAnsi="Times New Roman" w:cs="Times New Roman"/>
                <w:noProof/>
                <w:sz w:val="20"/>
                <w:szCs w:val="20"/>
              </w:rPr>
            </w:pPr>
            <w:r>
              <w:rPr>
                <w:noProof/>
                <w:color w:val="000000"/>
                <w:sz w:val="20"/>
              </w:rPr>
              <w:t>Ključna etapa</w:t>
            </w:r>
          </w:p>
        </w:tc>
        <w:tc>
          <w:tcPr>
            <w:tcW w:w="1668" w:type="dxa"/>
            <w:tcBorders>
              <w:top w:val="single" w:sz="4" w:space="0" w:color="auto"/>
              <w:left w:val="nil"/>
              <w:bottom w:val="single" w:sz="4" w:space="0" w:color="auto"/>
              <w:right w:val="single" w:sz="4" w:space="0" w:color="auto"/>
            </w:tcBorders>
            <w:shd w:val="clear" w:color="auto" w:fill="C6EFCE"/>
            <w:noWrap/>
          </w:tcPr>
          <w:p w14:paraId="480694AB" w14:textId="77777777" w:rsidR="00EF0713" w:rsidRDefault="00EF0713" w:rsidP="0001477B">
            <w:pPr>
              <w:rPr>
                <w:rFonts w:ascii="Times New Roman" w:hAnsi="Times New Roman" w:cs="Times New Roman"/>
                <w:noProof/>
                <w:sz w:val="20"/>
                <w:szCs w:val="20"/>
              </w:rPr>
            </w:pPr>
            <w:r>
              <w:rPr>
                <w:noProof/>
                <w:color w:val="000000"/>
                <w:sz w:val="20"/>
              </w:rPr>
              <w:t>Redovito educiranje svih nadležnih tijela</w:t>
            </w:r>
          </w:p>
        </w:tc>
        <w:tc>
          <w:tcPr>
            <w:tcW w:w="3292" w:type="dxa"/>
            <w:tcBorders>
              <w:top w:val="single" w:sz="4" w:space="0" w:color="auto"/>
              <w:left w:val="nil"/>
              <w:bottom w:val="single" w:sz="4" w:space="0" w:color="auto"/>
              <w:right w:val="single" w:sz="4" w:space="0" w:color="auto"/>
            </w:tcBorders>
            <w:shd w:val="clear" w:color="auto" w:fill="C6EFCE"/>
            <w:noWrap/>
          </w:tcPr>
          <w:p w14:paraId="3F823844" w14:textId="77777777" w:rsidR="00EF0713" w:rsidRDefault="00EF0713" w:rsidP="0001477B">
            <w:pPr>
              <w:rPr>
                <w:rFonts w:ascii="Times New Roman" w:hAnsi="Times New Roman" w:cs="Times New Roman"/>
                <w:noProof/>
                <w:sz w:val="20"/>
                <w:szCs w:val="20"/>
              </w:rPr>
            </w:pPr>
            <w:r>
              <w:rPr>
                <w:noProof/>
                <w:color w:val="000000"/>
                <w:sz w:val="20"/>
              </w:rPr>
              <w:t>Uspostavljen okvir za kontinuirano osposobljavanje zaposlenika obveznika izvještavanja o sprečavanju pranja novca i financiranja terorizma</w:t>
            </w:r>
          </w:p>
        </w:tc>
        <w:tc>
          <w:tcPr>
            <w:tcW w:w="992" w:type="dxa"/>
            <w:tcBorders>
              <w:top w:val="nil"/>
              <w:left w:val="nil"/>
              <w:bottom w:val="single" w:sz="4" w:space="0" w:color="auto"/>
              <w:right w:val="single" w:sz="4" w:space="0" w:color="auto"/>
            </w:tcBorders>
            <w:shd w:val="clear" w:color="auto" w:fill="C6EFCE"/>
            <w:noWrap/>
          </w:tcPr>
          <w:p w14:paraId="01B561DF"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992" w:type="dxa"/>
            <w:tcBorders>
              <w:top w:val="nil"/>
              <w:left w:val="nil"/>
              <w:bottom w:val="single" w:sz="4" w:space="0" w:color="auto"/>
              <w:right w:val="single" w:sz="4" w:space="0" w:color="auto"/>
            </w:tcBorders>
            <w:shd w:val="clear" w:color="auto" w:fill="C6EFCE"/>
            <w:noWrap/>
          </w:tcPr>
          <w:p w14:paraId="26786155"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733AD1FE"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3297057F" w14:textId="77777777" w:rsidR="00EF0713" w:rsidRDefault="00EF0713"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66BA954D" w14:textId="77777777" w:rsidR="00EF0713" w:rsidRDefault="00EF0713" w:rsidP="0001477B">
            <w:pPr>
              <w:jc w:val="center"/>
              <w:rPr>
                <w:rFonts w:ascii="Times New Roman" w:hAnsi="Times New Roman" w:cs="Times New Roman"/>
                <w:noProof/>
                <w:sz w:val="20"/>
                <w:szCs w:val="20"/>
              </w:rPr>
            </w:pPr>
            <w:r>
              <w:rPr>
                <w:noProof/>
                <w:color w:val="000000"/>
                <w:sz w:val="20"/>
              </w:rPr>
              <w:t>2020</w:t>
            </w:r>
          </w:p>
        </w:tc>
        <w:tc>
          <w:tcPr>
            <w:tcW w:w="3497" w:type="dxa"/>
            <w:tcBorders>
              <w:top w:val="single" w:sz="4" w:space="0" w:color="auto"/>
              <w:left w:val="nil"/>
              <w:bottom w:val="single" w:sz="4" w:space="0" w:color="auto"/>
              <w:right w:val="single" w:sz="4" w:space="0" w:color="auto"/>
            </w:tcBorders>
            <w:shd w:val="clear" w:color="auto" w:fill="C6EFCE"/>
            <w:noWrap/>
          </w:tcPr>
          <w:p w14:paraId="1EFEA5B5" w14:textId="77777777" w:rsidR="00EF0713" w:rsidRDefault="00EF0713" w:rsidP="0001477B">
            <w:pPr>
              <w:rPr>
                <w:rFonts w:ascii="Times New Roman" w:hAnsi="Times New Roman" w:cs="Times New Roman"/>
                <w:noProof/>
                <w:sz w:val="20"/>
                <w:szCs w:val="20"/>
              </w:rPr>
            </w:pPr>
            <w:r>
              <w:rPr>
                <w:noProof/>
                <w:color w:val="000000"/>
                <w:sz w:val="20"/>
              </w:rPr>
              <w:t>Okvir za kontinuirano usavršavanje osoblja svih izvještajnih institucija i nadležnih tijela, uključujući službenike za praćenje sprečavanja pranja novca i upravljanje kreditnim institucijama, koje provode nadzorna tijela i Ured za sprečavanje pranja novca. Inicijative usavršavanja predviđene u sklopu okvira usredotočit će se na informiranje o pristupu temeljenom na procjeni rizika pri provedbi mjera dubinske analize korisnika i o obvezi prijave sumnjivih aktivnosti. Okvirom je predviđeno da nadzorna tijela i Ured za sprečavanje pranja novca ustanovama i tijelima redovito dostavljaju ažurirane informacije o novostima u području pranja novca.</w:t>
            </w:r>
          </w:p>
        </w:tc>
      </w:tr>
      <w:tr w:rsidR="00BD1A7F" w14:paraId="655589DA" w14:textId="77777777" w:rsidTr="00BD1A7F">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55A7FA30" w14:textId="77777777" w:rsidR="00EF0713" w:rsidRDefault="00EF0713" w:rsidP="0001477B">
            <w:pPr>
              <w:jc w:val="center"/>
              <w:rPr>
                <w:rFonts w:ascii="Times New Roman" w:hAnsi="Times New Roman" w:cs="Times New Roman"/>
                <w:noProof/>
                <w:sz w:val="20"/>
                <w:szCs w:val="20"/>
              </w:rPr>
            </w:pPr>
            <w:r>
              <w:rPr>
                <w:noProof/>
                <w:color w:val="000000"/>
                <w:sz w:val="20"/>
              </w:rPr>
              <w:t>251</w:t>
            </w:r>
          </w:p>
        </w:tc>
        <w:tc>
          <w:tcPr>
            <w:tcW w:w="835" w:type="dxa"/>
            <w:tcBorders>
              <w:top w:val="nil"/>
              <w:left w:val="nil"/>
              <w:bottom w:val="single" w:sz="4" w:space="0" w:color="auto"/>
              <w:right w:val="single" w:sz="4" w:space="0" w:color="auto"/>
            </w:tcBorders>
            <w:shd w:val="clear" w:color="auto" w:fill="C6EFCE"/>
            <w:noWrap/>
          </w:tcPr>
          <w:p w14:paraId="2835DCAE" w14:textId="77777777" w:rsidR="00EF0713" w:rsidRDefault="00EF0713" w:rsidP="0001477B">
            <w:pPr>
              <w:jc w:val="center"/>
              <w:rPr>
                <w:rFonts w:ascii="Times New Roman" w:hAnsi="Times New Roman" w:cs="Times New Roman"/>
                <w:noProof/>
                <w:sz w:val="20"/>
                <w:szCs w:val="20"/>
              </w:rPr>
            </w:pPr>
            <w:r>
              <w:rPr>
                <w:noProof/>
                <w:color w:val="000000"/>
                <w:sz w:val="20"/>
              </w:rPr>
              <w:t>C2.8. R2</w:t>
            </w:r>
          </w:p>
        </w:tc>
        <w:tc>
          <w:tcPr>
            <w:tcW w:w="835" w:type="dxa"/>
            <w:tcBorders>
              <w:top w:val="nil"/>
              <w:left w:val="nil"/>
              <w:bottom w:val="single" w:sz="4" w:space="0" w:color="auto"/>
              <w:right w:val="single" w:sz="4" w:space="0" w:color="auto"/>
            </w:tcBorders>
            <w:shd w:val="clear" w:color="auto" w:fill="C6EFCE"/>
            <w:noWrap/>
          </w:tcPr>
          <w:p w14:paraId="355FBF80" w14:textId="77777777" w:rsidR="00EF0713" w:rsidRDefault="00EF0713" w:rsidP="0001477B">
            <w:pPr>
              <w:jc w:val="center"/>
              <w:rPr>
                <w:rFonts w:ascii="Times New Roman" w:hAnsi="Times New Roman" w:cs="Times New Roman"/>
                <w:noProof/>
                <w:sz w:val="20"/>
                <w:szCs w:val="20"/>
              </w:rPr>
            </w:pPr>
            <w:r>
              <w:rPr>
                <w:noProof/>
                <w:color w:val="000000"/>
                <w:sz w:val="20"/>
              </w:rPr>
              <w:t>Ključna etapa</w:t>
            </w:r>
          </w:p>
        </w:tc>
        <w:tc>
          <w:tcPr>
            <w:tcW w:w="1668" w:type="dxa"/>
            <w:tcBorders>
              <w:top w:val="nil"/>
              <w:left w:val="nil"/>
              <w:bottom w:val="single" w:sz="4" w:space="0" w:color="auto"/>
              <w:right w:val="single" w:sz="4" w:space="0" w:color="auto"/>
            </w:tcBorders>
            <w:shd w:val="clear" w:color="auto" w:fill="C6EFCE"/>
            <w:noWrap/>
          </w:tcPr>
          <w:p w14:paraId="3542657F" w14:textId="77777777" w:rsidR="00EF0713" w:rsidRDefault="00EF0713" w:rsidP="0001477B">
            <w:pPr>
              <w:rPr>
                <w:rFonts w:ascii="Times New Roman" w:hAnsi="Times New Roman" w:cs="Times New Roman"/>
                <w:noProof/>
                <w:sz w:val="20"/>
                <w:szCs w:val="20"/>
              </w:rPr>
            </w:pPr>
            <w:r>
              <w:rPr>
                <w:noProof/>
                <w:color w:val="000000"/>
                <w:sz w:val="20"/>
              </w:rPr>
              <w:t xml:space="preserve">Nastavak suradnje Ureda za sprečavanje pranja novca i nadzornih tijela </w:t>
            </w:r>
          </w:p>
        </w:tc>
        <w:tc>
          <w:tcPr>
            <w:tcW w:w="3292" w:type="dxa"/>
            <w:tcBorders>
              <w:top w:val="nil"/>
              <w:left w:val="nil"/>
              <w:bottom w:val="single" w:sz="4" w:space="0" w:color="auto"/>
              <w:right w:val="single" w:sz="4" w:space="0" w:color="auto"/>
            </w:tcBorders>
            <w:shd w:val="clear" w:color="auto" w:fill="C6EFCE"/>
            <w:noWrap/>
          </w:tcPr>
          <w:p w14:paraId="4F3C845D" w14:textId="77777777" w:rsidR="00EF0713" w:rsidRDefault="00EF0713" w:rsidP="0001477B">
            <w:pPr>
              <w:rPr>
                <w:rFonts w:ascii="Times New Roman" w:hAnsi="Times New Roman" w:cs="Times New Roman"/>
                <w:noProof/>
                <w:sz w:val="20"/>
                <w:szCs w:val="20"/>
              </w:rPr>
            </w:pPr>
            <w:r>
              <w:rPr>
                <w:noProof/>
                <w:color w:val="000000"/>
                <w:sz w:val="20"/>
              </w:rPr>
              <w:t>Potpisan je ažurirani sporazum o suradnji između Ureda za sprečavanje pranja novca i nadzornih tijela o razmjeni informacija i suradnji</w:t>
            </w:r>
          </w:p>
        </w:tc>
        <w:tc>
          <w:tcPr>
            <w:tcW w:w="992" w:type="dxa"/>
            <w:tcBorders>
              <w:top w:val="nil"/>
              <w:left w:val="nil"/>
              <w:bottom w:val="single" w:sz="4" w:space="0" w:color="auto"/>
              <w:right w:val="single" w:sz="4" w:space="0" w:color="auto"/>
            </w:tcBorders>
            <w:shd w:val="clear" w:color="auto" w:fill="C6EFCE"/>
            <w:noWrap/>
          </w:tcPr>
          <w:p w14:paraId="5FAECBB6"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992" w:type="dxa"/>
            <w:tcBorders>
              <w:top w:val="nil"/>
              <w:left w:val="nil"/>
              <w:bottom w:val="single" w:sz="4" w:space="0" w:color="auto"/>
              <w:right w:val="single" w:sz="4" w:space="0" w:color="auto"/>
            </w:tcBorders>
            <w:shd w:val="clear" w:color="auto" w:fill="C6EFCE"/>
            <w:noWrap/>
          </w:tcPr>
          <w:p w14:paraId="4FC9DC7C"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0E1C52F2"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FA6D5D8" w14:textId="77777777" w:rsidR="00EF0713" w:rsidRDefault="00EF0713"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6E66A7B1" w14:textId="77777777" w:rsidR="00EF0713" w:rsidRDefault="00EF0713" w:rsidP="0001477B">
            <w:pPr>
              <w:jc w:val="center"/>
              <w:rPr>
                <w:rFonts w:ascii="Times New Roman" w:hAnsi="Times New Roman" w:cs="Times New Roman"/>
                <w:noProof/>
                <w:sz w:val="20"/>
                <w:szCs w:val="20"/>
              </w:rPr>
            </w:pPr>
            <w:r>
              <w:rPr>
                <w:noProof/>
                <w:color w:val="000000"/>
                <w:sz w:val="20"/>
              </w:rPr>
              <w:t>2020</w:t>
            </w:r>
          </w:p>
        </w:tc>
        <w:tc>
          <w:tcPr>
            <w:tcW w:w="3497" w:type="dxa"/>
            <w:tcBorders>
              <w:top w:val="nil"/>
              <w:left w:val="nil"/>
              <w:bottom w:val="single" w:sz="4" w:space="0" w:color="auto"/>
              <w:right w:val="single" w:sz="4" w:space="0" w:color="auto"/>
            </w:tcBorders>
            <w:shd w:val="clear" w:color="auto" w:fill="C6EFCE"/>
            <w:noWrap/>
          </w:tcPr>
          <w:p w14:paraId="733C249D" w14:textId="1ED5B5FF" w:rsidR="00EF0713" w:rsidRDefault="00EF0713" w:rsidP="0001477B">
            <w:pPr>
              <w:spacing w:after="0"/>
              <w:rPr>
                <w:rFonts w:ascii="Times New Roman" w:hAnsi="Times New Roman" w:cs="Times New Roman"/>
                <w:noProof/>
                <w:sz w:val="20"/>
                <w:szCs w:val="20"/>
              </w:rPr>
            </w:pPr>
            <w:r>
              <w:rPr>
                <w:noProof/>
                <w:color w:val="000000"/>
                <w:sz w:val="20"/>
              </w:rPr>
              <w:t xml:space="preserve">Ažurirani sporazum o suradnji između Ureda za sprečavanje pranja novca i nadzornih tijela o razmjeni informacija i suradnji koji će uključivati: </w:t>
            </w:r>
            <w:r>
              <w:rPr>
                <w:noProof/>
                <w:color w:val="000000"/>
                <w:sz w:val="20"/>
              </w:rPr>
              <w:br/>
              <w:t xml:space="preserve">i. razmjenu podataka i informacija potrebnih za nadzorni postupak; </w:t>
            </w:r>
            <w:r>
              <w:rPr>
                <w:noProof/>
                <w:color w:val="000000"/>
                <w:sz w:val="20"/>
              </w:rPr>
              <w:br/>
              <w:t xml:space="preserve">ii. razmjenu informacija o nepravilnostima utvrđenima kod obveznika izvještavanja; </w:t>
            </w:r>
            <w:r>
              <w:rPr>
                <w:noProof/>
                <w:color w:val="000000"/>
                <w:sz w:val="20"/>
              </w:rPr>
              <w:br/>
              <w:t xml:space="preserve">iii. razmjenu informacija o najnovijim tipologijama pranja novca / financiranja terorizma koje su identificirali Ured za sprječavanje pranja novca i nadzorna tijela; </w:t>
            </w:r>
            <w:r>
              <w:rPr>
                <w:noProof/>
                <w:color w:val="000000"/>
                <w:sz w:val="20"/>
              </w:rPr>
              <w:br/>
              <w:t xml:space="preserve">iv. povećanje nadzornih aktivnosti na temelju utvrđenih rizika od pranja novca i financiranja terorizma i </w:t>
            </w:r>
            <w:r>
              <w:rPr>
                <w:noProof/>
                <w:color w:val="000000"/>
                <w:sz w:val="20"/>
              </w:rPr>
              <w:br/>
              <w:t>v. razmjenu statističkih podataka u svrhu Nacionalne procjene rizika od pranja novca i financiranja terorizma i procjene učinkovitosti dobrog sustava u sprječavanju i otkrivanju pranja novca i financiranja terorizma.</w:t>
            </w:r>
          </w:p>
        </w:tc>
      </w:tr>
      <w:tr w:rsidR="00BD1A7F" w14:paraId="0E57A719" w14:textId="77777777" w:rsidTr="00BD1A7F">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1D9662EA" w14:textId="77777777" w:rsidR="00EF0713" w:rsidRDefault="00EF0713" w:rsidP="0001477B">
            <w:pPr>
              <w:jc w:val="center"/>
              <w:rPr>
                <w:rFonts w:ascii="Times New Roman" w:hAnsi="Times New Roman" w:cs="Times New Roman"/>
                <w:noProof/>
                <w:sz w:val="20"/>
                <w:szCs w:val="20"/>
              </w:rPr>
            </w:pPr>
            <w:r>
              <w:rPr>
                <w:noProof/>
                <w:color w:val="000000"/>
                <w:sz w:val="20"/>
              </w:rPr>
              <w:t>252</w:t>
            </w:r>
          </w:p>
        </w:tc>
        <w:tc>
          <w:tcPr>
            <w:tcW w:w="835" w:type="dxa"/>
            <w:tcBorders>
              <w:top w:val="nil"/>
              <w:left w:val="nil"/>
              <w:bottom w:val="single" w:sz="4" w:space="0" w:color="auto"/>
              <w:right w:val="single" w:sz="4" w:space="0" w:color="auto"/>
            </w:tcBorders>
            <w:shd w:val="clear" w:color="auto" w:fill="C6EFCE"/>
            <w:noWrap/>
          </w:tcPr>
          <w:p w14:paraId="2D5D6202" w14:textId="77777777" w:rsidR="00EF0713" w:rsidRDefault="00EF0713" w:rsidP="0001477B">
            <w:pPr>
              <w:jc w:val="center"/>
              <w:rPr>
                <w:rFonts w:ascii="Times New Roman" w:hAnsi="Times New Roman" w:cs="Times New Roman"/>
                <w:noProof/>
                <w:sz w:val="20"/>
                <w:szCs w:val="20"/>
              </w:rPr>
            </w:pPr>
            <w:r>
              <w:rPr>
                <w:noProof/>
                <w:color w:val="000000"/>
                <w:sz w:val="20"/>
              </w:rPr>
              <w:t>C2.8. R2</w:t>
            </w:r>
          </w:p>
        </w:tc>
        <w:tc>
          <w:tcPr>
            <w:tcW w:w="835" w:type="dxa"/>
            <w:tcBorders>
              <w:top w:val="nil"/>
              <w:left w:val="nil"/>
              <w:bottom w:val="single" w:sz="4" w:space="0" w:color="auto"/>
              <w:right w:val="single" w:sz="4" w:space="0" w:color="auto"/>
            </w:tcBorders>
            <w:shd w:val="clear" w:color="auto" w:fill="C6EFCE"/>
            <w:noWrap/>
          </w:tcPr>
          <w:p w14:paraId="7285A6A3" w14:textId="77777777" w:rsidR="00EF0713" w:rsidRDefault="00EF0713" w:rsidP="0001477B">
            <w:pPr>
              <w:jc w:val="center"/>
              <w:rPr>
                <w:rFonts w:ascii="Times New Roman" w:hAnsi="Times New Roman" w:cs="Times New Roman"/>
                <w:noProof/>
                <w:sz w:val="20"/>
                <w:szCs w:val="20"/>
              </w:rPr>
            </w:pPr>
            <w:r>
              <w:rPr>
                <w:noProof/>
                <w:color w:val="000000"/>
                <w:sz w:val="20"/>
              </w:rPr>
              <w:t>Ciljna vrijednost</w:t>
            </w:r>
          </w:p>
        </w:tc>
        <w:tc>
          <w:tcPr>
            <w:tcW w:w="1668" w:type="dxa"/>
            <w:tcBorders>
              <w:top w:val="nil"/>
              <w:left w:val="nil"/>
              <w:bottom w:val="single" w:sz="4" w:space="0" w:color="auto"/>
              <w:right w:val="single" w:sz="4" w:space="0" w:color="auto"/>
            </w:tcBorders>
            <w:shd w:val="clear" w:color="auto" w:fill="C6EFCE"/>
            <w:noWrap/>
          </w:tcPr>
          <w:p w14:paraId="0C56B919" w14:textId="77777777" w:rsidR="00EF0713" w:rsidRDefault="00EF0713" w:rsidP="0001477B">
            <w:pPr>
              <w:rPr>
                <w:rFonts w:ascii="Times New Roman" w:hAnsi="Times New Roman" w:cs="Times New Roman"/>
                <w:noProof/>
                <w:sz w:val="20"/>
                <w:szCs w:val="20"/>
              </w:rPr>
            </w:pPr>
            <w:r>
              <w:rPr>
                <w:noProof/>
                <w:color w:val="000000"/>
                <w:sz w:val="20"/>
              </w:rPr>
              <w:t xml:space="preserve">Ojačati nadzor redovnim sastancima skupine MIRS </w:t>
            </w:r>
          </w:p>
        </w:tc>
        <w:tc>
          <w:tcPr>
            <w:tcW w:w="3292" w:type="dxa"/>
            <w:tcBorders>
              <w:top w:val="nil"/>
              <w:left w:val="nil"/>
              <w:bottom w:val="single" w:sz="4" w:space="0" w:color="auto"/>
              <w:right w:val="single" w:sz="4" w:space="0" w:color="auto"/>
            </w:tcBorders>
            <w:shd w:val="clear" w:color="auto" w:fill="C6EFCE"/>
            <w:noWrap/>
          </w:tcPr>
          <w:p w14:paraId="7607AD8D" w14:textId="77777777" w:rsidR="00EF0713" w:rsidRDefault="00EF0713" w:rsidP="0001477B">
            <w:pPr>
              <w:rPr>
                <w:rFonts w:ascii="Times New Roman" w:hAnsi="Times New Roman" w:cs="Times New Roman"/>
                <w:noProof/>
                <w:sz w:val="20"/>
                <w:szCs w:val="20"/>
              </w:rPr>
            </w:pPr>
            <w:r>
              <w:rPr>
                <w:noProof/>
                <w:color w:val="000000"/>
                <w:sz w:val="20"/>
              </w:rPr>
              <w:t xml:space="preserve"> </w:t>
            </w:r>
          </w:p>
        </w:tc>
        <w:tc>
          <w:tcPr>
            <w:tcW w:w="992" w:type="dxa"/>
            <w:tcBorders>
              <w:top w:val="nil"/>
              <w:left w:val="nil"/>
              <w:bottom w:val="single" w:sz="4" w:space="0" w:color="auto"/>
              <w:right w:val="single" w:sz="4" w:space="0" w:color="auto"/>
            </w:tcBorders>
            <w:shd w:val="clear" w:color="auto" w:fill="C6EFCE"/>
            <w:noWrap/>
          </w:tcPr>
          <w:p w14:paraId="1F99E047" w14:textId="77777777" w:rsidR="00EF0713" w:rsidRDefault="00EF0713" w:rsidP="0001477B">
            <w:pPr>
              <w:jc w:val="center"/>
              <w:rPr>
                <w:rFonts w:ascii="Times New Roman" w:hAnsi="Times New Roman" w:cs="Times New Roman"/>
                <w:noProof/>
                <w:sz w:val="20"/>
                <w:szCs w:val="20"/>
              </w:rPr>
            </w:pPr>
            <w:r>
              <w:rPr>
                <w:noProof/>
                <w:color w:val="000000"/>
                <w:sz w:val="20"/>
              </w:rPr>
              <w:t>Broj</w:t>
            </w:r>
          </w:p>
        </w:tc>
        <w:tc>
          <w:tcPr>
            <w:tcW w:w="992" w:type="dxa"/>
            <w:tcBorders>
              <w:top w:val="nil"/>
              <w:left w:val="nil"/>
              <w:bottom w:val="single" w:sz="4" w:space="0" w:color="auto"/>
              <w:right w:val="single" w:sz="4" w:space="0" w:color="auto"/>
            </w:tcBorders>
            <w:shd w:val="clear" w:color="auto" w:fill="C6EFCE"/>
            <w:noWrap/>
          </w:tcPr>
          <w:p w14:paraId="6D3DC68D" w14:textId="77777777" w:rsidR="00EF0713" w:rsidRDefault="00EF0713" w:rsidP="0001477B">
            <w:pPr>
              <w:jc w:val="center"/>
              <w:rPr>
                <w:rFonts w:ascii="Times New Roman" w:hAnsi="Times New Roman" w:cs="Times New Roman"/>
                <w:noProof/>
                <w:sz w:val="20"/>
                <w:szCs w:val="20"/>
              </w:rPr>
            </w:pPr>
            <w:r>
              <w:rPr>
                <w:noProof/>
                <w:color w:val="000000"/>
                <w:sz w:val="20"/>
              </w:rPr>
              <w:t>0</w:t>
            </w:r>
          </w:p>
        </w:tc>
        <w:tc>
          <w:tcPr>
            <w:tcW w:w="709" w:type="dxa"/>
            <w:tcBorders>
              <w:top w:val="nil"/>
              <w:left w:val="nil"/>
              <w:bottom w:val="single" w:sz="4" w:space="0" w:color="auto"/>
              <w:right w:val="single" w:sz="4" w:space="0" w:color="auto"/>
            </w:tcBorders>
            <w:shd w:val="clear" w:color="auto" w:fill="C6EFCE"/>
            <w:noWrap/>
          </w:tcPr>
          <w:p w14:paraId="75F7095A" w14:textId="77777777" w:rsidR="00EF0713" w:rsidRDefault="00EF0713" w:rsidP="0001477B">
            <w:pPr>
              <w:jc w:val="center"/>
              <w:rPr>
                <w:rFonts w:ascii="Times New Roman" w:hAnsi="Times New Roman" w:cs="Times New Roman"/>
                <w:noProof/>
                <w:sz w:val="20"/>
                <w:szCs w:val="20"/>
              </w:rPr>
            </w:pPr>
            <w:r>
              <w:rPr>
                <w:noProof/>
                <w:color w:val="000000"/>
                <w:sz w:val="20"/>
              </w:rPr>
              <w:t>12</w:t>
            </w:r>
          </w:p>
        </w:tc>
        <w:tc>
          <w:tcPr>
            <w:tcW w:w="425" w:type="dxa"/>
            <w:tcBorders>
              <w:top w:val="nil"/>
              <w:left w:val="nil"/>
              <w:bottom w:val="single" w:sz="4" w:space="0" w:color="auto"/>
              <w:right w:val="single" w:sz="4" w:space="0" w:color="auto"/>
            </w:tcBorders>
            <w:shd w:val="clear" w:color="auto" w:fill="C6EFCE"/>
            <w:noWrap/>
          </w:tcPr>
          <w:p w14:paraId="212EC4E6" w14:textId="77777777" w:rsidR="00EF0713" w:rsidRDefault="00EF0713"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1A446122" w14:textId="77777777" w:rsidR="00EF0713" w:rsidRDefault="00EF0713" w:rsidP="0001477B">
            <w:pPr>
              <w:jc w:val="center"/>
              <w:rPr>
                <w:rFonts w:ascii="Times New Roman" w:hAnsi="Times New Roman" w:cs="Times New Roman"/>
                <w:noProof/>
                <w:sz w:val="20"/>
                <w:szCs w:val="20"/>
              </w:rPr>
            </w:pPr>
            <w:r>
              <w:rPr>
                <w:noProof/>
                <w:color w:val="000000"/>
                <w:sz w:val="20"/>
              </w:rPr>
              <w:t>2024.</w:t>
            </w:r>
          </w:p>
        </w:tc>
        <w:tc>
          <w:tcPr>
            <w:tcW w:w="3497" w:type="dxa"/>
            <w:tcBorders>
              <w:top w:val="nil"/>
              <w:left w:val="nil"/>
              <w:bottom w:val="single" w:sz="4" w:space="0" w:color="auto"/>
              <w:right w:val="single" w:sz="4" w:space="0" w:color="auto"/>
            </w:tcBorders>
            <w:shd w:val="clear" w:color="auto" w:fill="C6EFCE"/>
            <w:noWrap/>
          </w:tcPr>
          <w:p w14:paraId="4C4F03F5" w14:textId="77777777" w:rsidR="00EF0713" w:rsidRDefault="00EF0713" w:rsidP="0001477B">
            <w:pPr>
              <w:rPr>
                <w:rFonts w:ascii="Times New Roman" w:hAnsi="Times New Roman" w:cs="Times New Roman"/>
                <w:noProof/>
                <w:sz w:val="20"/>
                <w:szCs w:val="20"/>
              </w:rPr>
            </w:pPr>
            <w:r>
              <w:rPr>
                <w:noProof/>
                <w:color w:val="000000"/>
                <w:sz w:val="20"/>
              </w:rPr>
              <w:t>Kako bi se uskladile nadzorne prakse, poboljšala razmjena iskustava i znanja među nadzornim tijelima te razmijenile informacije, skupina MIRS održat će najmanje 12 sastanaka od kraja 2020. do kraja 2024. Skupina MIRS ojačat će suradnju između svih tijela odgovornih za nadzor provedbe mjera i aktivnosti iz Zakona o sprečavanju pranja novca i financiranja terorizma. Skupina MIRS posebno će pratiti: i. učinkovitu razmjenu statističkih podataka o provedenom nadzoru, ii. razmjenu iskustava u području nadzora, iii. razmjenu informacija o nepravilnostima otkrivenima u primjeni Zakona, iv. jačanje i koordinaciju aktivnosti nadzora i v. razmjenu informacija o planovima nadzora.</w:t>
            </w:r>
          </w:p>
        </w:tc>
      </w:tr>
      <w:tr w:rsidR="00BD1A7F" w14:paraId="3BE27AEF" w14:textId="77777777" w:rsidTr="00BD1A7F">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53B21C6F" w14:textId="77777777" w:rsidR="00EF0713" w:rsidRDefault="00EF0713" w:rsidP="0001477B">
            <w:pPr>
              <w:jc w:val="center"/>
              <w:rPr>
                <w:rFonts w:ascii="Times New Roman" w:hAnsi="Times New Roman" w:cs="Times New Roman"/>
                <w:noProof/>
                <w:sz w:val="20"/>
                <w:szCs w:val="20"/>
              </w:rPr>
            </w:pPr>
            <w:r>
              <w:rPr>
                <w:noProof/>
                <w:color w:val="000000"/>
                <w:sz w:val="20"/>
              </w:rPr>
              <w:t>253</w:t>
            </w:r>
          </w:p>
        </w:tc>
        <w:tc>
          <w:tcPr>
            <w:tcW w:w="835" w:type="dxa"/>
            <w:tcBorders>
              <w:top w:val="nil"/>
              <w:left w:val="nil"/>
              <w:bottom w:val="single" w:sz="4" w:space="0" w:color="auto"/>
              <w:right w:val="single" w:sz="4" w:space="0" w:color="auto"/>
            </w:tcBorders>
            <w:shd w:val="clear" w:color="auto" w:fill="C6EFCE"/>
            <w:noWrap/>
          </w:tcPr>
          <w:p w14:paraId="72F9AA8F" w14:textId="77777777" w:rsidR="00EF0713" w:rsidRDefault="00EF0713" w:rsidP="0001477B">
            <w:pPr>
              <w:jc w:val="center"/>
              <w:rPr>
                <w:rFonts w:ascii="Times New Roman" w:hAnsi="Times New Roman" w:cs="Times New Roman"/>
                <w:noProof/>
                <w:sz w:val="20"/>
                <w:szCs w:val="20"/>
              </w:rPr>
            </w:pPr>
            <w:r>
              <w:rPr>
                <w:noProof/>
                <w:color w:val="000000"/>
                <w:sz w:val="20"/>
              </w:rPr>
              <w:t>C2.8. R3</w:t>
            </w:r>
          </w:p>
        </w:tc>
        <w:tc>
          <w:tcPr>
            <w:tcW w:w="835" w:type="dxa"/>
            <w:tcBorders>
              <w:top w:val="nil"/>
              <w:left w:val="nil"/>
              <w:bottom w:val="single" w:sz="4" w:space="0" w:color="auto"/>
              <w:right w:val="single" w:sz="4" w:space="0" w:color="auto"/>
            </w:tcBorders>
            <w:shd w:val="clear" w:color="auto" w:fill="C6EFCE"/>
            <w:noWrap/>
          </w:tcPr>
          <w:p w14:paraId="6F1120CA" w14:textId="77777777" w:rsidR="00EF0713" w:rsidRDefault="00EF0713" w:rsidP="0001477B">
            <w:pPr>
              <w:jc w:val="center"/>
              <w:rPr>
                <w:rFonts w:ascii="Times New Roman" w:hAnsi="Times New Roman" w:cs="Times New Roman"/>
                <w:noProof/>
                <w:sz w:val="20"/>
                <w:szCs w:val="20"/>
              </w:rPr>
            </w:pPr>
            <w:r>
              <w:rPr>
                <w:noProof/>
                <w:color w:val="000000"/>
                <w:sz w:val="20"/>
              </w:rPr>
              <w:t>Ključna etapa</w:t>
            </w:r>
          </w:p>
        </w:tc>
        <w:tc>
          <w:tcPr>
            <w:tcW w:w="1668" w:type="dxa"/>
            <w:tcBorders>
              <w:top w:val="nil"/>
              <w:left w:val="nil"/>
              <w:bottom w:val="single" w:sz="4" w:space="0" w:color="auto"/>
              <w:right w:val="single" w:sz="4" w:space="0" w:color="auto"/>
            </w:tcBorders>
            <w:shd w:val="clear" w:color="auto" w:fill="C6EFCE"/>
            <w:noWrap/>
          </w:tcPr>
          <w:p w14:paraId="7F23D47F" w14:textId="77777777" w:rsidR="00EF0713" w:rsidRDefault="00EF0713" w:rsidP="0001477B">
            <w:pPr>
              <w:rPr>
                <w:rFonts w:ascii="Times New Roman" w:hAnsi="Times New Roman" w:cs="Times New Roman"/>
                <w:noProof/>
                <w:sz w:val="20"/>
                <w:szCs w:val="20"/>
              </w:rPr>
            </w:pPr>
            <w:r>
              <w:rPr>
                <w:noProof/>
                <w:color w:val="000000"/>
                <w:sz w:val="20"/>
              </w:rPr>
              <w:t>Potpuna provedba novog Akcijskog plana za smanjenje identificiranih rizika od pranja novca i financiranja terorizma na temelju ažurirane Nacionalne procjene rizika.</w:t>
            </w:r>
          </w:p>
        </w:tc>
        <w:tc>
          <w:tcPr>
            <w:tcW w:w="3292" w:type="dxa"/>
            <w:tcBorders>
              <w:top w:val="nil"/>
              <w:left w:val="nil"/>
              <w:bottom w:val="single" w:sz="4" w:space="0" w:color="auto"/>
              <w:right w:val="single" w:sz="4" w:space="0" w:color="auto"/>
            </w:tcBorders>
            <w:shd w:val="clear" w:color="auto" w:fill="C6EFCE"/>
            <w:noWrap/>
          </w:tcPr>
          <w:p w14:paraId="1C9C1ABA" w14:textId="77777777" w:rsidR="00EF0713" w:rsidRDefault="00EF0713" w:rsidP="0001477B">
            <w:pPr>
              <w:rPr>
                <w:rFonts w:ascii="Times New Roman" w:hAnsi="Times New Roman" w:cs="Times New Roman"/>
                <w:noProof/>
                <w:sz w:val="20"/>
                <w:szCs w:val="20"/>
              </w:rPr>
            </w:pPr>
            <w:r>
              <w:rPr>
                <w:noProof/>
                <w:color w:val="000000"/>
                <w:sz w:val="20"/>
              </w:rPr>
              <w:t xml:space="preserve">Potpuna provedba novog Akcijskog plana za smanjenje identificiranih rizika od pranja novca i financiranja terorizma daljnjim jačanjem suradnje i razmjene informacija </w:t>
            </w:r>
          </w:p>
        </w:tc>
        <w:tc>
          <w:tcPr>
            <w:tcW w:w="992" w:type="dxa"/>
            <w:tcBorders>
              <w:top w:val="nil"/>
              <w:left w:val="nil"/>
              <w:bottom w:val="single" w:sz="4" w:space="0" w:color="auto"/>
              <w:right w:val="single" w:sz="4" w:space="0" w:color="auto"/>
            </w:tcBorders>
            <w:shd w:val="clear" w:color="auto" w:fill="C6EFCE"/>
            <w:noWrap/>
          </w:tcPr>
          <w:p w14:paraId="2BBA1E86"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992" w:type="dxa"/>
            <w:tcBorders>
              <w:top w:val="nil"/>
              <w:left w:val="nil"/>
              <w:bottom w:val="single" w:sz="4" w:space="0" w:color="auto"/>
              <w:right w:val="single" w:sz="4" w:space="0" w:color="auto"/>
            </w:tcBorders>
            <w:shd w:val="clear" w:color="auto" w:fill="C6EFCE"/>
            <w:noWrap/>
          </w:tcPr>
          <w:p w14:paraId="1E31C310"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7615021E"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1EFF39C7" w14:textId="77777777" w:rsidR="00EF0713" w:rsidRDefault="00EF0713"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40584AF4" w14:textId="77777777" w:rsidR="00EF0713" w:rsidRDefault="00EF0713" w:rsidP="0001477B">
            <w:pPr>
              <w:jc w:val="center"/>
              <w:rPr>
                <w:rFonts w:ascii="Times New Roman" w:hAnsi="Times New Roman" w:cs="Times New Roman"/>
                <w:noProof/>
                <w:sz w:val="20"/>
                <w:szCs w:val="20"/>
              </w:rPr>
            </w:pPr>
            <w:r>
              <w:rPr>
                <w:noProof/>
                <w:color w:val="000000"/>
                <w:sz w:val="20"/>
              </w:rPr>
              <w:t>2021.</w:t>
            </w:r>
          </w:p>
        </w:tc>
        <w:tc>
          <w:tcPr>
            <w:tcW w:w="3497" w:type="dxa"/>
            <w:tcBorders>
              <w:top w:val="nil"/>
              <w:left w:val="nil"/>
              <w:bottom w:val="single" w:sz="4" w:space="0" w:color="auto"/>
              <w:right w:val="single" w:sz="4" w:space="0" w:color="auto"/>
            </w:tcBorders>
            <w:shd w:val="clear" w:color="auto" w:fill="C6EFCE"/>
            <w:noWrap/>
          </w:tcPr>
          <w:p w14:paraId="16404D4F" w14:textId="77777777" w:rsidR="00EF0713" w:rsidRDefault="00EF0713" w:rsidP="0001477B">
            <w:pPr>
              <w:rPr>
                <w:rFonts w:ascii="Times New Roman" w:hAnsi="Times New Roman" w:cs="Times New Roman"/>
                <w:noProof/>
                <w:sz w:val="20"/>
                <w:szCs w:val="20"/>
              </w:rPr>
            </w:pPr>
            <w:r>
              <w:rPr>
                <w:noProof/>
                <w:color w:val="000000"/>
                <w:sz w:val="20"/>
              </w:rPr>
              <w:t>Na temelju Nacionalne procjene rizika od pranja novca i financiranja terorizma u Republici Hrvatskoj, Akcijski plan za smanjenje identificiranih rizika od pranja novca i financiranja terorizma u potpunosti će se provesti do 31. prosinca 2021. Akcijski plan sadržavat će mjere za smanjenje utvrđenih rizika, javnopravna i druga tijela koja su određena nositeljima pojedinih mjera te rok za provedbu mjera. Planom će se uzeti u obzir rizici koje su utvrdila nadzorna tijela (Hrvatska narodna banka, Financijski inspektorat, Hrvatska agencija za nadzor financijskih usluga), Ured za sprečavanje pranja novca, Državno odvjetništvo Republike Hrvatske i zakonom propisani obveznici (banke i dr.). Dodatno će se ojačati suradnja i razmjena informacija među svim odgovornim ustanovama i tijelima.</w:t>
            </w:r>
          </w:p>
        </w:tc>
      </w:tr>
      <w:tr w:rsidR="00BD1A7F" w14:paraId="7F0F120F" w14:textId="77777777" w:rsidTr="00BD1A7F">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7A92F53E" w14:textId="77777777" w:rsidR="00EF0713" w:rsidRDefault="00EF0713" w:rsidP="0001477B">
            <w:pPr>
              <w:jc w:val="center"/>
              <w:rPr>
                <w:rFonts w:ascii="Times New Roman" w:hAnsi="Times New Roman" w:cs="Times New Roman"/>
                <w:noProof/>
                <w:sz w:val="20"/>
                <w:szCs w:val="20"/>
              </w:rPr>
            </w:pPr>
            <w:r>
              <w:rPr>
                <w:noProof/>
                <w:color w:val="000000"/>
                <w:sz w:val="20"/>
              </w:rPr>
              <w:t>254</w:t>
            </w:r>
          </w:p>
        </w:tc>
        <w:tc>
          <w:tcPr>
            <w:tcW w:w="835" w:type="dxa"/>
            <w:tcBorders>
              <w:top w:val="nil"/>
              <w:left w:val="nil"/>
              <w:bottom w:val="single" w:sz="4" w:space="0" w:color="auto"/>
              <w:right w:val="single" w:sz="4" w:space="0" w:color="auto"/>
            </w:tcBorders>
            <w:shd w:val="clear" w:color="auto" w:fill="C6EFCE"/>
            <w:noWrap/>
          </w:tcPr>
          <w:p w14:paraId="72D7443B" w14:textId="77777777" w:rsidR="00EF0713" w:rsidRDefault="00EF0713" w:rsidP="0001477B">
            <w:pPr>
              <w:jc w:val="center"/>
              <w:rPr>
                <w:rFonts w:ascii="Times New Roman" w:hAnsi="Times New Roman" w:cs="Times New Roman"/>
                <w:noProof/>
                <w:sz w:val="20"/>
                <w:szCs w:val="20"/>
              </w:rPr>
            </w:pPr>
            <w:r>
              <w:rPr>
                <w:noProof/>
                <w:color w:val="000000"/>
                <w:sz w:val="20"/>
              </w:rPr>
              <w:t>C2.8. R4</w:t>
            </w:r>
          </w:p>
        </w:tc>
        <w:tc>
          <w:tcPr>
            <w:tcW w:w="835" w:type="dxa"/>
            <w:tcBorders>
              <w:top w:val="nil"/>
              <w:left w:val="nil"/>
              <w:bottom w:val="single" w:sz="4" w:space="0" w:color="auto"/>
              <w:right w:val="single" w:sz="4" w:space="0" w:color="auto"/>
            </w:tcBorders>
            <w:shd w:val="clear" w:color="auto" w:fill="C6EFCE"/>
            <w:noWrap/>
          </w:tcPr>
          <w:p w14:paraId="47617D40" w14:textId="77777777" w:rsidR="00EF0713" w:rsidRDefault="00EF0713" w:rsidP="0001477B">
            <w:pPr>
              <w:jc w:val="center"/>
              <w:rPr>
                <w:rFonts w:ascii="Times New Roman" w:hAnsi="Times New Roman" w:cs="Times New Roman"/>
                <w:noProof/>
                <w:sz w:val="20"/>
                <w:szCs w:val="20"/>
              </w:rPr>
            </w:pPr>
            <w:r>
              <w:rPr>
                <w:noProof/>
                <w:color w:val="000000"/>
                <w:sz w:val="20"/>
              </w:rPr>
              <w:t>Ključna etapa</w:t>
            </w:r>
          </w:p>
        </w:tc>
        <w:tc>
          <w:tcPr>
            <w:tcW w:w="1668" w:type="dxa"/>
            <w:tcBorders>
              <w:top w:val="nil"/>
              <w:left w:val="nil"/>
              <w:bottom w:val="single" w:sz="4" w:space="0" w:color="auto"/>
              <w:right w:val="single" w:sz="4" w:space="0" w:color="auto"/>
            </w:tcBorders>
            <w:shd w:val="clear" w:color="auto" w:fill="C6EFCE"/>
            <w:noWrap/>
          </w:tcPr>
          <w:p w14:paraId="020ED6CC" w14:textId="77777777" w:rsidR="00EF0713" w:rsidRDefault="00EF0713" w:rsidP="0001477B">
            <w:pPr>
              <w:rPr>
                <w:rFonts w:ascii="Times New Roman" w:hAnsi="Times New Roman" w:cs="Times New Roman"/>
                <w:noProof/>
                <w:sz w:val="20"/>
                <w:szCs w:val="20"/>
              </w:rPr>
            </w:pPr>
            <w:r>
              <w:rPr>
                <w:noProof/>
                <w:color w:val="000000"/>
                <w:sz w:val="20"/>
              </w:rPr>
              <w:t>Jačanje nadzora financijskog sektora na temelju procjene rizika u području sprečavanja pranja novca i financiranja terorizma</w:t>
            </w:r>
          </w:p>
        </w:tc>
        <w:tc>
          <w:tcPr>
            <w:tcW w:w="3292" w:type="dxa"/>
            <w:tcBorders>
              <w:top w:val="nil"/>
              <w:left w:val="nil"/>
              <w:bottom w:val="single" w:sz="4" w:space="0" w:color="auto"/>
              <w:right w:val="single" w:sz="4" w:space="0" w:color="auto"/>
            </w:tcBorders>
            <w:shd w:val="clear" w:color="auto" w:fill="C6EFCE"/>
            <w:noWrap/>
          </w:tcPr>
          <w:p w14:paraId="0E52FBB9" w14:textId="77777777" w:rsidR="00EF0713" w:rsidRDefault="00EF0713" w:rsidP="0001477B">
            <w:pPr>
              <w:rPr>
                <w:rFonts w:ascii="Times New Roman" w:hAnsi="Times New Roman" w:cs="Times New Roman"/>
                <w:noProof/>
                <w:sz w:val="20"/>
                <w:szCs w:val="20"/>
              </w:rPr>
            </w:pPr>
            <w:r>
              <w:rPr>
                <w:noProof/>
                <w:color w:val="000000"/>
                <w:sz w:val="20"/>
              </w:rPr>
              <w:t>Potpuna provedba pojačanih postupaka i metodologija nadzora na temelju procjene rizika, razvijena u okviru projekta Instrumenta za tehničku potporu (TSI) „Nadzor sprečavanja pranja novca i financiranja terorizma koji se temelji na procjeni rizika u financijskom sektoru u Hrvatskoj” kako bi se učinkovito ublažili utvrđeni rizici pranja novca i financiranja terorizma</w:t>
            </w:r>
          </w:p>
        </w:tc>
        <w:tc>
          <w:tcPr>
            <w:tcW w:w="992" w:type="dxa"/>
            <w:tcBorders>
              <w:top w:val="nil"/>
              <w:left w:val="nil"/>
              <w:bottom w:val="single" w:sz="4" w:space="0" w:color="auto"/>
              <w:right w:val="single" w:sz="4" w:space="0" w:color="auto"/>
            </w:tcBorders>
            <w:shd w:val="clear" w:color="auto" w:fill="C6EFCE"/>
            <w:noWrap/>
          </w:tcPr>
          <w:p w14:paraId="208F90BF"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992" w:type="dxa"/>
            <w:tcBorders>
              <w:top w:val="nil"/>
              <w:left w:val="nil"/>
              <w:bottom w:val="single" w:sz="4" w:space="0" w:color="auto"/>
              <w:right w:val="single" w:sz="4" w:space="0" w:color="auto"/>
            </w:tcBorders>
            <w:shd w:val="clear" w:color="auto" w:fill="C6EFCE"/>
            <w:noWrap/>
          </w:tcPr>
          <w:p w14:paraId="3EB0C422"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1E61108A" w14:textId="77777777" w:rsidR="00EF0713" w:rsidRDefault="00EF0713" w:rsidP="0001477B">
            <w:pPr>
              <w:jc w:val="center"/>
              <w:rPr>
                <w:rFonts w:ascii="Times New Roman" w:hAnsi="Times New Roman" w:cs="Times New Roman"/>
                <w:noProof/>
                <w:sz w:val="20"/>
                <w:szCs w:val="20"/>
              </w:rPr>
            </w:pPr>
            <w:r>
              <w:rPr>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0CC43CDA" w14:textId="77777777" w:rsidR="00EF0713" w:rsidRDefault="00EF0713" w:rsidP="0001477B">
            <w:pPr>
              <w:jc w:val="center"/>
              <w:rPr>
                <w:rFonts w:ascii="Times New Roman" w:hAnsi="Times New Roman" w:cs="Times New Roman"/>
                <w:noProof/>
                <w:sz w:val="20"/>
                <w:szCs w:val="20"/>
              </w:rPr>
            </w:pPr>
            <w:r>
              <w:rPr>
                <w:noProof/>
                <w:color w:val="000000"/>
                <w:sz w:val="20"/>
              </w:rPr>
              <w:t>4.</w:t>
            </w:r>
          </w:p>
        </w:tc>
        <w:tc>
          <w:tcPr>
            <w:tcW w:w="709" w:type="dxa"/>
            <w:tcBorders>
              <w:top w:val="nil"/>
              <w:left w:val="nil"/>
              <w:bottom w:val="single" w:sz="4" w:space="0" w:color="auto"/>
              <w:right w:val="single" w:sz="4" w:space="0" w:color="auto"/>
            </w:tcBorders>
            <w:shd w:val="clear" w:color="auto" w:fill="C6EFCE"/>
            <w:noWrap/>
          </w:tcPr>
          <w:p w14:paraId="5F5F2BF1" w14:textId="77777777" w:rsidR="00EF0713" w:rsidRDefault="00EF0713" w:rsidP="0001477B">
            <w:pPr>
              <w:jc w:val="center"/>
              <w:rPr>
                <w:rFonts w:ascii="Times New Roman" w:hAnsi="Times New Roman" w:cs="Times New Roman"/>
                <w:noProof/>
                <w:sz w:val="20"/>
                <w:szCs w:val="20"/>
              </w:rPr>
            </w:pPr>
            <w:r>
              <w:rPr>
                <w:noProof/>
                <w:color w:val="000000"/>
                <w:sz w:val="20"/>
              </w:rPr>
              <w:t>2023.</w:t>
            </w:r>
          </w:p>
        </w:tc>
        <w:tc>
          <w:tcPr>
            <w:tcW w:w="3497" w:type="dxa"/>
            <w:tcBorders>
              <w:top w:val="nil"/>
              <w:left w:val="nil"/>
              <w:bottom w:val="single" w:sz="4" w:space="0" w:color="auto"/>
              <w:right w:val="single" w:sz="4" w:space="0" w:color="auto"/>
            </w:tcBorders>
            <w:shd w:val="clear" w:color="auto" w:fill="C6EFCE"/>
            <w:noWrap/>
          </w:tcPr>
          <w:p w14:paraId="6125B7F5" w14:textId="77777777" w:rsidR="00EF0713" w:rsidRDefault="00EF0713" w:rsidP="0001477B">
            <w:pPr>
              <w:rPr>
                <w:rFonts w:ascii="Times New Roman" w:hAnsi="Times New Roman" w:cs="Times New Roman"/>
                <w:noProof/>
                <w:sz w:val="20"/>
                <w:szCs w:val="20"/>
              </w:rPr>
            </w:pPr>
            <w:r>
              <w:rPr>
                <w:noProof/>
                <w:color w:val="000000"/>
                <w:sz w:val="20"/>
              </w:rPr>
              <w:t>Nadležna tijela poduzet će mjere, ako je potrebno donošenjem propisa, za jačanje nadzora financijskog sektora na temelju procjene rizika Hrvatske narodne banke i Hrvatske agencije za nadzor financijskih usluga i primjenom pristupa temeljenog na procjeni rizika razvijenog u skladu s rezultatima tehničke pomoći pružene u okviru instrumenta za tehničku potporu. Te će mjere ojačati institucionalni i administrativni kapaciteti i doprinijeti poboljšanju učinkovitosti cijelog sustava sprečavanja pranja novca i financiranja terorizma u Hrvatskoj te u konačnici poboljšati cjelokupni okvir za sprečavanje pranja novca u Hrvatskoj.</w:t>
            </w:r>
          </w:p>
        </w:tc>
      </w:tr>
      <w:tr w:rsidR="00BD1A7F" w14:paraId="60D19F06" w14:textId="77777777" w:rsidTr="00BD1A7F">
        <w:trPr>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tcPr>
          <w:p w14:paraId="0034C469" w14:textId="77777777" w:rsidR="00EF0713" w:rsidRDefault="00EF0713" w:rsidP="0001477B">
            <w:pPr>
              <w:jc w:val="center"/>
              <w:rPr>
                <w:rFonts w:ascii="Times New Roman" w:hAnsi="Times New Roman" w:cs="Times New Roman"/>
                <w:noProof/>
                <w:sz w:val="20"/>
                <w:szCs w:val="20"/>
              </w:rPr>
            </w:pPr>
            <w:r>
              <w:rPr>
                <w:noProof/>
                <w:color w:val="000000"/>
                <w:sz w:val="20"/>
              </w:rPr>
              <w:t>255</w:t>
            </w:r>
          </w:p>
        </w:tc>
        <w:tc>
          <w:tcPr>
            <w:tcW w:w="835" w:type="dxa"/>
            <w:tcBorders>
              <w:top w:val="single" w:sz="4" w:space="0" w:color="auto"/>
              <w:left w:val="nil"/>
              <w:bottom w:val="single" w:sz="4" w:space="0" w:color="auto"/>
              <w:right w:val="single" w:sz="4" w:space="0" w:color="auto"/>
            </w:tcBorders>
            <w:shd w:val="clear" w:color="auto" w:fill="C6EFCE"/>
            <w:noWrap/>
          </w:tcPr>
          <w:p w14:paraId="035FA679" w14:textId="77777777" w:rsidR="00EF0713" w:rsidRDefault="00EF0713" w:rsidP="0001477B">
            <w:pPr>
              <w:jc w:val="center"/>
              <w:rPr>
                <w:rFonts w:ascii="Times New Roman" w:hAnsi="Times New Roman" w:cs="Times New Roman"/>
                <w:noProof/>
                <w:sz w:val="20"/>
                <w:szCs w:val="20"/>
              </w:rPr>
            </w:pPr>
            <w:r>
              <w:rPr>
                <w:noProof/>
                <w:color w:val="000000"/>
                <w:sz w:val="20"/>
              </w:rPr>
              <w:t>C2.8. R4</w:t>
            </w:r>
          </w:p>
        </w:tc>
        <w:tc>
          <w:tcPr>
            <w:tcW w:w="835" w:type="dxa"/>
            <w:tcBorders>
              <w:top w:val="single" w:sz="4" w:space="0" w:color="auto"/>
              <w:left w:val="nil"/>
              <w:bottom w:val="single" w:sz="4" w:space="0" w:color="auto"/>
              <w:right w:val="single" w:sz="4" w:space="0" w:color="auto"/>
            </w:tcBorders>
            <w:shd w:val="clear" w:color="auto" w:fill="C6EFCE"/>
            <w:noWrap/>
          </w:tcPr>
          <w:p w14:paraId="07821786" w14:textId="77777777" w:rsidR="00EF0713" w:rsidRDefault="00EF0713" w:rsidP="0001477B">
            <w:pPr>
              <w:jc w:val="center"/>
              <w:rPr>
                <w:rFonts w:ascii="Times New Roman" w:hAnsi="Times New Roman" w:cs="Times New Roman"/>
                <w:noProof/>
                <w:sz w:val="20"/>
                <w:szCs w:val="20"/>
              </w:rPr>
            </w:pPr>
            <w:r>
              <w:rPr>
                <w:noProof/>
                <w:color w:val="000000"/>
                <w:sz w:val="20"/>
              </w:rPr>
              <w:t>Ciljna vrijednost</w:t>
            </w:r>
          </w:p>
        </w:tc>
        <w:tc>
          <w:tcPr>
            <w:tcW w:w="1668" w:type="dxa"/>
            <w:tcBorders>
              <w:top w:val="single" w:sz="4" w:space="0" w:color="auto"/>
              <w:left w:val="nil"/>
              <w:bottom w:val="single" w:sz="4" w:space="0" w:color="auto"/>
              <w:right w:val="single" w:sz="4" w:space="0" w:color="auto"/>
            </w:tcBorders>
            <w:shd w:val="clear" w:color="auto" w:fill="C6EFCE"/>
            <w:noWrap/>
          </w:tcPr>
          <w:p w14:paraId="24CD2DEF" w14:textId="77777777" w:rsidR="00EF0713" w:rsidRDefault="00EF0713" w:rsidP="0001477B">
            <w:pPr>
              <w:rPr>
                <w:rFonts w:ascii="Times New Roman" w:hAnsi="Times New Roman" w:cs="Times New Roman"/>
                <w:noProof/>
                <w:sz w:val="20"/>
                <w:szCs w:val="20"/>
              </w:rPr>
            </w:pPr>
            <w:r>
              <w:rPr>
                <w:noProof/>
                <w:color w:val="000000"/>
                <w:sz w:val="20"/>
              </w:rPr>
              <w:t>Povećanje broja nadzornih aktivnosti na terenu na temelju utvrđenih rizika od pranja novca i financiranja terorizma</w:t>
            </w:r>
          </w:p>
        </w:tc>
        <w:tc>
          <w:tcPr>
            <w:tcW w:w="3292" w:type="dxa"/>
            <w:tcBorders>
              <w:top w:val="single" w:sz="4" w:space="0" w:color="auto"/>
              <w:left w:val="nil"/>
              <w:bottom w:val="single" w:sz="4" w:space="0" w:color="auto"/>
              <w:right w:val="single" w:sz="4" w:space="0" w:color="auto"/>
            </w:tcBorders>
            <w:shd w:val="clear" w:color="auto" w:fill="C6EFCE"/>
            <w:noWrap/>
          </w:tcPr>
          <w:p w14:paraId="6E67EA99" w14:textId="77777777" w:rsidR="00EF0713" w:rsidRDefault="00EF0713" w:rsidP="0001477B">
            <w:pPr>
              <w:rPr>
                <w:rFonts w:ascii="Times New Roman" w:hAnsi="Times New Roman" w:cs="Times New Roman"/>
                <w:noProof/>
                <w:sz w:val="20"/>
                <w:szCs w:val="20"/>
              </w:rPr>
            </w:pPr>
            <w:r>
              <w:rPr>
                <w:noProof/>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239FDDB1" w14:textId="77777777" w:rsidR="00EF0713" w:rsidRDefault="00EF0713" w:rsidP="0001477B">
            <w:pPr>
              <w:jc w:val="center"/>
              <w:rPr>
                <w:rFonts w:ascii="Times New Roman" w:hAnsi="Times New Roman" w:cs="Times New Roman"/>
                <w:noProof/>
                <w:sz w:val="20"/>
                <w:szCs w:val="20"/>
              </w:rPr>
            </w:pPr>
            <w:r>
              <w:rPr>
                <w:noProof/>
                <w:color w:val="000000"/>
                <w:sz w:val="20"/>
              </w:rPr>
              <w:t>% (postotak)</w:t>
            </w:r>
          </w:p>
        </w:tc>
        <w:tc>
          <w:tcPr>
            <w:tcW w:w="992" w:type="dxa"/>
            <w:tcBorders>
              <w:top w:val="single" w:sz="4" w:space="0" w:color="auto"/>
              <w:left w:val="nil"/>
              <w:bottom w:val="single" w:sz="4" w:space="0" w:color="auto"/>
              <w:right w:val="single" w:sz="4" w:space="0" w:color="auto"/>
            </w:tcBorders>
            <w:shd w:val="clear" w:color="auto" w:fill="C6EFCE"/>
            <w:noWrap/>
          </w:tcPr>
          <w:p w14:paraId="470892F6" w14:textId="77777777" w:rsidR="00EF0713" w:rsidRDefault="00EF0713" w:rsidP="0001477B">
            <w:pPr>
              <w:jc w:val="center"/>
              <w:rPr>
                <w:rFonts w:ascii="Times New Roman" w:hAnsi="Times New Roman" w:cs="Times New Roman"/>
                <w:noProof/>
                <w:sz w:val="20"/>
                <w:szCs w:val="20"/>
              </w:rPr>
            </w:pPr>
            <w:r>
              <w:rPr>
                <w:noProof/>
                <w:color w:val="000000"/>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2EFAC208" w14:textId="77777777" w:rsidR="00EF0713" w:rsidRDefault="00EF0713" w:rsidP="0001477B">
            <w:pPr>
              <w:jc w:val="center"/>
              <w:rPr>
                <w:rFonts w:ascii="Times New Roman" w:hAnsi="Times New Roman" w:cs="Times New Roman"/>
                <w:noProof/>
                <w:sz w:val="20"/>
                <w:szCs w:val="20"/>
              </w:rPr>
            </w:pPr>
            <w:r>
              <w:rPr>
                <w:noProof/>
                <w:color w:val="000000"/>
                <w:sz w:val="20"/>
              </w:rPr>
              <w:t>25</w:t>
            </w:r>
          </w:p>
        </w:tc>
        <w:tc>
          <w:tcPr>
            <w:tcW w:w="425" w:type="dxa"/>
            <w:tcBorders>
              <w:top w:val="single" w:sz="4" w:space="0" w:color="auto"/>
              <w:left w:val="nil"/>
              <w:bottom w:val="single" w:sz="4" w:space="0" w:color="auto"/>
              <w:right w:val="single" w:sz="4" w:space="0" w:color="auto"/>
            </w:tcBorders>
            <w:shd w:val="clear" w:color="auto" w:fill="C6EFCE"/>
            <w:noWrap/>
          </w:tcPr>
          <w:p w14:paraId="64F27E80" w14:textId="77777777" w:rsidR="00EF0713" w:rsidRDefault="00EF0713" w:rsidP="0001477B">
            <w:pPr>
              <w:jc w:val="center"/>
              <w:rPr>
                <w:rFonts w:ascii="Times New Roman" w:hAnsi="Times New Roman" w:cs="Times New Roman"/>
                <w:noProof/>
                <w:sz w:val="20"/>
                <w:szCs w:val="20"/>
              </w:rPr>
            </w:pPr>
            <w:r>
              <w:rPr>
                <w:noProof/>
                <w:color w:val="000000"/>
                <w:sz w:val="20"/>
              </w:rPr>
              <w:t>4.</w:t>
            </w:r>
          </w:p>
        </w:tc>
        <w:tc>
          <w:tcPr>
            <w:tcW w:w="709" w:type="dxa"/>
            <w:tcBorders>
              <w:top w:val="single" w:sz="4" w:space="0" w:color="auto"/>
              <w:left w:val="nil"/>
              <w:bottom w:val="single" w:sz="4" w:space="0" w:color="auto"/>
              <w:right w:val="single" w:sz="4" w:space="0" w:color="auto"/>
            </w:tcBorders>
            <w:shd w:val="clear" w:color="auto" w:fill="C6EFCE"/>
            <w:noWrap/>
          </w:tcPr>
          <w:p w14:paraId="45EBED49" w14:textId="77777777" w:rsidR="00EF0713" w:rsidRDefault="00EF0713" w:rsidP="0001477B">
            <w:pPr>
              <w:jc w:val="center"/>
              <w:rPr>
                <w:rFonts w:ascii="Times New Roman" w:hAnsi="Times New Roman" w:cs="Times New Roman"/>
                <w:noProof/>
                <w:sz w:val="20"/>
                <w:szCs w:val="20"/>
              </w:rPr>
            </w:pPr>
            <w:r>
              <w:rPr>
                <w:noProof/>
                <w:color w:val="000000"/>
                <w:sz w:val="20"/>
              </w:rPr>
              <w:t>2025.</w:t>
            </w:r>
          </w:p>
        </w:tc>
        <w:tc>
          <w:tcPr>
            <w:tcW w:w="3497" w:type="dxa"/>
            <w:tcBorders>
              <w:top w:val="single" w:sz="4" w:space="0" w:color="auto"/>
              <w:left w:val="nil"/>
              <w:bottom w:val="single" w:sz="4" w:space="0" w:color="auto"/>
              <w:right w:val="single" w:sz="4" w:space="0" w:color="auto"/>
            </w:tcBorders>
            <w:shd w:val="clear" w:color="auto" w:fill="C6EFCE"/>
            <w:noWrap/>
          </w:tcPr>
          <w:p w14:paraId="06FADBDF" w14:textId="77777777" w:rsidR="00EF0713" w:rsidRDefault="00EF0713" w:rsidP="0001477B">
            <w:pPr>
              <w:rPr>
                <w:rFonts w:ascii="Times New Roman" w:hAnsi="Times New Roman" w:cs="Times New Roman"/>
                <w:noProof/>
                <w:sz w:val="20"/>
                <w:szCs w:val="20"/>
              </w:rPr>
            </w:pPr>
            <w:r>
              <w:rPr>
                <w:noProof/>
                <w:color w:val="000000"/>
                <w:sz w:val="20"/>
              </w:rPr>
              <w:t xml:space="preserve">U okviru snažnijeg pristupa sprečavanju i nadzoru sprečavanja pranja novca i financiranja terorizma koji se temelji na procjeni rizika, nadzorna tijela će povećati svoje izravne nadzorne aktivnosti na temelju utvrđenih rizika od pranja novca i financiranja terorizma za 25 % u odnosu na 2019. </w:t>
            </w:r>
          </w:p>
        </w:tc>
      </w:tr>
    </w:tbl>
    <w:p w14:paraId="7390046E" w14:textId="77777777" w:rsidR="00BD1A7F" w:rsidRDefault="00BD1A7F" w:rsidP="00EF0713">
      <w:pPr>
        <w:rPr>
          <w:noProof/>
        </w:rPr>
        <w:sectPr w:rsidR="00BD1A7F" w:rsidSect="00EF0713">
          <w:headerReference w:type="even" r:id="rId252"/>
          <w:headerReference w:type="default" r:id="rId253"/>
          <w:footerReference w:type="even" r:id="rId254"/>
          <w:footerReference w:type="default" r:id="rId255"/>
          <w:headerReference w:type="first" r:id="rId256"/>
          <w:footerReference w:type="first" r:id="rId257"/>
          <w:pgSz w:w="15840" w:h="12240" w:orient="landscape"/>
          <w:pgMar w:top="1440" w:right="1098" w:bottom="1440" w:left="1418" w:header="708" w:footer="708" w:gutter="0"/>
          <w:cols w:space="708"/>
          <w:docGrid w:linePitch="360"/>
        </w:sectPr>
      </w:pPr>
    </w:p>
    <w:p w14:paraId="055894B1" w14:textId="77777777" w:rsidR="00BD1A7F" w:rsidRDefault="00BD1A7F" w:rsidP="00BD1A7F">
      <w:pPr>
        <w:keepNext/>
        <w:tabs>
          <w:tab w:val="left" w:pos="850"/>
        </w:tabs>
        <w:spacing w:before="360" w:after="120" w:line="240" w:lineRule="auto"/>
        <w:ind w:left="850" w:firstLine="1"/>
        <w:jc w:val="both"/>
        <w:outlineLvl w:val="0"/>
        <w:rPr>
          <w:rFonts w:ascii="Times New Roman" w:hAnsi="Times New Roman" w:cs="Times New Roman"/>
          <w:b/>
          <w:smallCaps/>
          <w:noProof/>
          <w:sz w:val="24"/>
          <w:szCs w:val="24"/>
        </w:rPr>
      </w:pPr>
      <w:r>
        <w:rPr>
          <w:rFonts w:ascii="Times New Roman" w:hAnsi="Times New Roman"/>
          <w:b/>
          <w:smallCaps/>
          <w:noProof/>
          <w:sz w:val="24"/>
        </w:rPr>
        <w:t>O. KOMPONENTA 2.9.: JAČANJE OKVIRA ZA JAVNU NABAVU</w:t>
      </w:r>
    </w:p>
    <w:p w14:paraId="324CF862" w14:textId="77777777" w:rsidR="00BD1A7F" w:rsidRDefault="00BD1A7F" w:rsidP="00BD1A7F">
      <w:pPr>
        <w:pStyle w:val="Text1"/>
        <w:ind w:left="0"/>
        <w:rPr>
          <w:noProof/>
        </w:rPr>
      </w:pPr>
      <w:r>
        <w:rPr>
          <w:noProof/>
        </w:rPr>
        <w:t xml:space="preserve">U cilju jačanja okvira za javnu nabavu i njegova usklađivanja s EU-ovom najboljom praksom, ova komponenta NPOO-a uključuje mjere unapređenja sustava izobrazbe u području javne nabave, jačanja sustava sudske zaštite uvođenjem obveznih e-žalbi i poticanjem primjene inovativne javne nabave. Poboljšani sustav javne nabave će među ostalim doprinijeti borbi protiv korupcije i dovesti do bolje apsorpcije sredstava EU-a. Očekuje se da će se time poboljšati poslovno okruženje, povećati privatna ulaganja, produktivnost i stvaranje novih radnih mjesta.  </w:t>
      </w:r>
    </w:p>
    <w:p w14:paraId="4DE19647" w14:textId="77777777" w:rsidR="00BD1A7F" w:rsidRDefault="00BD1A7F" w:rsidP="00BD1A7F">
      <w:pPr>
        <w:pStyle w:val="Text1"/>
        <w:ind w:left="0"/>
        <w:rPr>
          <w:noProof/>
        </w:rPr>
      </w:pPr>
      <w:r>
        <w:rPr>
          <w:noProof/>
        </w:rPr>
        <w:t xml:space="preserve">Komponenta uključuje tri reforme i jedno ulaganje s ciljem povećanja transparentnosti i učinkovitosti sustava javne nabave u Hrvatskoj. Doprinijet će i unapređenju sprečavanja korupcije, osobito na lokalnoj razini (preporuka za Hrvatsku iz 2019.) i jačanju kapaciteta i učinkovitosti hrvatske javne uprave (preporuka za Hrvatsku iz 2020.).  </w:t>
      </w:r>
    </w:p>
    <w:p w14:paraId="624EF0FE" w14:textId="77777777" w:rsidR="00BD1A7F" w:rsidRDefault="00BD1A7F" w:rsidP="00BD1A7F">
      <w:pPr>
        <w:keepNext/>
        <w:tabs>
          <w:tab w:val="num" w:pos="850"/>
        </w:tabs>
        <w:spacing w:before="40" w:after="0"/>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u w:val="single"/>
        </w:rPr>
        <w:t xml:space="preserve">O.1. </w:t>
      </w:r>
      <w:r>
        <w:rPr>
          <w:rFonts w:ascii="Times New Roman" w:hAnsi="Times New Roman"/>
          <w:b/>
          <w:noProof/>
          <w:sz w:val="24"/>
          <w:u w:val="single"/>
        </w:rPr>
        <w:tab/>
        <w:t>Opis reformi i ulaganja za programe bespovratne financijske potpore</w:t>
      </w:r>
    </w:p>
    <w:p w14:paraId="098019E4" w14:textId="77777777" w:rsidR="00BD1A7F" w:rsidRDefault="00BD1A7F" w:rsidP="00BD1A7F">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u w:val="single"/>
        </w:rPr>
        <w:t xml:space="preserve">Reforma: C2.9. R1 – Kontinuirano provođenje izobrazbe u području javne nabave </w:t>
      </w:r>
    </w:p>
    <w:p w14:paraId="126DFC99" w14:textId="77777777" w:rsidR="00BD1A7F" w:rsidRDefault="00BD1A7F" w:rsidP="00BD1A7F">
      <w:pPr>
        <w:spacing w:before="120" w:after="120" w:line="240" w:lineRule="auto"/>
        <w:jc w:val="both"/>
        <w:rPr>
          <w:rFonts w:ascii="Times New Roman" w:hAnsi="Times New Roman" w:cs="Times New Roman"/>
          <w:noProof/>
          <w:sz w:val="24"/>
          <w:szCs w:val="24"/>
        </w:rPr>
      </w:pPr>
      <w:r>
        <w:rPr>
          <w:rFonts w:ascii="Times New Roman" w:hAnsi="Times New Roman"/>
          <w:noProof/>
          <w:sz w:val="24"/>
        </w:rPr>
        <w:t>Cilj je reforme unaprijediti sustav izobrazbe u području javne nabave razvijanjem novih alata za stjecanje teorijskih i praktičnih znanja, profesionalnih vještina i kompetencija u svrhu stručne, ekonomične, učinkovite i djelotvorne provedbe postupaka javne nabave na svim razinama. Temeljit će se na sveobuhvatnom pristupu jačanju konkurentnosti dionika u sustavu javne nabave ugrađivanjem rezultata analize radnog opterećenja u okviru ulagačkog djelovanja C2.9. R1-I1. Konkretno, u analizi će se utvrditi potrebe za kontinuiranim i planiranim osposobljavanjem ključnih zaposlenika u području javne nabave na temelju matrice kompetencija u kojoj je definirano 30 kompetencija i vještina.</w:t>
      </w:r>
    </w:p>
    <w:p w14:paraId="208038F9" w14:textId="77777777" w:rsidR="00BD1A7F" w:rsidRDefault="00BD1A7F" w:rsidP="00BD1A7F">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Zatim, Europski okvir kompetencija za stručnjake za javnu nabavu (ProcurCompEU), koji služi kao zajednički referentni okvir za stručnjake za javnu nabavu, uvest će se u hrvatski sustav izobrazbe do 31. prosinca 2023. Taj će okvir pojedincima olakšati identifikaciju i oblikovanje osobnih i stručnih kompetencija. Naručitelji će ga koristiti za procjenu i poboljšanje učinkovitosti javne nabave u svojim organizacijama. Pružatelji izobrazbe u javnoj nabavi koristit će za razvoj sveobuhvatnih programa učenja i osposobljavanja. </w:t>
      </w:r>
    </w:p>
    <w:p w14:paraId="7216758E" w14:textId="77777777" w:rsidR="00BD1A7F" w:rsidRDefault="00BD1A7F" w:rsidP="00BD1A7F">
      <w:pPr>
        <w:spacing w:before="120" w:after="120" w:line="240" w:lineRule="auto"/>
        <w:jc w:val="both"/>
        <w:rPr>
          <w:rFonts w:ascii="Times New Roman" w:hAnsi="Times New Roman" w:cs="Times New Roman"/>
          <w:noProof/>
          <w:sz w:val="24"/>
          <w:szCs w:val="24"/>
        </w:rPr>
      </w:pPr>
      <w:r>
        <w:rPr>
          <w:rFonts w:ascii="Times New Roman" w:hAnsi="Times New Roman"/>
          <w:noProof/>
          <w:sz w:val="24"/>
        </w:rPr>
        <w:t>Općim programima osposobljavanja, koji su otvoreni i ponuditeljima, povećat će se razina znanja i vještina ponuditelja u provedbi postupaka javne nabave, čime će se poboljšati razina sudjelovanja i uspješnost MSP-ova u javnoj nabavi.</w:t>
      </w:r>
    </w:p>
    <w:p w14:paraId="62A8C544" w14:textId="77777777" w:rsidR="00BD1A7F" w:rsidRDefault="00BD1A7F" w:rsidP="00BD1A7F">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Reforma će biti dovršena do 31. prosinca 2023.</w:t>
      </w:r>
    </w:p>
    <w:p w14:paraId="7FA4A521" w14:textId="77777777" w:rsidR="00BD1A7F" w:rsidRDefault="00BD1A7F" w:rsidP="00BD1A7F">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u w:val="single"/>
        </w:rPr>
        <w:t>Ulaganje: C2.9. R1-I1 – Analiza radnog opterećenja zaposlenika ključnih ustanova u sustavu javne nabave</w:t>
      </w:r>
    </w:p>
    <w:p w14:paraId="6A5FE49D" w14:textId="77777777" w:rsidR="00BD1A7F" w:rsidRDefault="00BD1A7F" w:rsidP="00BD1A7F">
      <w:pPr>
        <w:pStyle w:val="Text1"/>
        <w:ind w:left="0"/>
        <w:rPr>
          <w:noProof/>
        </w:rPr>
      </w:pPr>
      <w:r>
        <w:rPr>
          <w:noProof/>
        </w:rPr>
        <w:t>Ulaganjem će se provesti analiza radnog opterećenja kako bi se utvrdio broj sudionika, potrebne kompetencije osoblja i potrebna poboljšanja sustava naknada. Očekuje se da će se provedbom preporuke iz analize postići i održati optimalan broj visokokvalificiranih, motiviranih kadrova koji odgovaraju potrebama ključnih ustanova u sustavu javne nabave.</w:t>
      </w:r>
    </w:p>
    <w:p w14:paraId="7BD23E29" w14:textId="77777777" w:rsidR="00BD1A7F" w:rsidRDefault="00BD1A7F" w:rsidP="00BD1A7F">
      <w:pPr>
        <w:pStyle w:val="Text1"/>
        <w:ind w:left="0"/>
        <w:rPr>
          <w:noProof/>
        </w:rPr>
      </w:pPr>
      <w:r>
        <w:rPr>
          <w:noProof/>
        </w:rPr>
        <w:t>Mjera uključuje:</w:t>
      </w:r>
    </w:p>
    <w:p w14:paraId="4BA7B703" w14:textId="77777777" w:rsidR="00BD1A7F" w:rsidRDefault="00BD1A7F" w:rsidP="00BD1A7F">
      <w:pPr>
        <w:pStyle w:val="Text1"/>
        <w:numPr>
          <w:ilvl w:val="0"/>
          <w:numId w:val="37"/>
        </w:numPr>
        <w:ind w:left="720"/>
        <w:rPr>
          <w:noProof/>
        </w:rPr>
      </w:pPr>
      <w:r>
        <w:rPr>
          <w:noProof/>
        </w:rPr>
        <w:t>analizu radnog opterećenja tijela za javnu nabavu uključenih u upravljanje fondovima EU-a,</w:t>
      </w:r>
    </w:p>
    <w:p w14:paraId="7C24BB56" w14:textId="77777777" w:rsidR="00BD1A7F" w:rsidRDefault="00BD1A7F" w:rsidP="00BD1A7F">
      <w:pPr>
        <w:pStyle w:val="Text1"/>
        <w:numPr>
          <w:ilvl w:val="0"/>
          <w:numId w:val="37"/>
        </w:numPr>
        <w:ind w:left="720"/>
        <w:rPr>
          <w:noProof/>
        </w:rPr>
      </w:pPr>
      <w:r>
        <w:rPr>
          <w:noProof/>
        </w:rPr>
        <w:t>opis zadaća koje obavljaju,</w:t>
      </w:r>
    </w:p>
    <w:p w14:paraId="2833DCDC" w14:textId="77777777" w:rsidR="00BD1A7F" w:rsidRDefault="00BD1A7F" w:rsidP="00BD1A7F">
      <w:pPr>
        <w:pStyle w:val="Text1"/>
        <w:numPr>
          <w:ilvl w:val="0"/>
          <w:numId w:val="37"/>
        </w:numPr>
        <w:ind w:left="720"/>
        <w:rPr>
          <w:noProof/>
        </w:rPr>
      </w:pPr>
      <w:r>
        <w:rPr>
          <w:noProof/>
        </w:rPr>
        <w:t>definiciju potrebnih kompetencija.</w:t>
      </w:r>
    </w:p>
    <w:p w14:paraId="68ACBF42" w14:textId="77777777" w:rsidR="00BD1A7F" w:rsidRDefault="00BD1A7F" w:rsidP="00BD1A7F">
      <w:pPr>
        <w:pStyle w:val="Text1"/>
        <w:ind w:left="0"/>
        <w:rPr>
          <w:noProof/>
        </w:rPr>
      </w:pPr>
      <w:r>
        <w:rPr>
          <w:noProof/>
        </w:rPr>
        <w:t xml:space="preserve">Analiza radnog opterećenja temeljit će se na povijesnim podacima o radnom opterećenju, uzimajući u obzir trendove povećanja radnog opterećenja, uključujući potrebu za kontinuiranim i planiranim usavršavanjem kadrova u određenim temama povezanima s javnom nabavom poput strateške, društveno odgovorne, održive i inovativne javne nabave te s pristupom MSP-ova tržištu javne nabave. </w:t>
      </w:r>
    </w:p>
    <w:p w14:paraId="463230ED" w14:textId="77777777" w:rsidR="00BD1A7F" w:rsidRDefault="00BD1A7F" w:rsidP="00BD1A7F">
      <w:pPr>
        <w:pStyle w:val="Text1"/>
        <w:ind w:left="0"/>
        <w:rPr>
          <w:noProof/>
        </w:rPr>
      </w:pPr>
      <w:r>
        <w:rPr>
          <w:noProof/>
        </w:rPr>
        <w:t>Rezultati analize upotrijebit će se za definiranje potreba za kontinuiranim i planiranim usavršavanjem kadrova ključnih ustanova u sustavu javne nabave (MINGOR, Središnja agencija za financiranje i ugovaranje – SAFU i Državna komisija za kontrolu postupaka javne nabave – DKOM).</w:t>
      </w:r>
    </w:p>
    <w:p w14:paraId="0E8BC7CC" w14:textId="77777777" w:rsidR="00BD1A7F" w:rsidRDefault="00BD1A7F" w:rsidP="00BD1A7F">
      <w:pPr>
        <w:pStyle w:val="Text1"/>
        <w:ind w:left="0"/>
        <w:rPr>
          <w:noProof/>
        </w:rPr>
      </w:pPr>
      <w:r>
        <w:rPr>
          <w:noProof/>
        </w:rPr>
        <w:t>Mjera će biti dovršena do 30. rujna 2022.</w:t>
      </w:r>
    </w:p>
    <w:p w14:paraId="237C8C77" w14:textId="77777777" w:rsidR="00BD1A7F" w:rsidRDefault="00BD1A7F" w:rsidP="00BD1A7F">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u w:val="single"/>
        </w:rPr>
        <w:t xml:space="preserve">Reforma: C2.9. R2 – Jačanje sustava pravne zaštite u javnoj nabavi </w:t>
      </w:r>
    </w:p>
    <w:p w14:paraId="7C258346" w14:textId="77777777" w:rsidR="00BD1A7F" w:rsidRDefault="00BD1A7F" w:rsidP="00BD1A7F">
      <w:pPr>
        <w:pStyle w:val="Text1"/>
        <w:ind w:left="0"/>
        <w:rPr>
          <w:noProof/>
        </w:rPr>
      </w:pPr>
      <w:r>
        <w:rPr>
          <w:noProof/>
        </w:rPr>
        <w:t>Cilj je reforme doprinijeti smanjenju administrativnog opterećenja povezanog sa sustavom sudske zaštite, pospješiti borbu protiv korupcije skraćenjem prosječnih rokova rješavanja žalbenih predmeta i nadograditi i dodatno proširiti funkcije postojećeg sustava javne nabave.</w:t>
      </w:r>
    </w:p>
    <w:p w14:paraId="462A10A9" w14:textId="77777777" w:rsidR="00BD1A7F" w:rsidRDefault="00BD1A7F" w:rsidP="00BD1A7F">
      <w:pPr>
        <w:pStyle w:val="Text1"/>
        <w:ind w:left="0"/>
        <w:rPr>
          <w:noProof/>
        </w:rPr>
      </w:pPr>
      <w:r>
        <w:rPr>
          <w:noProof/>
        </w:rPr>
        <w:t>Reforma uključuje izmjene zakonodavnog okvira za javnu nabavu radi uvođenja e-žalbe kao obveznog alata u sustavu javne nabave i smanjenja prosječnog roka rješavanja žalbenih predmeta. Mjerom u okviru ove komponente poboljšava se funkcioniranje sustava e-Žalba standardizacijom podataka i daljnjim razvojem postojeće IT platforme.</w:t>
      </w:r>
    </w:p>
    <w:p w14:paraId="56CE0387" w14:textId="77777777" w:rsidR="00BD1A7F" w:rsidRDefault="00BD1A7F" w:rsidP="00BD1A7F">
      <w:pPr>
        <w:pStyle w:val="Text1"/>
        <w:ind w:left="0"/>
        <w:rPr>
          <w:noProof/>
        </w:rPr>
      </w:pPr>
      <w:r>
        <w:rPr>
          <w:noProof/>
        </w:rPr>
        <w:t>Mjera će biti dovršena do 30. lipnja 2026.</w:t>
      </w:r>
    </w:p>
    <w:p w14:paraId="386A2D9B" w14:textId="77777777" w:rsidR="00BD1A7F" w:rsidRDefault="00BD1A7F" w:rsidP="00BD1A7F">
      <w:pPr>
        <w:pStyle w:val="Text1"/>
        <w:keepNext/>
        <w:rPr>
          <w:noProof/>
          <w:u w:val="single"/>
        </w:rPr>
      </w:pPr>
      <w:r>
        <w:rPr>
          <w:noProof/>
          <w:u w:val="single"/>
        </w:rPr>
        <w:t>Reforma: C2.9. R3 – Inovativna javna nabava</w:t>
      </w:r>
    </w:p>
    <w:p w14:paraId="5C646BCC" w14:textId="77777777" w:rsidR="00BD1A7F" w:rsidRDefault="00BD1A7F" w:rsidP="00BD1A7F">
      <w:pPr>
        <w:pStyle w:val="Text1"/>
        <w:ind w:left="0"/>
        <w:rPr>
          <w:noProof/>
        </w:rPr>
      </w:pPr>
      <w:r>
        <w:rPr>
          <w:noProof/>
        </w:rPr>
        <w:t xml:space="preserve">Cilj je reforme poticati primjenu inovativnih proizvoda i usluga javne nabave, čime će se doprinijeti povećanju transparentnosti postupka javne nabave, privući više privatnih dionika te stvoriti pravedniji i konkurentniji sustav javne nabave u Hrvatskoj. </w:t>
      </w:r>
    </w:p>
    <w:p w14:paraId="13885ECF" w14:textId="77777777" w:rsidR="00BD1A7F" w:rsidRDefault="00BD1A7F" w:rsidP="00BD1A7F">
      <w:pPr>
        <w:pStyle w:val="Text1"/>
        <w:ind w:left="0"/>
        <w:rPr>
          <w:noProof/>
        </w:rPr>
      </w:pPr>
      <w:r>
        <w:rPr>
          <w:noProof/>
        </w:rPr>
        <w:t>U okviru ove reforme MINGOR i HAMAG BICRO će:</w:t>
      </w:r>
    </w:p>
    <w:p w14:paraId="71A9DBAD" w14:textId="77777777" w:rsidR="00BD1A7F" w:rsidRDefault="00BD1A7F" w:rsidP="00BD1A7F">
      <w:pPr>
        <w:pStyle w:val="Text1"/>
        <w:numPr>
          <w:ilvl w:val="0"/>
          <w:numId w:val="37"/>
        </w:numPr>
        <w:ind w:left="720"/>
        <w:rPr>
          <w:noProof/>
        </w:rPr>
      </w:pPr>
      <w:r>
        <w:rPr>
          <w:noProof/>
        </w:rPr>
        <w:t>donijeti plan inovativne javne nabave, uključujući hodogram za naručitelje o provedbi inovativnih zahtjeva u okviru planiranih javnih nabava,</w:t>
      </w:r>
    </w:p>
    <w:p w14:paraId="1C5D69B2" w14:textId="77777777" w:rsidR="00BD1A7F" w:rsidRDefault="00BD1A7F" w:rsidP="00BD1A7F">
      <w:pPr>
        <w:pStyle w:val="Text1"/>
        <w:numPr>
          <w:ilvl w:val="0"/>
          <w:numId w:val="37"/>
        </w:numPr>
        <w:ind w:left="720"/>
        <w:rPr>
          <w:noProof/>
        </w:rPr>
      </w:pPr>
      <w:r>
        <w:rPr>
          <w:noProof/>
        </w:rPr>
        <w:t>uspostaviti sustav praćenja i ocjenjivanja za inovativnu javnu nabavu,</w:t>
      </w:r>
    </w:p>
    <w:p w14:paraId="46AC903B" w14:textId="77777777" w:rsidR="00BD1A7F" w:rsidRDefault="00BD1A7F" w:rsidP="00BD1A7F">
      <w:pPr>
        <w:pStyle w:val="Text1"/>
        <w:numPr>
          <w:ilvl w:val="0"/>
          <w:numId w:val="37"/>
        </w:numPr>
        <w:ind w:left="720"/>
        <w:rPr>
          <w:noProof/>
        </w:rPr>
      </w:pPr>
      <w:r>
        <w:rPr>
          <w:noProof/>
        </w:rPr>
        <w:t>donijeti priručnik za naručitelje s uputama za provođenje postupaka javne nabave povezane s inovacijama,</w:t>
      </w:r>
    </w:p>
    <w:p w14:paraId="6525F49C" w14:textId="77777777" w:rsidR="00BD1A7F" w:rsidRDefault="00BD1A7F" w:rsidP="00BD1A7F">
      <w:pPr>
        <w:pStyle w:val="Text1"/>
        <w:numPr>
          <w:ilvl w:val="0"/>
          <w:numId w:val="37"/>
        </w:numPr>
        <w:ind w:left="720"/>
        <w:rPr>
          <w:noProof/>
        </w:rPr>
      </w:pPr>
      <w:r>
        <w:rPr>
          <w:noProof/>
        </w:rPr>
        <w:t>ojačati kapacitete hrvatskih naručitelja u postupcima inovativne javne nabave pružanjem edukacija,</w:t>
      </w:r>
    </w:p>
    <w:p w14:paraId="7C25E1F4" w14:textId="77777777" w:rsidR="00BD1A7F" w:rsidRDefault="00BD1A7F" w:rsidP="00BD1A7F">
      <w:pPr>
        <w:pStyle w:val="Text1"/>
        <w:numPr>
          <w:ilvl w:val="0"/>
          <w:numId w:val="37"/>
        </w:numPr>
        <w:ind w:left="720"/>
        <w:rPr>
          <w:noProof/>
        </w:rPr>
      </w:pPr>
      <w:r>
        <w:rPr>
          <w:noProof/>
        </w:rPr>
        <w:t>informirati zainteresirane dionike iz privatnog sektora o postupcima inovativne javne nabave.</w:t>
      </w:r>
    </w:p>
    <w:p w14:paraId="545A5350" w14:textId="77777777" w:rsidR="00BD1A7F" w:rsidRDefault="00BD1A7F" w:rsidP="00BD1A7F">
      <w:pPr>
        <w:spacing w:before="120" w:after="120" w:line="240" w:lineRule="auto"/>
        <w:jc w:val="both"/>
        <w:rPr>
          <w:rFonts w:ascii="Times New Roman" w:hAnsi="Times New Roman" w:cs="Times New Roman"/>
          <w:noProof/>
          <w:sz w:val="24"/>
          <w:szCs w:val="24"/>
        </w:rPr>
      </w:pPr>
      <w:r>
        <w:rPr>
          <w:rFonts w:ascii="Times New Roman" w:hAnsi="Times New Roman"/>
          <w:noProof/>
          <w:sz w:val="24"/>
        </w:rPr>
        <w:t>Mjera će biti dovršena do 31. prosinca 2025.</w:t>
      </w:r>
    </w:p>
    <w:p w14:paraId="2CA1FB1A" w14:textId="77777777" w:rsidR="00BD1A7F" w:rsidRDefault="00BD1A7F" w:rsidP="00EF0713">
      <w:pPr>
        <w:rPr>
          <w:noProof/>
        </w:rPr>
        <w:sectPr w:rsidR="00BD1A7F" w:rsidSect="00BD1A7F">
          <w:headerReference w:type="even" r:id="rId258"/>
          <w:headerReference w:type="default" r:id="rId259"/>
          <w:footerReference w:type="even" r:id="rId260"/>
          <w:footerReference w:type="default" r:id="rId261"/>
          <w:headerReference w:type="first" r:id="rId262"/>
          <w:footerReference w:type="first" r:id="rId263"/>
          <w:pgSz w:w="12240" w:h="15840"/>
          <w:pgMar w:top="1098" w:right="1440" w:bottom="1418" w:left="1440" w:header="708" w:footer="708" w:gutter="0"/>
          <w:cols w:space="708"/>
          <w:docGrid w:linePitch="360"/>
        </w:sectPr>
      </w:pPr>
    </w:p>
    <w:p w14:paraId="4B64BE6E" w14:textId="77777777" w:rsidR="00BD1A7F" w:rsidRDefault="00BD1A7F" w:rsidP="00BD1A7F">
      <w:pPr>
        <w:keepNext/>
        <w:tabs>
          <w:tab w:val="num" w:pos="426"/>
        </w:tabs>
        <w:spacing w:before="40" w:after="0"/>
        <w:ind w:left="284" w:firstLine="567"/>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u w:val="single"/>
        </w:rPr>
        <w:t xml:space="preserve">O.2. </w:t>
      </w:r>
      <w:r>
        <w:rPr>
          <w:rFonts w:ascii="Times New Roman" w:hAnsi="Times New Roman"/>
          <w:b/>
          <w:noProof/>
          <w:sz w:val="24"/>
          <w:u w:val="single"/>
        </w:rPr>
        <w:tab/>
        <w:t>Ključne etape, ciljne vrijednosti, pokazatelji i vremenski raspored za praćenje i provedbu programa bespovratne financijske potpore</w:t>
      </w:r>
    </w:p>
    <w:p w14:paraId="72EA664A" w14:textId="77777777" w:rsidR="00BD1A7F" w:rsidRDefault="00BD1A7F" w:rsidP="00BD1A7F">
      <w:pPr>
        <w:keepNext/>
        <w:tabs>
          <w:tab w:val="num" w:pos="850"/>
        </w:tabs>
        <w:spacing w:before="40" w:after="0"/>
        <w:ind w:left="851"/>
        <w:jc w:val="both"/>
        <w:outlineLvl w:val="1"/>
        <w:rPr>
          <w:rFonts w:ascii="Times New Roman" w:eastAsiaTheme="minorEastAsia" w:hAnsi="Times New Roman" w:cs="Times New Roman"/>
          <w:b/>
          <w:noProof/>
          <w:sz w:val="24"/>
          <w:szCs w:val="24"/>
          <w:u w:val="single"/>
        </w:rPr>
      </w:pPr>
    </w:p>
    <w:tbl>
      <w:tblPr>
        <w:tblW w:w="15199" w:type="dxa"/>
        <w:jc w:val="center"/>
        <w:tblCellMar>
          <w:top w:w="28" w:type="dxa"/>
          <w:left w:w="28" w:type="dxa"/>
          <w:bottom w:w="28" w:type="dxa"/>
          <w:right w:w="28" w:type="dxa"/>
        </w:tblCellMar>
        <w:tblLook w:val="04A0" w:firstRow="1" w:lastRow="0" w:firstColumn="1" w:lastColumn="0" w:noHBand="0" w:noVBand="1"/>
      </w:tblPr>
      <w:tblGrid>
        <w:gridCol w:w="592"/>
        <w:gridCol w:w="778"/>
        <w:gridCol w:w="871"/>
        <w:gridCol w:w="1994"/>
        <w:gridCol w:w="2141"/>
        <w:gridCol w:w="1096"/>
        <w:gridCol w:w="966"/>
        <w:gridCol w:w="927"/>
        <w:gridCol w:w="592"/>
        <w:gridCol w:w="960"/>
        <w:gridCol w:w="4347"/>
      </w:tblGrid>
      <w:tr w:rsidR="009926D5" w14:paraId="02377639" w14:textId="77777777" w:rsidTr="00E25E44">
        <w:trPr>
          <w:trHeight w:val="635"/>
          <w:tblHeader/>
          <w:jc w:val="center"/>
        </w:trPr>
        <w:tc>
          <w:tcPr>
            <w:tcW w:w="59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563070A" w14:textId="77777777" w:rsidR="00BD1A7F" w:rsidRDefault="00BD1A7F" w:rsidP="00BD1A7F">
            <w:pPr>
              <w:spacing w:after="0"/>
              <w:ind w:left="-255" w:firstLine="113"/>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77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311E2AC"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0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031CABC"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1994"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513B5780"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141"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C98B518"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989" w:type="dxa"/>
            <w:gridSpan w:val="3"/>
            <w:tcBorders>
              <w:top w:val="single" w:sz="4" w:space="0" w:color="auto"/>
              <w:left w:val="nil"/>
              <w:bottom w:val="single" w:sz="4" w:space="0" w:color="auto"/>
              <w:right w:val="single" w:sz="4" w:space="0" w:color="auto"/>
            </w:tcBorders>
            <w:shd w:val="clear" w:color="auto" w:fill="BDD7EE"/>
            <w:vAlign w:val="center"/>
            <w:hideMark/>
          </w:tcPr>
          <w:p w14:paraId="396853A1"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552" w:type="dxa"/>
            <w:gridSpan w:val="2"/>
            <w:tcBorders>
              <w:top w:val="single" w:sz="4" w:space="0" w:color="auto"/>
              <w:left w:val="nil"/>
              <w:bottom w:val="single" w:sz="4" w:space="0" w:color="auto"/>
              <w:right w:val="single" w:sz="4" w:space="0" w:color="auto"/>
            </w:tcBorders>
            <w:shd w:val="clear" w:color="auto" w:fill="BDD7EE"/>
            <w:vAlign w:val="center"/>
            <w:hideMark/>
          </w:tcPr>
          <w:p w14:paraId="725D0F57"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3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228439"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9926D5" w14:paraId="193A6BB8" w14:textId="77777777" w:rsidTr="00E25E44">
        <w:trPr>
          <w:trHeight w:val="503"/>
          <w:tblHeader/>
          <w:jc w:val="center"/>
        </w:trPr>
        <w:tc>
          <w:tcPr>
            <w:tcW w:w="592" w:type="dxa"/>
            <w:vMerge/>
            <w:tcBorders>
              <w:top w:val="single" w:sz="4" w:space="0" w:color="auto"/>
              <w:left w:val="single" w:sz="4" w:space="0" w:color="auto"/>
              <w:bottom w:val="single" w:sz="4" w:space="0" w:color="000000"/>
              <w:right w:val="single" w:sz="4" w:space="0" w:color="auto"/>
            </w:tcBorders>
            <w:hideMark/>
          </w:tcPr>
          <w:p w14:paraId="24BF1165" w14:textId="77777777" w:rsidR="00BD1A7F" w:rsidRDefault="00BD1A7F" w:rsidP="0001477B">
            <w:pPr>
              <w:spacing w:after="0"/>
              <w:jc w:val="center"/>
              <w:rPr>
                <w:rFonts w:ascii="Times New Roman" w:eastAsia="Times New Roman" w:hAnsi="Times New Roman" w:cs="Times New Roman"/>
                <w:b/>
                <w:noProof/>
                <w:lang w:eastAsia="en-GB"/>
              </w:rPr>
            </w:pPr>
          </w:p>
        </w:tc>
        <w:tc>
          <w:tcPr>
            <w:tcW w:w="778" w:type="dxa"/>
            <w:vMerge/>
            <w:tcBorders>
              <w:top w:val="single" w:sz="4" w:space="0" w:color="auto"/>
              <w:left w:val="single" w:sz="4" w:space="0" w:color="auto"/>
              <w:bottom w:val="single" w:sz="4" w:space="0" w:color="000000"/>
              <w:right w:val="single" w:sz="4" w:space="0" w:color="auto"/>
            </w:tcBorders>
            <w:hideMark/>
          </w:tcPr>
          <w:p w14:paraId="510B1B5F" w14:textId="77777777" w:rsidR="00BD1A7F" w:rsidRDefault="00BD1A7F" w:rsidP="0001477B">
            <w:pPr>
              <w:spacing w:after="0"/>
              <w:jc w:val="center"/>
              <w:rPr>
                <w:rFonts w:ascii="Times New Roman" w:eastAsia="Times New Roman" w:hAnsi="Times New Roman" w:cs="Times New Roman"/>
                <w:b/>
                <w:noProof/>
                <w:lang w:eastAsia="en-GB"/>
              </w:rPr>
            </w:pPr>
          </w:p>
        </w:tc>
        <w:tc>
          <w:tcPr>
            <w:tcW w:w="806" w:type="dxa"/>
            <w:vMerge/>
            <w:tcBorders>
              <w:top w:val="single" w:sz="4" w:space="0" w:color="auto"/>
              <w:left w:val="single" w:sz="4" w:space="0" w:color="auto"/>
              <w:bottom w:val="single" w:sz="4" w:space="0" w:color="000000"/>
              <w:right w:val="single" w:sz="4" w:space="0" w:color="auto"/>
            </w:tcBorders>
            <w:hideMark/>
          </w:tcPr>
          <w:p w14:paraId="3225E786" w14:textId="77777777" w:rsidR="00BD1A7F" w:rsidRDefault="00BD1A7F" w:rsidP="0001477B">
            <w:pPr>
              <w:spacing w:after="0"/>
              <w:jc w:val="center"/>
              <w:rPr>
                <w:rFonts w:ascii="Times New Roman" w:eastAsia="Times New Roman" w:hAnsi="Times New Roman" w:cs="Times New Roman"/>
                <w:b/>
                <w:noProof/>
                <w:lang w:eastAsia="en-GB"/>
              </w:rPr>
            </w:pPr>
          </w:p>
        </w:tc>
        <w:tc>
          <w:tcPr>
            <w:tcW w:w="1994" w:type="dxa"/>
            <w:vMerge/>
            <w:tcBorders>
              <w:top w:val="single" w:sz="4" w:space="0" w:color="auto"/>
              <w:left w:val="nil"/>
              <w:bottom w:val="single" w:sz="4" w:space="0" w:color="000000"/>
              <w:right w:val="single" w:sz="4" w:space="0" w:color="auto"/>
            </w:tcBorders>
            <w:hideMark/>
          </w:tcPr>
          <w:p w14:paraId="732FDB9D" w14:textId="77777777" w:rsidR="00BD1A7F" w:rsidRDefault="00BD1A7F" w:rsidP="0001477B">
            <w:pPr>
              <w:spacing w:after="0"/>
              <w:rPr>
                <w:rFonts w:ascii="Times New Roman" w:eastAsia="Times New Roman" w:hAnsi="Times New Roman" w:cs="Times New Roman"/>
                <w:b/>
                <w:noProof/>
                <w:lang w:eastAsia="en-GB"/>
              </w:rPr>
            </w:pPr>
          </w:p>
        </w:tc>
        <w:tc>
          <w:tcPr>
            <w:tcW w:w="2141" w:type="dxa"/>
            <w:vMerge/>
            <w:tcBorders>
              <w:top w:val="single" w:sz="4" w:space="0" w:color="auto"/>
              <w:left w:val="single" w:sz="4" w:space="0" w:color="auto"/>
              <w:bottom w:val="single" w:sz="4" w:space="0" w:color="000000"/>
              <w:right w:val="single" w:sz="4" w:space="0" w:color="auto"/>
            </w:tcBorders>
            <w:hideMark/>
          </w:tcPr>
          <w:p w14:paraId="0E09115F" w14:textId="77777777" w:rsidR="00BD1A7F" w:rsidRDefault="00BD1A7F" w:rsidP="0001477B">
            <w:pPr>
              <w:spacing w:after="0"/>
              <w:rPr>
                <w:rFonts w:ascii="Times New Roman" w:eastAsia="Times New Roman" w:hAnsi="Times New Roman" w:cs="Times New Roman"/>
                <w:b/>
                <w:noProof/>
                <w:lang w:eastAsia="en-GB"/>
              </w:rPr>
            </w:pPr>
          </w:p>
        </w:tc>
        <w:tc>
          <w:tcPr>
            <w:tcW w:w="1096" w:type="dxa"/>
            <w:tcBorders>
              <w:top w:val="nil"/>
              <w:left w:val="nil"/>
              <w:bottom w:val="single" w:sz="4" w:space="0" w:color="auto"/>
              <w:right w:val="single" w:sz="4" w:space="0" w:color="auto"/>
            </w:tcBorders>
            <w:shd w:val="clear" w:color="auto" w:fill="BDD7EE"/>
            <w:vAlign w:val="center"/>
            <w:hideMark/>
          </w:tcPr>
          <w:p w14:paraId="0CEC1C64"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966" w:type="dxa"/>
            <w:tcBorders>
              <w:top w:val="nil"/>
              <w:left w:val="nil"/>
              <w:bottom w:val="single" w:sz="4" w:space="0" w:color="auto"/>
              <w:right w:val="single" w:sz="4" w:space="0" w:color="auto"/>
            </w:tcBorders>
            <w:shd w:val="clear" w:color="auto" w:fill="BDD7EE"/>
            <w:vAlign w:val="center"/>
            <w:hideMark/>
          </w:tcPr>
          <w:p w14:paraId="5909E89E"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927" w:type="dxa"/>
            <w:tcBorders>
              <w:top w:val="nil"/>
              <w:left w:val="nil"/>
              <w:bottom w:val="single" w:sz="4" w:space="0" w:color="auto"/>
              <w:right w:val="single" w:sz="4" w:space="0" w:color="auto"/>
            </w:tcBorders>
            <w:shd w:val="clear" w:color="auto" w:fill="BDD7EE"/>
            <w:vAlign w:val="center"/>
            <w:hideMark/>
          </w:tcPr>
          <w:p w14:paraId="6C2DC964"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92" w:type="dxa"/>
            <w:tcBorders>
              <w:top w:val="nil"/>
              <w:left w:val="nil"/>
              <w:bottom w:val="single" w:sz="4" w:space="0" w:color="auto"/>
              <w:right w:val="single" w:sz="4" w:space="0" w:color="auto"/>
            </w:tcBorders>
            <w:shd w:val="clear" w:color="auto" w:fill="BDD7EE"/>
            <w:vAlign w:val="center"/>
            <w:hideMark/>
          </w:tcPr>
          <w:p w14:paraId="3393F2EC"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960" w:type="dxa"/>
            <w:tcBorders>
              <w:top w:val="nil"/>
              <w:left w:val="nil"/>
              <w:bottom w:val="single" w:sz="4" w:space="0" w:color="auto"/>
              <w:right w:val="single" w:sz="4" w:space="0" w:color="auto"/>
            </w:tcBorders>
            <w:shd w:val="clear" w:color="auto" w:fill="BDD7EE"/>
            <w:vAlign w:val="center"/>
            <w:hideMark/>
          </w:tcPr>
          <w:p w14:paraId="4DDB094C" w14:textId="77777777" w:rsidR="00BD1A7F" w:rsidRDefault="00BD1A7F" w:rsidP="0001477B">
            <w:pPr>
              <w:spacing w:after="0"/>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347" w:type="dxa"/>
            <w:vMerge/>
            <w:tcBorders>
              <w:top w:val="single" w:sz="4" w:space="0" w:color="auto"/>
              <w:left w:val="single" w:sz="4" w:space="0" w:color="auto"/>
              <w:bottom w:val="single" w:sz="4" w:space="0" w:color="auto"/>
              <w:right w:val="single" w:sz="4" w:space="0" w:color="auto"/>
            </w:tcBorders>
            <w:hideMark/>
          </w:tcPr>
          <w:p w14:paraId="67007FF9" w14:textId="77777777" w:rsidR="00BD1A7F" w:rsidRDefault="00BD1A7F" w:rsidP="0001477B">
            <w:pPr>
              <w:spacing w:after="0"/>
              <w:rPr>
                <w:rFonts w:ascii="Times New Roman" w:eastAsia="Times New Roman" w:hAnsi="Times New Roman" w:cs="Times New Roman"/>
                <w:b/>
                <w:noProof/>
                <w:lang w:eastAsia="en-GB"/>
              </w:rPr>
            </w:pPr>
          </w:p>
        </w:tc>
      </w:tr>
      <w:tr w:rsidR="009926D5" w14:paraId="55F49D71" w14:textId="77777777" w:rsidTr="00E25E44">
        <w:trPr>
          <w:trHeight w:val="283"/>
          <w:jc w:val="center"/>
        </w:trPr>
        <w:tc>
          <w:tcPr>
            <w:tcW w:w="592" w:type="dxa"/>
            <w:tcBorders>
              <w:top w:val="nil"/>
              <w:left w:val="single" w:sz="4" w:space="0" w:color="auto"/>
              <w:bottom w:val="single" w:sz="4" w:space="0" w:color="auto"/>
              <w:right w:val="single" w:sz="4" w:space="0" w:color="auto"/>
            </w:tcBorders>
            <w:shd w:val="clear" w:color="auto" w:fill="C6EFCE"/>
            <w:noWrap/>
          </w:tcPr>
          <w:p w14:paraId="714339C6" w14:textId="77777777" w:rsidR="00BD1A7F" w:rsidRDefault="00BD1A7F" w:rsidP="0001477B">
            <w:pPr>
              <w:jc w:val="center"/>
              <w:rPr>
                <w:rFonts w:ascii="Times New Roman" w:hAnsi="Times New Roman" w:cs="Times New Roman"/>
                <w:noProof/>
                <w:sz w:val="20"/>
                <w:szCs w:val="20"/>
              </w:rPr>
            </w:pPr>
            <w:r>
              <w:rPr>
                <w:noProof/>
                <w:color w:val="000000"/>
                <w:sz w:val="20"/>
              </w:rPr>
              <w:t>256</w:t>
            </w:r>
          </w:p>
        </w:tc>
        <w:tc>
          <w:tcPr>
            <w:tcW w:w="778" w:type="dxa"/>
            <w:tcBorders>
              <w:top w:val="nil"/>
              <w:left w:val="nil"/>
              <w:bottom w:val="single" w:sz="4" w:space="0" w:color="auto"/>
              <w:right w:val="single" w:sz="4" w:space="0" w:color="auto"/>
            </w:tcBorders>
            <w:shd w:val="clear" w:color="auto" w:fill="C6EFCE"/>
            <w:noWrap/>
          </w:tcPr>
          <w:p w14:paraId="3B0C4928" w14:textId="77777777" w:rsidR="00BD1A7F" w:rsidRDefault="00BD1A7F" w:rsidP="0001477B">
            <w:pPr>
              <w:jc w:val="center"/>
              <w:rPr>
                <w:rFonts w:ascii="Times New Roman" w:hAnsi="Times New Roman" w:cs="Times New Roman"/>
                <w:noProof/>
                <w:sz w:val="20"/>
                <w:szCs w:val="20"/>
              </w:rPr>
            </w:pPr>
            <w:r>
              <w:rPr>
                <w:noProof/>
                <w:color w:val="000000"/>
                <w:sz w:val="20"/>
              </w:rPr>
              <w:t>C2.9. R1</w:t>
            </w:r>
          </w:p>
        </w:tc>
        <w:tc>
          <w:tcPr>
            <w:tcW w:w="806" w:type="dxa"/>
            <w:tcBorders>
              <w:top w:val="nil"/>
              <w:left w:val="nil"/>
              <w:bottom w:val="single" w:sz="4" w:space="0" w:color="auto"/>
              <w:right w:val="single" w:sz="4" w:space="0" w:color="auto"/>
            </w:tcBorders>
            <w:shd w:val="clear" w:color="auto" w:fill="C6EFCE"/>
            <w:noWrap/>
          </w:tcPr>
          <w:p w14:paraId="615F507B" w14:textId="77777777" w:rsidR="00BD1A7F" w:rsidRDefault="00BD1A7F" w:rsidP="0001477B">
            <w:pPr>
              <w:jc w:val="center"/>
              <w:rPr>
                <w:rFonts w:ascii="Times New Roman" w:hAnsi="Times New Roman" w:cs="Times New Roman"/>
                <w:noProof/>
                <w:sz w:val="20"/>
                <w:szCs w:val="20"/>
              </w:rPr>
            </w:pPr>
            <w:r>
              <w:rPr>
                <w:noProof/>
                <w:color w:val="000000"/>
                <w:sz w:val="20"/>
              </w:rPr>
              <w:t>Ključna etapa</w:t>
            </w:r>
          </w:p>
        </w:tc>
        <w:tc>
          <w:tcPr>
            <w:tcW w:w="1994" w:type="dxa"/>
            <w:tcBorders>
              <w:top w:val="nil"/>
              <w:left w:val="nil"/>
              <w:bottom w:val="single" w:sz="4" w:space="0" w:color="auto"/>
              <w:right w:val="single" w:sz="4" w:space="0" w:color="auto"/>
            </w:tcBorders>
            <w:shd w:val="clear" w:color="auto" w:fill="C6EFCE"/>
            <w:noWrap/>
          </w:tcPr>
          <w:p w14:paraId="209F6D6E" w14:textId="77777777" w:rsidR="00BD1A7F" w:rsidRDefault="00BD1A7F" w:rsidP="0001477B">
            <w:pPr>
              <w:rPr>
                <w:rFonts w:ascii="Times New Roman" w:hAnsi="Times New Roman" w:cs="Times New Roman"/>
                <w:noProof/>
                <w:sz w:val="20"/>
                <w:szCs w:val="20"/>
              </w:rPr>
            </w:pPr>
            <w:r>
              <w:rPr>
                <w:noProof/>
                <w:color w:val="000000"/>
                <w:sz w:val="20"/>
              </w:rPr>
              <w:t xml:space="preserve">Smjernice za poboljšanje sudjelovanja MSP-ova u postupcima javne nabave i njihovo objedinjavanje </w:t>
            </w:r>
          </w:p>
        </w:tc>
        <w:tc>
          <w:tcPr>
            <w:tcW w:w="2141" w:type="dxa"/>
            <w:tcBorders>
              <w:top w:val="nil"/>
              <w:left w:val="nil"/>
              <w:bottom w:val="single" w:sz="4" w:space="0" w:color="auto"/>
              <w:right w:val="single" w:sz="4" w:space="0" w:color="auto"/>
            </w:tcBorders>
            <w:shd w:val="clear" w:color="auto" w:fill="C6EFCE"/>
            <w:noWrap/>
          </w:tcPr>
          <w:p w14:paraId="1F35DA46" w14:textId="77777777" w:rsidR="00BD1A7F" w:rsidRDefault="00BD1A7F" w:rsidP="0001477B">
            <w:pPr>
              <w:rPr>
                <w:rFonts w:ascii="Times New Roman" w:hAnsi="Times New Roman" w:cs="Times New Roman"/>
                <w:noProof/>
                <w:sz w:val="20"/>
                <w:szCs w:val="20"/>
              </w:rPr>
            </w:pPr>
            <w:r>
              <w:rPr>
                <w:noProof/>
                <w:color w:val="000000"/>
                <w:sz w:val="20"/>
              </w:rPr>
              <w:t>Objava smjernica na Portalu javne nabave</w:t>
            </w:r>
          </w:p>
        </w:tc>
        <w:tc>
          <w:tcPr>
            <w:tcW w:w="1096" w:type="dxa"/>
            <w:tcBorders>
              <w:top w:val="nil"/>
              <w:left w:val="nil"/>
              <w:bottom w:val="single" w:sz="4" w:space="0" w:color="auto"/>
              <w:right w:val="single" w:sz="4" w:space="0" w:color="auto"/>
            </w:tcBorders>
            <w:shd w:val="clear" w:color="auto" w:fill="C6EFCE"/>
            <w:noWrap/>
          </w:tcPr>
          <w:p w14:paraId="70036394"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66" w:type="dxa"/>
            <w:tcBorders>
              <w:top w:val="nil"/>
              <w:left w:val="nil"/>
              <w:bottom w:val="single" w:sz="4" w:space="0" w:color="auto"/>
              <w:right w:val="single" w:sz="4" w:space="0" w:color="auto"/>
            </w:tcBorders>
            <w:shd w:val="clear" w:color="auto" w:fill="C6EFCE"/>
            <w:noWrap/>
          </w:tcPr>
          <w:p w14:paraId="4D100ECA"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27" w:type="dxa"/>
            <w:tcBorders>
              <w:top w:val="nil"/>
              <w:left w:val="nil"/>
              <w:bottom w:val="single" w:sz="4" w:space="0" w:color="auto"/>
              <w:right w:val="single" w:sz="4" w:space="0" w:color="auto"/>
            </w:tcBorders>
            <w:shd w:val="clear" w:color="auto" w:fill="C6EFCE"/>
            <w:noWrap/>
          </w:tcPr>
          <w:p w14:paraId="7C14361E"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592" w:type="dxa"/>
            <w:tcBorders>
              <w:top w:val="nil"/>
              <w:left w:val="nil"/>
              <w:bottom w:val="single" w:sz="4" w:space="0" w:color="auto"/>
              <w:right w:val="single" w:sz="4" w:space="0" w:color="auto"/>
            </w:tcBorders>
            <w:shd w:val="clear" w:color="auto" w:fill="C6EFCE"/>
            <w:noWrap/>
          </w:tcPr>
          <w:p w14:paraId="2E6D1BD4" w14:textId="77777777" w:rsidR="00BD1A7F" w:rsidRDefault="00BD1A7F" w:rsidP="0001477B">
            <w:pPr>
              <w:jc w:val="center"/>
              <w:rPr>
                <w:rFonts w:ascii="Times New Roman" w:hAnsi="Times New Roman" w:cs="Times New Roman"/>
                <w:noProof/>
                <w:sz w:val="20"/>
                <w:szCs w:val="20"/>
              </w:rPr>
            </w:pPr>
            <w:r>
              <w:rPr>
                <w:noProof/>
                <w:color w:val="000000"/>
                <w:sz w:val="20"/>
              </w:rPr>
              <w:t>3.</w:t>
            </w:r>
          </w:p>
        </w:tc>
        <w:tc>
          <w:tcPr>
            <w:tcW w:w="960" w:type="dxa"/>
            <w:tcBorders>
              <w:top w:val="nil"/>
              <w:left w:val="nil"/>
              <w:bottom w:val="single" w:sz="4" w:space="0" w:color="auto"/>
              <w:right w:val="single" w:sz="4" w:space="0" w:color="auto"/>
            </w:tcBorders>
            <w:shd w:val="clear" w:color="auto" w:fill="C6EFCE"/>
            <w:noWrap/>
          </w:tcPr>
          <w:p w14:paraId="2AD16278" w14:textId="77777777" w:rsidR="00BD1A7F" w:rsidRDefault="00BD1A7F" w:rsidP="0001477B">
            <w:pPr>
              <w:jc w:val="center"/>
              <w:rPr>
                <w:rFonts w:ascii="Times New Roman" w:hAnsi="Times New Roman" w:cs="Times New Roman"/>
                <w:noProof/>
                <w:sz w:val="20"/>
                <w:szCs w:val="20"/>
              </w:rPr>
            </w:pPr>
            <w:r>
              <w:rPr>
                <w:noProof/>
                <w:color w:val="000000"/>
                <w:sz w:val="20"/>
              </w:rPr>
              <w:t>2022.</w:t>
            </w:r>
          </w:p>
        </w:tc>
        <w:tc>
          <w:tcPr>
            <w:tcW w:w="4347" w:type="dxa"/>
            <w:tcBorders>
              <w:top w:val="nil"/>
              <w:left w:val="nil"/>
              <w:bottom w:val="single" w:sz="4" w:space="0" w:color="auto"/>
              <w:right w:val="single" w:sz="4" w:space="0" w:color="auto"/>
            </w:tcBorders>
            <w:shd w:val="clear" w:color="auto" w:fill="C6EFCE"/>
            <w:noWrap/>
          </w:tcPr>
          <w:p w14:paraId="3DBB4FE3" w14:textId="77777777" w:rsidR="00BD1A7F" w:rsidRDefault="00BD1A7F" w:rsidP="0001477B">
            <w:pPr>
              <w:rPr>
                <w:rFonts w:ascii="Times New Roman" w:hAnsi="Times New Roman" w:cs="Times New Roman"/>
                <w:noProof/>
                <w:sz w:val="20"/>
                <w:szCs w:val="20"/>
              </w:rPr>
            </w:pPr>
            <w:r>
              <w:rPr>
                <w:noProof/>
                <w:color w:val="000000"/>
                <w:sz w:val="20"/>
              </w:rPr>
              <w:t xml:space="preserve">U svrhu dodatnog poticanja uključivanja MSP-ova u postupke javne nabave, izradit će se i objaviti smjernice za naručitelje i ponuditelje kojima će se poticati sudjelovanje MSP-ova na tržištu javne nabave. Smjernice će uključivati i najvažnije odredbe Zakona o javnoj nabavi kojima je cilj MSP-ovima olakšati natjecanje za ugovore o javnoj nabavi. Nastavit će se suradnja s poslovnim udruženjima u provođenju ciljane izobrazbe ponuditelja u postupcima javne nabave. Smjernice će se pripremiti na temelju rezultata projekta u okviru Programa potpore strukturnim reformama. </w:t>
            </w:r>
          </w:p>
        </w:tc>
      </w:tr>
      <w:tr w:rsidR="009926D5" w14:paraId="33BBF7CB" w14:textId="77777777" w:rsidTr="00E25E44">
        <w:trPr>
          <w:trHeight w:val="283"/>
          <w:jc w:val="center"/>
        </w:trPr>
        <w:tc>
          <w:tcPr>
            <w:tcW w:w="592" w:type="dxa"/>
            <w:tcBorders>
              <w:top w:val="nil"/>
              <w:left w:val="single" w:sz="4" w:space="0" w:color="auto"/>
              <w:bottom w:val="single" w:sz="4" w:space="0" w:color="auto"/>
              <w:right w:val="single" w:sz="4" w:space="0" w:color="auto"/>
            </w:tcBorders>
            <w:shd w:val="clear" w:color="auto" w:fill="C6EFCE"/>
            <w:noWrap/>
          </w:tcPr>
          <w:p w14:paraId="2448DA0F" w14:textId="77777777" w:rsidR="00BD1A7F" w:rsidRDefault="00BD1A7F" w:rsidP="0001477B">
            <w:pPr>
              <w:spacing w:after="0"/>
              <w:jc w:val="center"/>
              <w:rPr>
                <w:rFonts w:ascii="Times New Roman" w:hAnsi="Times New Roman" w:cs="Times New Roman"/>
                <w:noProof/>
                <w:sz w:val="20"/>
                <w:szCs w:val="20"/>
              </w:rPr>
            </w:pPr>
            <w:r>
              <w:rPr>
                <w:noProof/>
                <w:color w:val="000000"/>
                <w:sz w:val="20"/>
              </w:rPr>
              <w:t>257</w:t>
            </w:r>
          </w:p>
        </w:tc>
        <w:tc>
          <w:tcPr>
            <w:tcW w:w="778" w:type="dxa"/>
            <w:tcBorders>
              <w:top w:val="nil"/>
              <w:left w:val="nil"/>
              <w:bottom w:val="single" w:sz="4" w:space="0" w:color="auto"/>
              <w:right w:val="single" w:sz="4" w:space="0" w:color="auto"/>
            </w:tcBorders>
            <w:shd w:val="clear" w:color="auto" w:fill="C6EFCE"/>
            <w:noWrap/>
          </w:tcPr>
          <w:p w14:paraId="19E23B68" w14:textId="77777777" w:rsidR="00BD1A7F" w:rsidRDefault="00BD1A7F" w:rsidP="0001477B">
            <w:pPr>
              <w:jc w:val="center"/>
              <w:rPr>
                <w:rFonts w:ascii="Times New Roman" w:hAnsi="Times New Roman" w:cs="Times New Roman"/>
                <w:noProof/>
                <w:sz w:val="20"/>
                <w:szCs w:val="20"/>
              </w:rPr>
            </w:pPr>
            <w:r>
              <w:rPr>
                <w:noProof/>
                <w:color w:val="000000"/>
                <w:sz w:val="20"/>
              </w:rPr>
              <w:t>C2.9. R1</w:t>
            </w:r>
          </w:p>
        </w:tc>
        <w:tc>
          <w:tcPr>
            <w:tcW w:w="806" w:type="dxa"/>
            <w:tcBorders>
              <w:top w:val="nil"/>
              <w:left w:val="nil"/>
              <w:bottom w:val="single" w:sz="4" w:space="0" w:color="auto"/>
              <w:right w:val="single" w:sz="4" w:space="0" w:color="auto"/>
            </w:tcBorders>
            <w:shd w:val="clear" w:color="auto" w:fill="C6EFCE"/>
            <w:noWrap/>
          </w:tcPr>
          <w:p w14:paraId="170DC2F9" w14:textId="77777777" w:rsidR="00BD1A7F" w:rsidRDefault="00BD1A7F" w:rsidP="0001477B">
            <w:pPr>
              <w:jc w:val="center"/>
              <w:rPr>
                <w:rFonts w:ascii="Times New Roman" w:hAnsi="Times New Roman" w:cs="Times New Roman"/>
                <w:noProof/>
                <w:sz w:val="20"/>
                <w:szCs w:val="20"/>
              </w:rPr>
            </w:pPr>
            <w:r>
              <w:rPr>
                <w:noProof/>
                <w:color w:val="000000"/>
                <w:sz w:val="20"/>
              </w:rPr>
              <w:t>Ključna etapa</w:t>
            </w:r>
          </w:p>
        </w:tc>
        <w:tc>
          <w:tcPr>
            <w:tcW w:w="1994" w:type="dxa"/>
            <w:tcBorders>
              <w:top w:val="nil"/>
              <w:left w:val="nil"/>
              <w:bottom w:val="single" w:sz="4" w:space="0" w:color="auto"/>
              <w:right w:val="single" w:sz="4" w:space="0" w:color="auto"/>
            </w:tcBorders>
            <w:shd w:val="clear" w:color="auto" w:fill="C6EFCE"/>
            <w:noWrap/>
          </w:tcPr>
          <w:p w14:paraId="05FD9B29" w14:textId="77777777" w:rsidR="00BD1A7F" w:rsidRDefault="00BD1A7F" w:rsidP="0001477B">
            <w:pPr>
              <w:rPr>
                <w:rFonts w:ascii="Times New Roman" w:hAnsi="Times New Roman" w:cs="Times New Roman"/>
                <w:noProof/>
                <w:sz w:val="20"/>
                <w:szCs w:val="20"/>
              </w:rPr>
            </w:pPr>
            <w:r>
              <w:rPr>
                <w:noProof/>
                <w:color w:val="000000"/>
                <w:sz w:val="20"/>
              </w:rPr>
              <w:t xml:space="preserve">Izmjene Pravilnika o izobrazbi u području javne nabave </w:t>
            </w:r>
          </w:p>
        </w:tc>
        <w:tc>
          <w:tcPr>
            <w:tcW w:w="2141" w:type="dxa"/>
            <w:tcBorders>
              <w:top w:val="nil"/>
              <w:left w:val="nil"/>
              <w:bottom w:val="single" w:sz="4" w:space="0" w:color="auto"/>
              <w:right w:val="single" w:sz="4" w:space="0" w:color="auto"/>
            </w:tcBorders>
            <w:shd w:val="clear" w:color="auto" w:fill="C6EFCE"/>
            <w:noWrap/>
          </w:tcPr>
          <w:p w14:paraId="6D36190E" w14:textId="77777777" w:rsidR="00BD1A7F" w:rsidRDefault="00BD1A7F" w:rsidP="0001477B">
            <w:pPr>
              <w:rPr>
                <w:rFonts w:ascii="Times New Roman" w:hAnsi="Times New Roman" w:cs="Times New Roman"/>
                <w:noProof/>
                <w:sz w:val="20"/>
                <w:szCs w:val="20"/>
              </w:rPr>
            </w:pPr>
            <w:r>
              <w:rPr>
                <w:noProof/>
                <w:color w:val="000000"/>
                <w:sz w:val="20"/>
              </w:rPr>
              <w:t xml:space="preserve">Stupanje na snagu izmjena Pravilnika o izobrazbi u području javne nabave </w:t>
            </w:r>
          </w:p>
        </w:tc>
        <w:tc>
          <w:tcPr>
            <w:tcW w:w="1096" w:type="dxa"/>
            <w:tcBorders>
              <w:top w:val="nil"/>
              <w:left w:val="nil"/>
              <w:bottom w:val="single" w:sz="4" w:space="0" w:color="auto"/>
              <w:right w:val="single" w:sz="4" w:space="0" w:color="auto"/>
            </w:tcBorders>
            <w:shd w:val="clear" w:color="auto" w:fill="C6EFCE"/>
            <w:noWrap/>
          </w:tcPr>
          <w:p w14:paraId="4F6C31E2"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66" w:type="dxa"/>
            <w:tcBorders>
              <w:top w:val="nil"/>
              <w:left w:val="nil"/>
              <w:bottom w:val="single" w:sz="4" w:space="0" w:color="auto"/>
              <w:right w:val="single" w:sz="4" w:space="0" w:color="auto"/>
            </w:tcBorders>
            <w:shd w:val="clear" w:color="auto" w:fill="C6EFCE"/>
            <w:noWrap/>
          </w:tcPr>
          <w:p w14:paraId="04C2986D"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27" w:type="dxa"/>
            <w:tcBorders>
              <w:top w:val="nil"/>
              <w:left w:val="nil"/>
              <w:bottom w:val="single" w:sz="4" w:space="0" w:color="auto"/>
              <w:right w:val="single" w:sz="4" w:space="0" w:color="auto"/>
            </w:tcBorders>
            <w:shd w:val="clear" w:color="auto" w:fill="C6EFCE"/>
            <w:noWrap/>
          </w:tcPr>
          <w:p w14:paraId="385E4199"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592" w:type="dxa"/>
            <w:tcBorders>
              <w:top w:val="nil"/>
              <w:left w:val="nil"/>
              <w:bottom w:val="single" w:sz="4" w:space="0" w:color="auto"/>
              <w:right w:val="single" w:sz="4" w:space="0" w:color="auto"/>
            </w:tcBorders>
            <w:shd w:val="clear" w:color="auto" w:fill="C6EFCE"/>
            <w:noWrap/>
          </w:tcPr>
          <w:p w14:paraId="130766AC" w14:textId="77777777" w:rsidR="00BD1A7F" w:rsidRDefault="00BD1A7F" w:rsidP="0001477B">
            <w:pPr>
              <w:jc w:val="center"/>
              <w:rPr>
                <w:rFonts w:ascii="Times New Roman" w:hAnsi="Times New Roman" w:cs="Times New Roman"/>
                <w:noProof/>
                <w:sz w:val="20"/>
                <w:szCs w:val="20"/>
              </w:rPr>
            </w:pPr>
            <w:r>
              <w:rPr>
                <w:noProof/>
                <w:color w:val="000000"/>
                <w:sz w:val="20"/>
              </w:rPr>
              <w:t>1.</w:t>
            </w:r>
          </w:p>
        </w:tc>
        <w:tc>
          <w:tcPr>
            <w:tcW w:w="960" w:type="dxa"/>
            <w:tcBorders>
              <w:top w:val="nil"/>
              <w:left w:val="nil"/>
              <w:bottom w:val="single" w:sz="4" w:space="0" w:color="auto"/>
              <w:right w:val="single" w:sz="4" w:space="0" w:color="auto"/>
            </w:tcBorders>
            <w:shd w:val="clear" w:color="auto" w:fill="C6EFCE"/>
            <w:noWrap/>
          </w:tcPr>
          <w:p w14:paraId="1DFA9107" w14:textId="77777777" w:rsidR="00BD1A7F" w:rsidRDefault="00BD1A7F" w:rsidP="0001477B">
            <w:pPr>
              <w:jc w:val="center"/>
              <w:rPr>
                <w:rFonts w:ascii="Times New Roman" w:hAnsi="Times New Roman" w:cs="Times New Roman"/>
                <w:noProof/>
                <w:sz w:val="20"/>
                <w:szCs w:val="20"/>
              </w:rPr>
            </w:pPr>
            <w:r>
              <w:rPr>
                <w:noProof/>
                <w:color w:val="000000"/>
                <w:sz w:val="20"/>
              </w:rPr>
              <w:t>2023.</w:t>
            </w:r>
          </w:p>
        </w:tc>
        <w:tc>
          <w:tcPr>
            <w:tcW w:w="4347" w:type="dxa"/>
            <w:tcBorders>
              <w:top w:val="nil"/>
              <w:left w:val="nil"/>
              <w:bottom w:val="single" w:sz="4" w:space="0" w:color="auto"/>
              <w:right w:val="single" w:sz="4" w:space="0" w:color="auto"/>
            </w:tcBorders>
            <w:shd w:val="clear" w:color="auto" w:fill="C6EFCE"/>
            <w:noWrap/>
          </w:tcPr>
          <w:p w14:paraId="309A8A64" w14:textId="77777777" w:rsidR="00BD1A7F" w:rsidRDefault="00BD1A7F" w:rsidP="0001477B">
            <w:pPr>
              <w:rPr>
                <w:rFonts w:ascii="Times New Roman" w:hAnsi="Times New Roman" w:cs="Times New Roman"/>
                <w:noProof/>
                <w:sz w:val="20"/>
                <w:szCs w:val="20"/>
              </w:rPr>
            </w:pPr>
            <w:r>
              <w:rPr>
                <w:noProof/>
                <w:color w:val="000000"/>
                <w:sz w:val="20"/>
              </w:rPr>
              <w:t xml:space="preserve">Izmjene zakonodavnog okvira radi poboljšanja izobrazbe u području javne nabave uključuju i. uspostavu nastavnog programa za Programe usavršavanja, u kojems e definiraju kompetencije i ciljevi učenja, ii. integriranje okvira ProcurCompEU u obvezni program obuke i certificiranja u javnoj nabavi, iii. zahtjev za provođenje kvalitativne procjene izobrazbi. </w:t>
            </w:r>
            <w:r>
              <w:rPr>
                <w:noProof/>
                <w:color w:val="000000"/>
                <w:sz w:val="20"/>
              </w:rPr>
              <w:br/>
              <w:t xml:space="preserve">Očekuje se da će izmjene omogućiti sveobuhvatni pristup potreban za osiguravanje jačanja administrativnih kapaciteta kadrova u ključnim ustanovama u javnoj nabavi, među ostalim primjenom preporuka iz analize radnog opterećenja (R1-I1). Na temelju rezultata organizacijske procjene i strateških prioriteta, prioritetne će biti izobrazbe koje mogu pružiti najveći utjecaj u postizanju ciljeva poput pitanja integriteta i transparentnosti, ispravnog planiranja postupaka, poštenih i otvorenih tehničkih specifikacija, jasnih kriterija odabira i ocjena ponuda, upravljanja ugovorima i njihovim izmjenama. </w:t>
            </w:r>
          </w:p>
        </w:tc>
      </w:tr>
      <w:tr w:rsidR="009926D5" w14:paraId="72A9B89B" w14:textId="77777777" w:rsidTr="00E25E44">
        <w:trPr>
          <w:trHeight w:val="283"/>
          <w:jc w:val="center"/>
        </w:trPr>
        <w:tc>
          <w:tcPr>
            <w:tcW w:w="592" w:type="dxa"/>
            <w:tcBorders>
              <w:top w:val="nil"/>
              <w:left w:val="single" w:sz="4" w:space="0" w:color="auto"/>
              <w:bottom w:val="single" w:sz="4" w:space="0" w:color="auto"/>
              <w:right w:val="single" w:sz="4" w:space="0" w:color="auto"/>
            </w:tcBorders>
            <w:shd w:val="clear" w:color="auto" w:fill="C6EFCE"/>
            <w:noWrap/>
          </w:tcPr>
          <w:p w14:paraId="4D1DFBF0" w14:textId="77777777" w:rsidR="00BD1A7F" w:rsidRDefault="00BD1A7F" w:rsidP="0001477B">
            <w:pPr>
              <w:jc w:val="center"/>
              <w:rPr>
                <w:rFonts w:ascii="Times New Roman" w:hAnsi="Times New Roman" w:cs="Times New Roman"/>
                <w:noProof/>
                <w:sz w:val="20"/>
                <w:szCs w:val="20"/>
              </w:rPr>
            </w:pPr>
            <w:r>
              <w:rPr>
                <w:noProof/>
                <w:color w:val="000000"/>
                <w:sz w:val="20"/>
              </w:rPr>
              <w:t>258</w:t>
            </w:r>
          </w:p>
        </w:tc>
        <w:tc>
          <w:tcPr>
            <w:tcW w:w="778" w:type="dxa"/>
            <w:tcBorders>
              <w:top w:val="nil"/>
              <w:left w:val="nil"/>
              <w:bottom w:val="single" w:sz="4" w:space="0" w:color="auto"/>
              <w:right w:val="single" w:sz="4" w:space="0" w:color="auto"/>
            </w:tcBorders>
            <w:shd w:val="clear" w:color="auto" w:fill="C6EFCE"/>
            <w:noWrap/>
          </w:tcPr>
          <w:p w14:paraId="1257142F" w14:textId="77777777" w:rsidR="00BD1A7F" w:rsidRDefault="00BD1A7F" w:rsidP="0001477B">
            <w:pPr>
              <w:jc w:val="center"/>
              <w:rPr>
                <w:rFonts w:ascii="Times New Roman" w:hAnsi="Times New Roman" w:cs="Times New Roman"/>
                <w:noProof/>
                <w:sz w:val="20"/>
                <w:szCs w:val="20"/>
              </w:rPr>
            </w:pPr>
            <w:r>
              <w:rPr>
                <w:noProof/>
                <w:color w:val="000000"/>
                <w:sz w:val="20"/>
              </w:rPr>
              <w:t>C2.9. R1</w:t>
            </w:r>
          </w:p>
        </w:tc>
        <w:tc>
          <w:tcPr>
            <w:tcW w:w="806" w:type="dxa"/>
            <w:tcBorders>
              <w:top w:val="nil"/>
              <w:left w:val="nil"/>
              <w:bottom w:val="single" w:sz="4" w:space="0" w:color="auto"/>
              <w:right w:val="single" w:sz="4" w:space="0" w:color="auto"/>
            </w:tcBorders>
            <w:shd w:val="clear" w:color="auto" w:fill="C6EFCE"/>
            <w:noWrap/>
          </w:tcPr>
          <w:p w14:paraId="31AE1B6D" w14:textId="77777777" w:rsidR="00BD1A7F" w:rsidRDefault="00BD1A7F" w:rsidP="0001477B">
            <w:pPr>
              <w:jc w:val="center"/>
              <w:rPr>
                <w:rFonts w:ascii="Times New Roman" w:hAnsi="Times New Roman" w:cs="Times New Roman"/>
                <w:noProof/>
                <w:sz w:val="20"/>
                <w:szCs w:val="20"/>
              </w:rPr>
            </w:pPr>
            <w:r>
              <w:rPr>
                <w:noProof/>
                <w:color w:val="000000"/>
                <w:sz w:val="20"/>
              </w:rPr>
              <w:t>Ključna etapa</w:t>
            </w:r>
          </w:p>
        </w:tc>
        <w:tc>
          <w:tcPr>
            <w:tcW w:w="1994" w:type="dxa"/>
            <w:tcBorders>
              <w:top w:val="nil"/>
              <w:left w:val="nil"/>
              <w:bottom w:val="single" w:sz="4" w:space="0" w:color="auto"/>
              <w:right w:val="single" w:sz="4" w:space="0" w:color="auto"/>
            </w:tcBorders>
            <w:shd w:val="clear" w:color="auto" w:fill="C6EFCE"/>
            <w:noWrap/>
          </w:tcPr>
          <w:p w14:paraId="7F5F01F4" w14:textId="77777777" w:rsidR="00BD1A7F" w:rsidRDefault="00BD1A7F" w:rsidP="0001477B">
            <w:pPr>
              <w:rPr>
                <w:rFonts w:ascii="Times New Roman" w:hAnsi="Times New Roman" w:cs="Times New Roman"/>
                <w:noProof/>
                <w:sz w:val="20"/>
                <w:szCs w:val="20"/>
              </w:rPr>
            </w:pPr>
            <w:r>
              <w:rPr>
                <w:noProof/>
                <w:color w:val="000000"/>
                <w:sz w:val="20"/>
              </w:rPr>
              <w:t>Integriranje ciljanog okvira za kontinuirano osposobljavanje službenika za javnu nabavu u skladu s okvirom ProcurCompEU u obvezni program obuke i certificiranja u javnoj nabavi.</w:t>
            </w:r>
          </w:p>
        </w:tc>
        <w:tc>
          <w:tcPr>
            <w:tcW w:w="2141" w:type="dxa"/>
            <w:tcBorders>
              <w:top w:val="nil"/>
              <w:left w:val="nil"/>
              <w:bottom w:val="single" w:sz="4" w:space="0" w:color="auto"/>
              <w:right w:val="single" w:sz="4" w:space="0" w:color="auto"/>
            </w:tcBorders>
            <w:shd w:val="clear" w:color="auto" w:fill="C6EFCE"/>
            <w:noWrap/>
          </w:tcPr>
          <w:p w14:paraId="7ADAFA47" w14:textId="77777777" w:rsidR="00BD1A7F" w:rsidRDefault="00BD1A7F" w:rsidP="0001477B">
            <w:pPr>
              <w:rPr>
                <w:rFonts w:ascii="Times New Roman" w:hAnsi="Times New Roman" w:cs="Times New Roman"/>
                <w:noProof/>
                <w:sz w:val="20"/>
                <w:szCs w:val="20"/>
              </w:rPr>
            </w:pPr>
            <w:r>
              <w:rPr>
                <w:noProof/>
                <w:color w:val="000000"/>
                <w:sz w:val="20"/>
              </w:rPr>
              <w:t xml:space="preserve">Stupanje na snagu okvira za kontinuirano osposobljavanje službenika za javnu nabavu u skladu s okvirom ProcurCompEU </w:t>
            </w:r>
          </w:p>
        </w:tc>
        <w:tc>
          <w:tcPr>
            <w:tcW w:w="1096" w:type="dxa"/>
            <w:tcBorders>
              <w:top w:val="nil"/>
              <w:left w:val="nil"/>
              <w:bottom w:val="single" w:sz="4" w:space="0" w:color="auto"/>
              <w:right w:val="single" w:sz="4" w:space="0" w:color="auto"/>
            </w:tcBorders>
            <w:shd w:val="clear" w:color="auto" w:fill="C6EFCE"/>
            <w:noWrap/>
          </w:tcPr>
          <w:p w14:paraId="3DC073BF"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66" w:type="dxa"/>
            <w:tcBorders>
              <w:top w:val="nil"/>
              <w:left w:val="nil"/>
              <w:bottom w:val="single" w:sz="4" w:space="0" w:color="auto"/>
              <w:right w:val="single" w:sz="4" w:space="0" w:color="auto"/>
            </w:tcBorders>
            <w:shd w:val="clear" w:color="auto" w:fill="C6EFCE"/>
            <w:noWrap/>
          </w:tcPr>
          <w:p w14:paraId="1B254D44"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27" w:type="dxa"/>
            <w:tcBorders>
              <w:top w:val="nil"/>
              <w:left w:val="nil"/>
              <w:bottom w:val="single" w:sz="4" w:space="0" w:color="auto"/>
              <w:right w:val="single" w:sz="4" w:space="0" w:color="auto"/>
            </w:tcBorders>
            <w:shd w:val="clear" w:color="auto" w:fill="C6EFCE"/>
            <w:noWrap/>
          </w:tcPr>
          <w:p w14:paraId="0111EC3E"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592" w:type="dxa"/>
            <w:tcBorders>
              <w:top w:val="nil"/>
              <w:left w:val="nil"/>
              <w:bottom w:val="single" w:sz="4" w:space="0" w:color="auto"/>
              <w:right w:val="single" w:sz="4" w:space="0" w:color="auto"/>
            </w:tcBorders>
            <w:shd w:val="clear" w:color="auto" w:fill="C6EFCE"/>
            <w:noWrap/>
          </w:tcPr>
          <w:p w14:paraId="27A0C564" w14:textId="77777777" w:rsidR="00BD1A7F" w:rsidRDefault="00BD1A7F" w:rsidP="0001477B">
            <w:pPr>
              <w:jc w:val="center"/>
              <w:rPr>
                <w:rFonts w:ascii="Times New Roman" w:hAnsi="Times New Roman" w:cs="Times New Roman"/>
                <w:noProof/>
                <w:sz w:val="20"/>
                <w:szCs w:val="20"/>
              </w:rPr>
            </w:pPr>
            <w:r>
              <w:rPr>
                <w:noProof/>
                <w:color w:val="000000"/>
                <w:sz w:val="20"/>
              </w:rPr>
              <w:t>4.</w:t>
            </w:r>
          </w:p>
        </w:tc>
        <w:tc>
          <w:tcPr>
            <w:tcW w:w="960" w:type="dxa"/>
            <w:tcBorders>
              <w:top w:val="nil"/>
              <w:left w:val="nil"/>
              <w:bottom w:val="single" w:sz="4" w:space="0" w:color="auto"/>
              <w:right w:val="single" w:sz="4" w:space="0" w:color="auto"/>
            </w:tcBorders>
            <w:shd w:val="clear" w:color="auto" w:fill="C6EFCE"/>
            <w:noWrap/>
          </w:tcPr>
          <w:p w14:paraId="5DC15004" w14:textId="77777777" w:rsidR="00BD1A7F" w:rsidRDefault="00BD1A7F" w:rsidP="0001477B">
            <w:pPr>
              <w:jc w:val="center"/>
              <w:rPr>
                <w:rFonts w:ascii="Times New Roman" w:hAnsi="Times New Roman" w:cs="Times New Roman"/>
                <w:noProof/>
                <w:sz w:val="20"/>
                <w:szCs w:val="20"/>
              </w:rPr>
            </w:pPr>
            <w:r>
              <w:rPr>
                <w:noProof/>
                <w:color w:val="000000"/>
                <w:sz w:val="20"/>
              </w:rPr>
              <w:t>2023.</w:t>
            </w:r>
          </w:p>
        </w:tc>
        <w:tc>
          <w:tcPr>
            <w:tcW w:w="4347" w:type="dxa"/>
            <w:tcBorders>
              <w:top w:val="nil"/>
              <w:left w:val="nil"/>
              <w:bottom w:val="single" w:sz="4" w:space="0" w:color="auto"/>
              <w:right w:val="single" w:sz="4" w:space="0" w:color="auto"/>
            </w:tcBorders>
            <w:shd w:val="clear" w:color="auto" w:fill="C6EFCE"/>
            <w:noWrap/>
          </w:tcPr>
          <w:p w14:paraId="5C2781C1" w14:textId="77777777" w:rsidR="00BD1A7F" w:rsidRDefault="00BD1A7F" w:rsidP="0001477B">
            <w:pPr>
              <w:rPr>
                <w:rFonts w:ascii="Times New Roman" w:hAnsi="Times New Roman" w:cs="Times New Roman"/>
                <w:noProof/>
                <w:sz w:val="20"/>
                <w:szCs w:val="20"/>
              </w:rPr>
            </w:pPr>
            <w:r>
              <w:rPr>
                <w:noProof/>
                <w:color w:val="000000"/>
                <w:sz w:val="20"/>
              </w:rPr>
              <w:t>Alat ProcurCompEU prilagodit će se hrvatskim specifičnostima i integrirati u postojeći obvezni program obuke i certificiranja službenika u javnoj nabavi. Kreirat će se podstranica na Portalu javne nabave na kojoj će alati ProcurCompEU biti dostupni i slobodni za upotrebu svim dionicima u sustavu javne nabave, a nadležno tijelo državne uprave za politiku javne nabave pružat će potporu u njegovoj provedbi u praksi i nadzor.</w:t>
            </w:r>
          </w:p>
        </w:tc>
      </w:tr>
      <w:tr w:rsidR="009926D5" w14:paraId="5A2872B7" w14:textId="77777777" w:rsidTr="00E25E44">
        <w:trPr>
          <w:trHeight w:val="283"/>
          <w:jc w:val="center"/>
        </w:trPr>
        <w:tc>
          <w:tcPr>
            <w:tcW w:w="592" w:type="dxa"/>
            <w:tcBorders>
              <w:top w:val="nil"/>
              <w:left w:val="single" w:sz="4" w:space="0" w:color="auto"/>
              <w:bottom w:val="single" w:sz="4" w:space="0" w:color="auto"/>
              <w:right w:val="single" w:sz="4" w:space="0" w:color="auto"/>
            </w:tcBorders>
            <w:shd w:val="clear" w:color="auto" w:fill="C6EFCE"/>
            <w:noWrap/>
          </w:tcPr>
          <w:p w14:paraId="741BF6EF" w14:textId="77777777" w:rsidR="00BD1A7F" w:rsidRDefault="00BD1A7F" w:rsidP="0001477B">
            <w:pPr>
              <w:jc w:val="center"/>
              <w:rPr>
                <w:rFonts w:ascii="Times New Roman" w:hAnsi="Times New Roman" w:cs="Times New Roman"/>
                <w:noProof/>
                <w:sz w:val="20"/>
                <w:szCs w:val="20"/>
              </w:rPr>
            </w:pPr>
            <w:r>
              <w:rPr>
                <w:noProof/>
                <w:color w:val="000000"/>
                <w:sz w:val="20"/>
              </w:rPr>
              <w:t>259</w:t>
            </w:r>
          </w:p>
        </w:tc>
        <w:tc>
          <w:tcPr>
            <w:tcW w:w="778" w:type="dxa"/>
            <w:tcBorders>
              <w:top w:val="nil"/>
              <w:left w:val="nil"/>
              <w:bottom w:val="single" w:sz="4" w:space="0" w:color="auto"/>
              <w:right w:val="single" w:sz="4" w:space="0" w:color="auto"/>
            </w:tcBorders>
            <w:shd w:val="clear" w:color="auto" w:fill="C6EFCE"/>
            <w:noWrap/>
          </w:tcPr>
          <w:p w14:paraId="6FDD2CED" w14:textId="77777777" w:rsidR="00BD1A7F" w:rsidRDefault="00BD1A7F" w:rsidP="0001477B">
            <w:pPr>
              <w:jc w:val="center"/>
              <w:rPr>
                <w:rFonts w:ascii="Times New Roman" w:hAnsi="Times New Roman" w:cs="Times New Roman"/>
                <w:noProof/>
                <w:sz w:val="20"/>
                <w:szCs w:val="20"/>
              </w:rPr>
            </w:pPr>
            <w:r>
              <w:rPr>
                <w:noProof/>
                <w:color w:val="000000"/>
                <w:sz w:val="20"/>
              </w:rPr>
              <w:t>C2.9. R1-I1</w:t>
            </w:r>
          </w:p>
        </w:tc>
        <w:tc>
          <w:tcPr>
            <w:tcW w:w="806" w:type="dxa"/>
            <w:tcBorders>
              <w:top w:val="nil"/>
              <w:left w:val="nil"/>
              <w:bottom w:val="single" w:sz="4" w:space="0" w:color="auto"/>
              <w:right w:val="single" w:sz="4" w:space="0" w:color="auto"/>
            </w:tcBorders>
            <w:shd w:val="clear" w:color="auto" w:fill="C6EFCE"/>
            <w:noWrap/>
          </w:tcPr>
          <w:p w14:paraId="131174EA" w14:textId="77777777" w:rsidR="00BD1A7F" w:rsidRDefault="00BD1A7F" w:rsidP="0001477B">
            <w:pPr>
              <w:jc w:val="center"/>
              <w:rPr>
                <w:rFonts w:ascii="Times New Roman" w:hAnsi="Times New Roman" w:cs="Times New Roman"/>
                <w:noProof/>
                <w:sz w:val="20"/>
                <w:szCs w:val="20"/>
              </w:rPr>
            </w:pPr>
            <w:r>
              <w:rPr>
                <w:noProof/>
                <w:color w:val="000000"/>
                <w:sz w:val="20"/>
              </w:rPr>
              <w:t>Ključna etapa</w:t>
            </w:r>
          </w:p>
        </w:tc>
        <w:tc>
          <w:tcPr>
            <w:tcW w:w="1994" w:type="dxa"/>
            <w:tcBorders>
              <w:top w:val="nil"/>
              <w:left w:val="nil"/>
              <w:bottom w:val="single" w:sz="4" w:space="0" w:color="auto"/>
              <w:right w:val="single" w:sz="4" w:space="0" w:color="auto"/>
            </w:tcBorders>
            <w:shd w:val="clear" w:color="auto" w:fill="C6EFCE"/>
            <w:noWrap/>
          </w:tcPr>
          <w:p w14:paraId="1FBEEF61" w14:textId="77777777" w:rsidR="00BD1A7F" w:rsidRDefault="00BD1A7F" w:rsidP="0001477B">
            <w:pPr>
              <w:rPr>
                <w:rFonts w:ascii="Times New Roman" w:hAnsi="Times New Roman" w:cs="Times New Roman"/>
                <w:noProof/>
                <w:sz w:val="20"/>
                <w:szCs w:val="20"/>
              </w:rPr>
            </w:pPr>
            <w:r>
              <w:rPr>
                <w:noProof/>
                <w:color w:val="000000"/>
                <w:sz w:val="20"/>
              </w:rPr>
              <w:t>Objava neovisne analize i konkretnih preporuka za poboljšanje upravljanja opterećenjem svih kadrova u ključnim ustanovama u sustavu javne nabave (MINGOR, SAFU, DKOM)</w:t>
            </w:r>
          </w:p>
        </w:tc>
        <w:tc>
          <w:tcPr>
            <w:tcW w:w="2141" w:type="dxa"/>
            <w:tcBorders>
              <w:top w:val="nil"/>
              <w:left w:val="nil"/>
              <w:bottom w:val="single" w:sz="4" w:space="0" w:color="auto"/>
              <w:right w:val="single" w:sz="4" w:space="0" w:color="auto"/>
            </w:tcBorders>
            <w:shd w:val="clear" w:color="auto" w:fill="C6EFCE"/>
            <w:noWrap/>
          </w:tcPr>
          <w:p w14:paraId="7AF222D1" w14:textId="77777777" w:rsidR="00BD1A7F" w:rsidRDefault="00BD1A7F" w:rsidP="0001477B">
            <w:pPr>
              <w:rPr>
                <w:rFonts w:ascii="Times New Roman" w:hAnsi="Times New Roman" w:cs="Times New Roman"/>
                <w:noProof/>
                <w:sz w:val="20"/>
                <w:szCs w:val="20"/>
              </w:rPr>
            </w:pPr>
            <w:r>
              <w:rPr>
                <w:noProof/>
                <w:color w:val="000000"/>
                <w:sz w:val="20"/>
              </w:rPr>
              <w:t>Objava analize radnog opterećenja zaposlenika ključnih ustanova u sustavu javne nabave (MINGOR, SAFU i DKOM) s akcijskim planom za provedbu preporuka i mjera o ljudskim resursima</w:t>
            </w:r>
          </w:p>
        </w:tc>
        <w:tc>
          <w:tcPr>
            <w:tcW w:w="1096" w:type="dxa"/>
            <w:tcBorders>
              <w:top w:val="nil"/>
              <w:left w:val="nil"/>
              <w:bottom w:val="single" w:sz="4" w:space="0" w:color="auto"/>
              <w:right w:val="single" w:sz="4" w:space="0" w:color="auto"/>
            </w:tcBorders>
            <w:shd w:val="clear" w:color="auto" w:fill="C6EFCE"/>
            <w:noWrap/>
          </w:tcPr>
          <w:p w14:paraId="362EB02D"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66" w:type="dxa"/>
            <w:tcBorders>
              <w:top w:val="nil"/>
              <w:left w:val="nil"/>
              <w:bottom w:val="single" w:sz="4" w:space="0" w:color="auto"/>
              <w:right w:val="single" w:sz="4" w:space="0" w:color="auto"/>
            </w:tcBorders>
            <w:shd w:val="clear" w:color="auto" w:fill="C6EFCE"/>
            <w:noWrap/>
          </w:tcPr>
          <w:p w14:paraId="382978C1"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27" w:type="dxa"/>
            <w:tcBorders>
              <w:top w:val="nil"/>
              <w:left w:val="nil"/>
              <w:bottom w:val="single" w:sz="4" w:space="0" w:color="auto"/>
              <w:right w:val="single" w:sz="4" w:space="0" w:color="auto"/>
            </w:tcBorders>
            <w:shd w:val="clear" w:color="auto" w:fill="C6EFCE"/>
            <w:noWrap/>
          </w:tcPr>
          <w:p w14:paraId="2A0A45C1"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592" w:type="dxa"/>
            <w:tcBorders>
              <w:top w:val="nil"/>
              <w:left w:val="nil"/>
              <w:bottom w:val="single" w:sz="4" w:space="0" w:color="auto"/>
              <w:right w:val="single" w:sz="4" w:space="0" w:color="auto"/>
            </w:tcBorders>
            <w:shd w:val="clear" w:color="auto" w:fill="C6EFCE"/>
            <w:noWrap/>
          </w:tcPr>
          <w:p w14:paraId="6722B515" w14:textId="77777777" w:rsidR="00BD1A7F" w:rsidRDefault="00BD1A7F" w:rsidP="0001477B">
            <w:pPr>
              <w:jc w:val="center"/>
              <w:rPr>
                <w:rFonts w:ascii="Times New Roman" w:hAnsi="Times New Roman" w:cs="Times New Roman"/>
                <w:noProof/>
                <w:sz w:val="20"/>
                <w:szCs w:val="20"/>
              </w:rPr>
            </w:pPr>
            <w:r>
              <w:rPr>
                <w:noProof/>
                <w:color w:val="000000"/>
                <w:sz w:val="20"/>
              </w:rPr>
              <w:t>3.</w:t>
            </w:r>
          </w:p>
        </w:tc>
        <w:tc>
          <w:tcPr>
            <w:tcW w:w="960" w:type="dxa"/>
            <w:tcBorders>
              <w:top w:val="nil"/>
              <w:left w:val="nil"/>
              <w:bottom w:val="single" w:sz="4" w:space="0" w:color="auto"/>
              <w:right w:val="single" w:sz="4" w:space="0" w:color="auto"/>
            </w:tcBorders>
            <w:shd w:val="clear" w:color="auto" w:fill="C6EFCE"/>
            <w:noWrap/>
          </w:tcPr>
          <w:p w14:paraId="3989DAC5" w14:textId="77777777" w:rsidR="00BD1A7F" w:rsidRDefault="00BD1A7F" w:rsidP="0001477B">
            <w:pPr>
              <w:jc w:val="center"/>
              <w:rPr>
                <w:rFonts w:ascii="Times New Roman" w:hAnsi="Times New Roman" w:cs="Times New Roman"/>
                <w:noProof/>
                <w:sz w:val="20"/>
                <w:szCs w:val="20"/>
              </w:rPr>
            </w:pPr>
            <w:r>
              <w:rPr>
                <w:noProof/>
                <w:color w:val="000000"/>
                <w:sz w:val="20"/>
              </w:rPr>
              <w:t>2022.</w:t>
            </w:r>
          </w:p>
        </w:tc>
        <w:tc>
          <w:tcPr>
            <w:tcW w:w="4347" w:type="dxa"/>
            <w:tcBorders>
              <w:top w:val="nil"/>
              <w:left w:val="nil"/>
              <w:bottom w:val="single" w:sz="4" w:space="0" w:color="auto"/>
              <w:right w:val="single" w:sz="4" w:space="0" w:color="auto"/>
            </w:tcBorders>
            <w:shd w:val="clear" w:color="auto" w:fill="C6EFCE"/>
            <w:noWrap/>
          </w:tcPr>
          <w:p w14:paraId="789A7FDE" w14:textId="77777777" w:rsidR="00BD1A7F" w:rsidRDefault="00BD1A7F" w:rsidP="0001477B">
            <w:pPr>
              <w:rPr>
                <w:rFonts w:ascii="Times New Roman" w:hAnsi="Times New Roman" w:cs="Times New Roman"/>
                <w:noProof/>
                <w:sz w:val="20"/>
                <w:szCs w:val="20"/>
              </w:rPr>
            </w:pPr>
            <w:r>
              <w:rPr>
                <w:noProof/>
                <w:color w:val="000000"/>
                <w:sz w:val="20"/>
              </w:rPr>
              <w:t>Neovisni vanjski stručnjaci provest će sveobuhvatnu analizu radnog opterećenja kadrova u ključnim ustanovama u sustavu javne nabave uključenima u fondove EU-a, uključujući opis poslova koje obavljaju te potrebne kompetencije i kompenzacijski sustav. Objavljeno izvješće neovisnih stručnjaka temeljit će se na sveobuhvatnoj analizi uloga i radnog opterećenja u sustavu javne nabave, na temelju usporedbe povijesnih podataka o radnom opterećenju s trendovima povećanja radnog opterećenja, uključujući potrebu za usavršavanjem u određenim područjima, kao što je održiva javna nabava i pristup MSP-ova. Izvješće će uključivati akcijski plan za provedbu mjera i preporuka za poboljšanje kako bi se osiguralo zapošljavanje i zadržavanje visokokvalificiranih kadrova.</w:t>
            </w:r>
          </w:p>
        </w:tc>
      </w:tr>
      <w:tr w:rsidR="009926D5" w14:paraId="46531F65" w14:textId="77777777" w:rsidTr="00E25E44">
        <w:trPr>
          <w:trHeight w:val="283"/>
          <w:jc w:val="center"/>
        </w:trPr>
        <w:tc>
          <w:tcPr>
            <w:tcW w:w="592" w:type="dxa"/>
            <w:tcBorders>
              <w:top w:val="nil"/>
              <w:left w:val="single" w:sz="4" w:space="0" w:color="auto"/>
              <w:bottom w:val="single" w:sz="4" w:space="0" w:color="auto"/>
              <w:right w:val="single" w:sz="4" w:space="0" w:color="auto"/>
            </w:tcBorders>
            <w:shd w:val="clear" w:color="auto" w:fill="C6EFCE"/>
            <w:noWrap/>
          </w:tcPr>
          <w:p w14:paraId="5CC5B51D" w14:textId="77777777" w:rsidR="00BD1A7F" w:rsidRDefault="00BD1A7F" w:rsidP="0001477B">
            <w:pPr>
              <w:jc w:val="center"/>
              <w:rPr>
                <w:rFonts w:ascii="Times New Roman" w:hAnsi="Times New Roman" w:cs="Times New Roman"/>
                <w:noProof/>
                <w:sz w:val="20"/>
                <w:szCs w:val="20"/>
              </w:rPr>
            </w:pPr>
            <w:r>
              <w:rPr>
                <w:noProof/>
                <w:color w:val="000000"/>
                <w:sz w:val="20"/>
              </w:rPr>
              <w:t>260</w:t>
            </w:r>
          </w:p>
        </w:tc>
        <w:tc>
          <w:tcPr>
            <w:tcW w:w="778" w:type="dxa"/>
            <w:tcBorders>
              <w:top w:val="nil"/>
              <w:left w:val="nil"/>
              <w:bottom w:val="single" w:sz="4" w:space="0" w:color="auto"/>
              <w:right w:val="single" w:sz="4" w:space="0" w:color="auto"/>
            </w:tcBorders>
            <w:shd w:val="clear" w:color="auto" w:fill="C6EFCE"/>
            <w:noWrap/>
          </w:tcPr>
          <w:p w14:paraId="27C20330" w14:textId="77777777" w:rsidR="00BD1A7F" w:rsidRDefault="00BD1A7F" w:rsidP="0001477B">
            <w:pPr>
              <w:jc w:val="center"/>
              <w:rPr>
                <w:rFonts w:ascii="Times New Roman" w:hAnsi="Times New Roman" w:cs="Times New Roman"/>
                <w:noProof/>
                <w:sz w:val="20"/>
                <w:szCs w:val="20"/>
              </w:rPr>
            </w:pPr>
            <w:r>
              <w:rPr>
                <w:noProof/>
                <w:color w:val="000000"/>
                <w:sz w:val="20"/>
              </w:rPr>
              <w:t>C2.9. R2</w:t>
            </w:r>
          </w:p>
        </w:tc>
        <w:tc>
          <w:tcPr>
            <w:tcW w:w="806" w:type="dxa"/>
            <w:tcBorders>
              <w:top w:val="nil"/>
              <w:left w:val="nil"/>
              <w:bottom w:val="single" w:sz="4" w:space="0" w:color="auto"/>
              <w:right w:val="single" w:sz="4" w:space="0" w:color="auto"/>
            </w:tcBorders>
            <w:shd w:val="clear" w:color="auto" w:fill="C6EFCE"/>
            <w:noWrap/>
          </w:tcPr>
          <w:p w14:paraId="59010042" w14:textId="77777777" w:rsidR="00BD1A7F" w:rsidRDefault="00BD1A7F" w:rsidP="0001477B">
            <w:pPr>
              <w:jc w:val="center"/>
              <w:rPr>
                <w:rFonts w:ascii="Times New Roman" w:hAnsi="Times New Roman" w:cs="Times New Roman"/>
                <w:noProof/>
                <w:sz w:val="20"/>
                <w:szCs w:val="20"/>
              </w:rPr>
            </w:pPr>
            <w:r>
              <w:rPr>
                <w:noProof/>
                <w:color w:val="000000"/>
                <w:sz w:val="20"/>
              </w:rPr>
              <w:t>Ključna etapa</w:t>
            </w:r>
          </w:p>
        </w:tc>
        <w:tc>
          <w:tcPr>
            <w:tcW w:w="1994" w:type="dxa"/>
            <w:tcBorders>
              <w:top w:val="nil"/>
              <w:left w:val="nil"/>
              <w:bottom w:val="single" w:sz="4" w:space="0" w:color="auto"/>
              <w:right w:val="single" w:sz="4" w:space="0" w:color="auto"/>
            </w:tcBorders>
            <w:shd w:val="clear" w:color="auto" w:fill="C6EFCE"/>
            <w:noWrap/>
          </w:tcPr>
          <w:p w14:paraId="1673CA2E" w14:textId="77777777" w:rsidR="00BD1A7F" w:rsidRDefault="00BD1A7F" w:rsidP="0001477B">
            <w:pPr>
              <w:rPr>
                <w:rFonts w:ascii="Times New Roman" w:hAnsi="Times New Roman" w:cs="Times New Roman"/>
                <w:noProof/>
                <w:sz w:val="20"/>
                <w:szCs w:val="20"/>
              </w:rPr>
            </w:pPr>
            <w:r>
              <w:rPr>
                <w:noProof/>
                <w:color w:val="000000"/>
                <w:sz w:val="20"/>
              </w:rPr>
              <w:t>Izmjene zakonodavnog okvira za javnu nabavu kojima e-žalba postaje obvezan način izjavljivanja žalbe</w:t>
            </w:r>
          </w:p>
        </w:tc>
        <w:tc>
          <w:tcPr>
            <w:tcW w:w="2141" w:type="dxa"/>
            <w:tcBorders>
              <w:top w:val="nil"/>
              <w:left w:val="nil"/>
              <w:bottom w:val="single" w:sz="4" w:space="0" w:color="auto"/>
              <w:right w:val="single" w:sz="4" w:space="0" w:color="auto"/>
            </w:tcBorders>
            <w:shd w:val="clear" w:color="auto" w:fill="C6EFCE"/>
            <w:noWrap/>
          </w:tcPr>
          <w:p w14:paraId="73201742" w14:textId="77777777" w:rsidR="00BD1A7F" w:rsidRDefault="00BD1A7F" w:rsidP="0001477B">
            <w:pPr>
              <w:rPr>
                <w:rFonts w:ascii="Times New Roman" w:hAnsi="Times New Roman" w:cs="Times New Roman"/>
                <w:noProof/>
                <w:sz w:val="20"/>
                <w:szCs w:val="20"/>
              </w:rPr>
            </w:pPr>
            <w:r>
              <w:rPr>
                <w:noProof/>
                <w:color w:val="000000"/>
                <w:sz w:val="20"/>
              </w:rPr>
              <w:t xml:space="preserve">Stupanje na snagu izmjena Zakona o javnoj nabavi i podzakonskih propisa (Pravilnik o žalbi u postupcima javne nabave) </w:t>
            </w:r>
          </w:p>
        </w:tc>
        <w:tc>
          <w:tcPr>
            <w:tcW w:w="1096" w:type="dxa"/>
            <w:tcBorders>
              <w:top w:val="nil"/>
              <w:left w:val="nil"/>
              <w:bottom w:val="single" w:sz="4" w:space="0" w:color="auto"/>
              <w:right w:val="single" w:sz="4" w:space="0" w:color="auto"/>
            </w:tcBorders>
            <w:shd w:val="clear" w:color="auto" w:fill="C6EFCE"/>
            <w:noWrap/>
          </w:tcPr>
          <w:p w14:paraId="312922EF"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66" w:type="dxa"/>
            <w:tcBorders>
              <w:top w:val="nil"/>
              <w:left w:val="nil"/>
              <w:bottom w:val="single" w:sz="4" w:space="0" w:color="auto"/>
              <w:right w:val="single" w:sz="4" w:space="0" w:color="auto"/>
            </w:tcBorders>
            <w:shd w:val="clear" w:color="auto" w:fill="C6EFCE"/>
            <w:noWrap/>
          </w:tcPr>
          <w:p w14:paraId="122DEA4B"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27" w:type="dxa"/>
            <w:tcBorders>
              <w:top w:val="nil"/>
              <w:left w:val="nil"/>
              <w:bottom w:val="single" w:sz="4" w:space="0" w:color="auto"/>
              <w:right w:val="single" w:sz="4" w:space="0" w:color="auto"/>
            </w:tcBorders>
            <w:shd w:val="clear" w:color="auto" w:fill="C6EFCE"/>
            <w:noWrap/>
          </w:tcPr>
          <w:p w14:paraId="0681ECF5"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592" w:type="dxa"/>
            <w:tcBorders>
              <w:top w:val="nil"/>
              <w:left w:val="nil"/>
              <w:bottom w:val="single" w:sz="4" w:space="0" w:color="auto"/>
              <w:right w:val="single" w:sz="4" w:space="0" w:color="auto"/>
            </w:tcBorders>
            <w:shd w:val="clear" w:color="auto" w:fill="C6EFCE"/>
            <w:noWrap/>
          </w:tcPr>
          <w:p w14:paraId="416C1ED6" w14:textId="77777777" w:rsidR="00BD1A7F" w:rsidRDefault="00BD1A7F" w:rsidP="0001477B">
            <w:pPr>
              <w:jc w:val="center"/>
              <w:rPr>
                <w:rFonts w:ascii="Times New Roman" w:hAnsi="Times New Roman" w:cs="Times New Roman"/>
                <w:noProof/>
                <w:sz w:val="20"/>
                <w:szCs w:val="20"/>
              </w:rPr>
            </w:pPr>
            <w:r>
              <w:rPr>
                <w:noProof/>
                <w:color w:val="000000"/>
                <w:sz w:val="20"/>
              </w:rPr>
              <w:t>3.</w:t>
            </w:r>
          </w:p>
        </w:tc>
        <w:tc>
          <w:tcPr>
            <w:tcW w:w="960" w:type="dxa"/>
            <w:tcBorders>
              <w:top w:val="nil"/>
              <w:left w:val="nil"/>
              <w:bottom w:val="single" w:sz="4" w:space="0" w:color="auto"/>
              <w:right w:val="single" w:sz="4" w:space="0" w:color="auto"/>
            </w:tcBorders>
            <w:shd w:val="clear" w:color="auto" w:fill="C6EFCE"/>
            <w:noWrap/>
          </w:tcPr>
          <w:p w14:paraId="6BE7DB8B" w14:textId="77777777" w:rsidR="00BD1A7F" w:rsidRDefault="00BD1A7F" w:rsidP="0001477B">
            <w:pPr>
              <w:jc w:val="center"/>
              <w:rPr>
                <w:rFonts w:ascii="Times New Roman" w:hAnsi="Times New Roman" w:cs="Times New Roman"/>
                <w:noProof/>
                <w:sz w:val="20"/>
                <w:szCs w:val="20"/>
              </w:rPr>
            </w:pPr>
            <w:r>
              <w:rPr>
                <w:noProof/>
                <w:color w:val="000000"/>
                <w:sz w:val="20"/>
              </w:rPr>
              <w:t>2022.</w:t>
            </w:r>
          </w:p>
        </w:tc>
        <w:tc>
          <w:tcPr>
            <w:tcW w:w="4347" w:type="dxa"/>
            <w:tcBorders>
              <w:top w:val="nil"/>
              <w:left w:val="nil"/>
              <w:bottom w:val="single" w:sz="4" w:space="0" w:color="auto"/>
              <w:right w:val="single" w:sz="4" w:space="0" w:color="auto"/>
            </w:tcBorders>
            <w:shd w:val="clear" w:color="auto" w:fill="C6EFCE"/>
            <w:noWrap/>
          </w:tcPr>
          <w:p w14:paraId="38DE619A" w14:textId="77777777" w:rsidR="00BD1A7F" w:rsidRDefault="00BD1A7F" w:rsidP="0001477B">
            <w:pPr>
              <w:rPr>
                <w:rFonts w:ascii="Times New Roman" w:hAnsi="Times New Roman" w:cs="Times New Roman"/>
                <w:noProof/>
                <w:sz w:val="20"/>
                <w:szCs w:val="20"/>
              </w:rPr>
            </w:pPr>
            <w:r>
              <w:rPr>
                <w:noProof/>
                <w:color w:val="000000"/>
                <w:sz w:val="20"/>
              </w:rPr>
              <w:t>Izmijenit će se i zakonodavni okvir javne nabave (Zakon o javnoj nabavi i odgovarajući podzakonski akti) kako bi se uvela e-žalba kao obvezan način ostvarivanja pravne zaštite u sustavu javne nabave.</w:t>
            </w:r>
          </w:p>
        </w:tc>
      </w:tr>
      <w:tr w:rsidR="009926D5" w14:paraId="7499E5B8" w14:textId="77777777" w:rsidTr="00E25E44">
        <w:trPr>
          <w:trHeight w:val="283"/>
          <w:jc w:val="center"/>
        </w:trPr>
        <w:tc>
          <w:tcPr>
            <w:tcW w:w="592" w:type="dxa"/>
            <w:tcBorders>
              <w:top w:val="single" w:sz="4" w:space="0" w:color="auto"/>
              <w:left w:val="single" w:sz="4" w:space="0" w:color="auto"/>
              <w:bottom w:val="single" w:sz="4" w:space="0" w:color="auto"/>
              <w:right w:val="single" w:sz="4" w:space="0" w:color="auto"/>
            </w:tcBorders>
            <w:shd w:val="clear" w:color="auto" w:fill="C6EFCE"/>
            <w:noWrap/>
          </w:tcPr>
          <w:p w14:paraId="7DE84658" w14:textId="77777777" w:rsidR="00BD1A7F" w:rsidRDefault="00BD1A7F" w:rsidP="0001477B">
            <w:pPr>
              <w:jc w:val="center"/>
              <w:rPr>
                <w:rFonts w:ascii="Times New Roman" w:hAnsi="Times New Roman" w:cs="Times New Roman"/>
                <w:noProof/>
                <w:sz w:val="20"/>
                <w:szCs w:val="20"/>
              </w:rPr>
            </w:pPr>
            <w:r>
              <w:rPr>
                <w:noProof/>
                <w:color w:val="000000"/>
                <w:sz w:val="20"/>
              </w:rPr>
              <w:t>261</w:t>
            </w:r>
          </w:p>
        </w:tc>
        <w:tc>
          <w:tcPr>
            <w:tcW w:w="778" w:type="dxa"/>
            <w:tcBorders>
              <w:top w:val="single" w:sz="4" w:space="0" w:color="auto"/>
              <w:left w:val="nil"/>
              <w:bottom w:val="single" w:sz="4" w:space="0" w:color="auto"/>
              <w:right w:val="single" w:sz="4" w:space="0" w:color="auto"/>
            </w:tcBorders>
            <w:shd w:val="clear" w:color="auto" w:fill="C6EFCE"/>
            <w:noWrap/>
          </w:tcPr>
          <w:p w14:paraId="52DFAA4F" w14:textId="77777777" w:rsidR="00BD1A7F" w:rsidRDefault="00BD1A7F" w:rsidP="0001477B">
            <w:pPr>
              <w:jc w:val="center"/>
              <w:rPr>
                <w:rFonts w:ascii="Times New Roman" w:hAnsi="Times New Roman" w:cs="Times New Roman"/>
                <w:noProof/>
                <w:sz w:val="20"/>
                <w:szCs w:val="20"/>
              </w:rPr>
            </w:pPr>
            <w:r>
              <w:rPr>
                <w:noProof/>
                <w:color w:val="000000"/>
                <w:sz w:val="20"/>
              </w:rPr>
              <w:t>C2.9. R2</w:t>
            </w:r>
          </w:p>
        </w:tc>
        <w:tc>
          <w:tcPr>
            <w:tcW w:w="806" w:type="dxa"/>
            <w:tcBorders>
              <w:top w:val="single" w:sz="4" w:space="0" w:color="auto"/>
              <w:left w:val="nil"/>
              <w:bottom w:val="single" w:sz="4" w:space="0" w:color="auto"/>
              <w:right w:val="single" w:sz="4" w:space="0" w:color="auto"/>
            </w:tcBorders>
            <w:shd w:val="clear" w:color="auto" w:fill="C6EFCE"/>
            <w:noWrap/>
          </w:tcPr>
          <w:p w14:paraId="69957AC7" w14:textId="77777777" w:rsidR="00BD1A7F" w:rsidRDefault="00BD1A7F" w:rsidP="0001477B">
            <w:pPr>
              <w:jc w:val="center"/>
              <w:rPr>
                <w:rFonts w:ascii="Times New Roman" w:hAnsi="Times New Roman" w:cs="Times New Roman"/>
                <w:noProof/>
                <w:sz w:val="20"/>
                <w:szCs w:val="20"/>
              </w:rPr>
            </w:pPr>
            <w:r>
              <w:rPr>
                <w:noProof/>
                <w:color w:val="000000"/>
                <w:sz w:val="20"/>
              </w:rPr>
              <w:t>Ciljna vrijednost</w:t>
            </w:r>
          </w:p>
        </w:tc>
        <w:tc>
          <w:tcPr>
            <w:tcW w:w="1994" w:type="dxa"/>
            <w:tcBorders>
              <w:top w:val="single" w:sz="4" w:space="0" w:color="auto"/>
              <w:left w:val="nil"/>
              <w:bottom w:val="single" w:sz="4" w:space="0" w:color="auto"/>
              <w:right w:val="single" w:sz="4" w:space="0" w:color="auto"/>
            </w:tcBorders>
            <w:shd w:val="clear" w:color="auto" w:fill="C6EFCE"/>
            <w:noWrap/>
          </w:tcPr>
          <w:p w14:paraId="26941B95" w14:textId="77777777" w:rsidR="00BD1A7F" w:rsidRDefault="00BD1A7F" w:rsidP="0001477B">
            <w:pPr>
              <w:rPr>
                <w:rFonts w:ascii="Times New Roman" w:hAnsi="Times New Roman" w:cs="Times New Roman"/>
                <w:noProof/>
                <w:sz w:val="20"/>
                <w:szCs w:val="20"/>
              </w:rPr>
            </w:pPr>
            <w:r>
              <w:rPr>
                <w:noProof/>
                <w:color w:val="000000"/>
                <w:sz w:val="20"/>
              </w:rPr>
              <w:t xml:space="preserve">Skraćivanje prosječnog roka rješavanja žalbenih predmeta i donošenja odluka na 28 dana od dana zaprimanja žalbe                         </w:t>
            </w:r>
          </w:p>
        </w:tc>
        <w:tc>
          <w:tcPr>
            <w:tcW w:w="2141" w:type="dxa"/>
            <w:tcBorders>
              <w:top w:val="single" w:sz="4" w:space="0" w:color="auto"/>
              <w:left w:val="nil"/>
              <w:bottom w:val="single" w:sz="4" w:space="0" w:color="auto"/>
              <w:right w:val="single" w:sz="4" w:space="0" w:color="auto"/>
            </w:tcBorders>
            <w:shd w:val="clear" w:color="auto" w:fill="C6EFCE"/>
            <w:noWrap/>
          </w:tcPr>
          <w:p w14:paraId="1AF2DD33" w14:textId="77777777" w:rsidR="00BD1A7F" w:rsidRDefault="00BD1A7F" w:rsidP="0001477B">
            <w:pPr>
              <w:rPr>
                <w:rFonts w:ascii="Times New Roman" w:hAnsi="Times New Roman" w:cs="Times New Roman"/>
                <w:noProof/>
                <w:sz w:val="20"/>
                <w:szCs w:val="20"/>
              </w:rPr>
            </w:pPr>
            <w:r>
              <w:rPr>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21CBE99" w14:textId="77777777" w:rsidR="00BD1A7F" w:rsidRDefault="00BD1A7F" w:rsidP="0001477B">
            <w:pPr>
              <w:jc w:val="center"/>
              <w:rPr>
                <w:rFonts w:ascii="Times New Roman" w:hAnsi="Times New Roman" w:cs="Times New Roman"/>
                <w:noProof/>
                <w:sz w:val="20"/>
                <w:szCs w:val="20"/>
              </w:rPr>
            </w:pPr>
            <w:r>
              <w:rPr>
                <w:noProof/>
                <w:color w:val="000000"/>
                <w:sz w:val="20"/>
              </w:rPr>
              <w:t>Broj</w:t>
            </w:r>
          </w:p>
        </w:tc>
        <w:tc>
          <w:tcPr>
            <w:tcW w:w="966" w:type="dxa"/>
            <w:tcBorders>
              <w:top w:val="single" w:sz="4" w:space="0" w:color="auto"/>
              <w:left w:val="nil"/>
              <w:bottom w:val="single" w:sz="4" w:space="0" w:color="auto"/>
              <w:right w:val="single" w:sz="4" w:space="0" w:color="auto"/>
            </w:tcBorders>
            <w:shd w:val="clear" w:color="auto" w:fill="C6EFCE"/>
            <w:noWrap/>
          </w:tcPr>
          <w:p w14:paraId="53C8E1F3" w14:textId="77777777" w:rsidR="00BD1A7F" w:rsidRDefault="00BD1A7F" w:rsidP="0001477B">
            <w:pPr>
              <w:jc w:val="center"/>
              <w:rPr>
                <w:rFonts w:ascii="Times New Roman" w:hAnsi="Times New Roman" w:cs="Times New Roman"/>
                <w:noProof/>
                <w:sz w:val="20"/>
                <w:szCs w:val="20"/>
              </w:rPr>
            </w:pPr>
            <w:r>
              <w:rPr>
                <w:noProof/>
                <w:color w:val="000000"/>
                <w:sz w:val="20"/>
              </w:rPr>
              <w:t>34</w:t>
            </w:r>
          </w:p>
        </w:tc>
        <w:tc>
          <w:tcPr>
            <w:tcW w:w="927" w:type="dxa"/>
            <w:tcBorders>
              <w:top w:val="single" w:sz="4" w:space="0" w:color="auto"/>
              <w:left w:val="nil"/>
              <w:bottom w:val="single" w:sz="4" w:space="0" w:color="auto"/>
              <w:right w:val="single" w:sz="4" w:space="0" w:color="auto"/>
            </w:tcBorders>
            <w:shd w:val="clear" w:color="auto" w:fill="C6EFCE"/>
            <w:noWrap/>
          </w:tcPr>
          <w:p w14:paraId="5C91168B" w14:textId="77777777" w:rsidR="00BD1A7F" w:rsidRDefault="00BD1A7F" w:rsidP="0001477B">
            <w:pPr>
              <w:jc w:val="center"/>
              <w:rPr>
                <w:rFonts w:ascii="Times New Roman" w:hAnsi="Times New Roman" w:cs="Times New Roman"/>
                <w:noProof/>
                <w:sz w:val="20"/>
                <w:szCs w:val="20"/>
              </w:rPr>
            </w:pPr>
            <w:r>
              <w:rPr>
                <w:noProof/>
                <w:color w:val="000000"/>
                <w:sz w:val="20"/>
              </w:rPr>
              <w:t>28</w:t>
            </w:r>
          </w:p>
        </w:tc>
        <w:tc>
          <w:tcPr>
            <w:tcW w:w="592" w:type="dxa"/>
            <w:tcBorders>
              <w:top w:val="single" w:sz="4" w:space="0" w:color="auto"/>
              <w:left w:val="nil"/>
              <w:bottom w:val="single" w:sz="4" w:space="0" w:color="auto"/>
              <w:right w:val="single" w:sz="4" w:space="0" w:color="auto"/>
            </w:tcBorders>
            <w:shd w:val="clear" w:color="auto" w:fill="C6EFCE"/>
            <w:noWrap/>
          </w:tcPr>
          <w:p w14:paraId="451AC895" w14:textId="77777777" w:rsidR="00BD1A7F" w:rsidRDefault="00BD1A7F" w:rsidP="0001477B">
            <w:pPr>
              <w:jc w:val="center"/>
              <w:rPr>
                <w:rFonts w:ascii="Times New Roman" w:hAnsi="Times New Roman" w:cs="Times New Roman"/>
                <w:noProof/>
                <w:sz w:val="20"/>
                <w:szCs w:val="20"/>
              </w:rPr>
            </w:pPr>
            <w:r>
              <w:rPr>
                <w:noProof/>
                <w:color w:val="000000"/>
                <w:sz w:val="20"/>
              </w:rPr>
              <w:t>2.</w:t>
            </w:r>
          </w:p>
        </w:tc>
        <w:tc>
          <w:tcPr>
            <w:tcW w:w="960" w:type="dxa"/>
            <w:tcBorders>
              <w:top w:val="single" w:sz="4" w:space="0" w:color="auto"/>
              <w:left w:val="nil"/>
              <w:bottom w:val="single" w:sz="4" w:space="0" w:color="auto"/>
              <w:right w:val="single" w:sz="4" w:space="0" w:color="auto"/>
            </w:tcBorders>
            <w:shd w:val="clear" w:color="auto" w:fill="C6EFCE"/>
            <w:noWrap/>
          </w:tcPr>
          <w:p w14:paraId="2F8DE029" w14:textId="77777777" w:rsidR="00BD1A7F" w:rsidRDefault="00BD1A7F" w:rsidP="0001477B">
            <w:pPr>
              <w:jc w:val="center"/>
              <w:rPr>
                <w:rFonts w:ascii="Times New Roman" w:hAnsi="Times New Roman" w:cs="Times New Roman"/>
                <w:noProof/>
                <w:sz w:val="20"/>
                <w:szCs w:val="20"/>
              </w:rPr>
            </w:pPr>
            <w:r>
              <w:rPr>
                <w:noProof/>
                <w:color w:val="000000"/>
                <w:sz w:val="20"/>
              </w:rPr>
              <w:t>2026.</w:t>
            </w:r>
          </w:p>
        </w:tc>
        <w:tc>
          <w:tcPr>
            <w:tcW w:w="4347" w:type="dxa"/>
            <w:tcBorders>
              <w:top w:val="single" w:sz="4" w:space="0" w:color="auto"/>
              <w:left w:val="nil"/>
              <w:bottom w:val="single" w:sz="4" w:space="0" w:color="auto"/>
              <w:right w:val="single" w:sz="4" w:space="0" w:color="auto"/>
            </w:tcBorders>
            <w:shd w:val="clear" w:color="auto" w:fill="C6EFCE"/>
            <w:noWrap/>
          </w:tcPr>
          <w:p w14:paraId="70DD4B2D" w14:textId="77777777" w:rsidR="00BD1A7F" w:rsidRDefault="00BD1A7F" w:rsidP="0001477B">
            <w:pPr>
              <w:rPr>
                <w:rFonts w:ascii="Times New Roman" w:hAnsi="Times New Roman" w:cs="Times New Roman"/>
                <w:noProof/>
                <w:sz w:val="20"/>
                <w:szCs w:val="20"/>
              </w:rPr>
            </w:pPr>
            <w:r>
              <w:rPr>
                <w:noProof/>
                <w:color w:val="000000"/>
                <w:sz w:val="20"/>
              </w:rPr>
              <w:t>Očekuje se da će uvođenje obveznih e-žalbi skratiti prosječne rokove rješavanja žalbenih predmeta i procesnih zlouporaba u DKOM-u. Time će se pojednostavniti i ubrzati dostava pismena izravnom elektroničkom komunikacijom sa strankama te će se stvoriti preduvjeti za poboljšanje učinkovitosti i skraćivanje žalbenih postupaka bez utjecaja na kvalitetu odluka DKOM-a. Broj dana od datuma primitka žalbe smanjit će se za najmanje šest dana u odnosu na osnovnu vrijednost od 34 dana.</w:t>
            </w:r>
          </w:p>
        </w:tc>
      </w:tr>
      <w:tr w:rsidR="009926D5" w14:paraId="491F6C50" w14:textId="77777777" w:rsidTr="00E25E44">
        <w:trPr>
          <w:trHeight w:val="283"/>
          <w:jc w:val="center"/>
        </w:trPr>
        <w:tc>
          <w:tcPr>
            <w:tcW w:w="592" w:type="dxa"/>
            <w:tcBorders>
              <w:top w:val="single" w:sz="4" w:space="0" w:color="auto"/>
              <w:left w:val="single" w:sz="4" w:space="0" w:color="auto"/>
              <w:bottom w:val="single" w:sz="4" w:space="0" w:color="auto"/>
              <w:right w:val="single" w:sz="4" w:space="0" w:color="auto"/>
            </w:tcBorders>
            <w:shd w:val="clear" w:color="auto" w:fill="C6EFCE"/>
            <w:noWrap/>
          </w:tcPr>
          <w:p w14:paraId="4F0EC518" w14:textId="77777777" w:rsidR="00BD1A7F" w:rsidRDefault="00BD1A7F" w:rsidP="0001477B">
            <w:pPr>
              <w:jc w:val="center"/>
              <w:rPr>
                <w:rFonts w:ascii="Times New Roman" w:hAnsi="Times New Roman" w:cs="Times New Roman"/>
                <w:noProof/>
                <w:sz w:val="20"/>
                <w:szCs w:val="20"/>
              </w:rPr>
            </w:pPr>
            <w:r>
              <w:rPr>
                <w:noProof/>
                <w:color w:val="000000"/>
                <w:sz w:val="20"/>
              </w:rPr>
              <w:t>262</w:t>
            </w:r>
          </w:p>
        </w:tc>
        <w:tc>
          <w:tcPr>
            <w:tcW w:w="778" w:type="dxa"/>
            <w:tcBorders>
              <w:top w:val="single" w:sz="4" w:space="0" w:color="auto"/>
              <w:left w:val="nil"/>
              <w:bottom w:val="single" w:sz="4" w:space="0" w:color="auto"/>
              <w:right w:val="single" w:sz="4" w:space="0" w:color="auto"/>
            </w:tcBorders>
            <w:shd w:val="clear" w:color="auto" w:fill="C6EFCE"/>
            <w:noWrap/>
          </w:tcPr>
          <w:p w14:paraId="04AC104D" w14:textId="77777777" w:rsidR="00BD1A7F" w:rsidRDefault="00BD1A7F" w:rsidP="0001477B">
            <w:pPr>
              <w:jc w:val="center"/>
              <w:rPr>
                <w:rFonts w:ascii="Times New Roman" w:hAnsi="Times New Roman" w:cs="Times New Roman"/>
                <w:noProof/>
                <w:sz w:val="20"/>
                <w:szCs w:val="20"/>
              </w:rPr>
            </w:pPr>
            <w:r>
              <w:rPr>
                <w:noProof/>
                <w:color w:val="000000"/>
                <w:sz w:val="20"/>
              </w:rPr>
              <w:t>C2.9. R2</w:t>
            </w:r>
          </w:p>
        </w:tc>
        <w:tc>
          <w:tcPr>
            <w:tcW w:w="806" w:type="dxa"/>
            <w:tcBorders>
              <w:top w:val="single" w:sz="4" w:space="0" w:color="auto"/>
              <w:left w:val="nil"/>
              <w:bottom w:val="single" w:sz="4" w:space="0" w:color="auto"/>
              <w:right w:val="single" w:sz="4" w:space="0" w:color="auto"/>
            </w:tcBorders>
            <w:shd w:val="clear" w:color="auto" w:fill="C6EFCE"/>
            <w:noWrap/>
          </w:tcPr>
          <w:p w14:paraId="57FA00A2" w14:textId="77777777" w:rsidR="00BD1A7F" w:rsidRDefault="00BD1A7F" w:rsidP="0001477B">
            <w:pPr>
              <w:jc w:val="center"/>
              <w:rPr>
                <w:rFonts w:ascii="Times New Roman" w:hAnsi="Times New Roman" w:cs="Times New Roman"/>
                <w:noProof/>
                <w:sz w:val="20"/>
                <w:szCs w:val="20"/>
              </w:rPr>
            </w:pPr>
            <w:r>
              <w:rPr>
                <w:noProof/>
                <w:color w:val="000000"/>
                <w:sz w:val="20"/>
              </w:rPr>
              <w:t>Ciljna vrijednost</w:t>
            </w:r>
          </w:p>
        </w:tc>
        <w:tc>
          <w:tcPr>
            <w:tcW w:w="1994" w:type="dxa"/>
            <w:tcBorders>
              <w:top w:val="single" w:sz="4" w:space="0" w:color="auto"/>
              <w:left w:val="nil"/>
              <w:bottom w:val="single" w:sz="4" w:space="0" w:color="auto"/>
              <w:right w:val="single" w:sz="4" w:space="0" w:color="auto"/>
            </w:tcBorders>
            <w:shd w:val="clear" w:color="auto" w:fill="C6EFCE"/>
            <w:noWrap/>
          </w:tcPr>
          <w:p w14:paraId="2CF73C91" w14:textId="77777777" w:rsidR="00BD1A7F" w:rsidRDefault="00BD1A7F" w:rsidP="0001477B">
            <w:pPr>
              <w:rPr>
                <w:rFonts w:ascii="Times New Roman" w:hAnsi="Times New Roman" w:cs="Times New Roman"/>
                <w:noProof/>
                <w:sz w:val="20"/>
                <w:szCs w:val="20"/>
              </w:rPr>
            </w:pPr>
            <w:r>
              <w:rPr>
                <w:noProof/>
                <w:color w:val="000000"/>
                <w:sz w:val="20"/>
              </w:rPr>
              <w:t xml:space="preserve">Skraćivanje prosječnog roka na 14 dana od dana kompletiranja dokumentacije žalbenog predmeta </w:t>
            </w:r>
          </w:p>
        </w:tc>
        <w:tc>
          <w:tcPr>
            <w:tcW w:w="2141" w:type="dxa"/>
            <w:tcBorders>
              <w:top w:val="single" w:sz="4" w:space="0" w:color="auto"/>
              <w:left w:val="nil"/>
              <w:bottom w:val="single" w:sz="4" w:space="0" w:color="auto"/>
              <w:right w:val="single" w:sz="4" w:space="0" w:color="auto"/>
            </w:tcBorders>
            <w:shd w:val="clear" w:color="auto" w:fill="C6EFCE"/>
            <w:noWrap/>
          </w:tcPr>
          <w:p w14:paraId="23DB47DE" w14:textId="77777777" w:rsidR="00BD1A7F" w:rsidRDefault="00BD1A7F" w:rsidP="0001477B">
            <w:pPr>
              <w:rPr>
                <w:rFonts w:ascii="Times New Roman" w:hAnsi="Times New Roman" w:cs="Times New Roman"/>
                <w:noProof/>
                <w:sz w:val="20"/>
                <w:szCs w:val="20"/>
              </w:rPr>
            </w:pPr>
            <w:r>
              <w:rPr>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E60C42D" w14:textId="77777777" w:rsidR="00BD1A7F" w:rsidRDefault="00BD1A7F" w:rsidP="0001477B">
            <w:pPr>
              <w:jc w:val="center"/>
              <w:rPr>
                <w:rFonts w:ascii="Times New Roman" w:hAnsi="Times New Roman" w:cs="Times New Roman"/>
                <w:noProof/>
                <w:sz w:val="20"/>
                <w:szCs w:val="20"/>
              </w:rPr>
            </w:pPr>
            <w:r>
              <w:rPr>
                <w:noProof/>
                <w:color w:val="000000"/>
                <w:sz w:val="20"/>
              </w:rPr>
              <w:t>Broj</w:t>
            </w:r>
          </w:p>
        </w:tc>
        <w:tc>
          <w:tcPr>
            <w:tcW w:w="966" w:type="dxa"/>
            <w:tcBorders>
              <w:top w:val="single" w:sz="4" w:space="0" w:color="auto"/>
              <w:left w:val="nil"/>
              <w:bottom w:val="single" w:sz="4" w:space="0" w:color="auto"/>
              <w:right w:val="single" w:sz="4" w:space="0" w:color="auto"/>
            </w:tcBorders>
            <w:shd w:val="clear" w:color="auto" w:fill="C6EFCE"/>
            <w:noWrap/>
          </w:tcPr>
          <w:p w14:paraId="5152B27C" w14:textId="77777777" w:rsidR="00BD1A7F" w:rsidRDefault="00BD1A7F" w:rsidP="0001477B">
            <w:pPr>
              <w:jc w:val="center"/>
              <w:rPr>
                <w:rFonts w:ascii="Times New Roman" w:hAnsi="Times New Roman" w:cs="Times New Roman"/>
                <w:noProof/>
                <w:sz w:val="20"/>
                <w:szCs w:val="20"/>
              </w:rPr>
            </w:pPr>
            <w:r>
              <w:rPr>
                <w:noProof/>
                <w:color w:val="000000"/>
                <w:sz w:val="20"/>
              </w:rPr>
              <w:t>16</w:t>
            </w:r>
          </w:p>
        </w:tc>
        <w:tc>
          <w:tcPr>
            <w:tcW w:w="927" w:type="dxa"/>
            <w:tcBorders>
              <w:top w:val="single" w:sz="4" w:space="0" w:color="auto"/>
              <w:left w:val="nil"/>
              <w:bottom w:val="single" w:sz="4" w:space="0" w:color="auto"/>
              <w:right w:val="single" w:sz="4" w:space="0" w:color="auto"/>
            </w:tcBorders>
            <w:shd w:val="clear" w:color="auto" w:fill="C6EFCE"/>
            <w:noWrap/>
          </w:tcPr>
          <w:p w14:paraId="6C962B77" w14:textId="77777777" w:rsidR="00BD1A7F" w:rsidRDefault="00BD1A7F" w:rsidP="0001477B">
            <w:pPr>
              <w:jc w:val="center"/>
              <w:rPr>
                <w:rFonts w:ascii="Times New Roman" w:hAnsi="Times New Roman" w:cs="Times New Roman"/>
                <w:noProof/>
                <w:sz w:val="20"/>
                <w:szCs w:val="20"/>
              </w:rPr>
            </w:pPr>
            <w:r>
              <w:rPr>
                <w:noProof/>
                <w:color w:val="000000"/>
                <w:sz w:val="20"/>
              </w:rPr>
              <w:t>14</w:t>
            </w:r>
          </w:p>
        </w:tc>
        <w:tc>
          <w:tcPr>
            <w:tcW w:w="592" w:type="dxa"/>
            <w:tcBorders>
              <w:top w:val="single" w:sz="4" w:space="0" w:color="auto"/>
              <w:left w:val="nil"/>
              <w:bottom w:val="single" w:sz="4" w:space="0" w:color="auto"/>
              <w:right w:val="single" w:sz="4" w:space="0" w:color="auto"/>
            </w:tcBorders>
            <w:shd w:val="clear" w:color="auto" w:fill="C6EFCE"/>
            <w:noWrap/>
          </w:tcPr>
          <w:p w14:paraId="580E6E10" w14:textId="77777777" w:rsidR="00BD1A7F" w:rsidRDefault="00BD1A7F" w:rsidP="0001477B">
            <w:pPr>
              <w:jc w:val="center"/>
              <w:rPr>
                <w:rFonts w:ascii="Times New Roman" w:hAnsi="Times New Roman" w:cs="Times New Roman"/>
                <w:noProof/>
                <w:sz w:val="20"/>
                <w:szCs w:val="20"/>
              </w:rPr>
            </w:pPr>
            <w:r>
              <w:rPr>
                <w:noProof/>
                <w:color w:val="000000"/>
                <w:sz w:val="20"/>
              </w:rPr>
              <w:t>2.</w:t>
            </w:r>
          </w:p>
        </w:tc>
        <w:tc>
          <w:tcPr>
            <w:tcW w:w="960" w:type="dxa"/>
            <w:tcBorders>
              <w:top w:val="single" w:sz="4" w:space="0" w:color="auto"/>
              <w:left w:val="nil"/>
              <w:bottom w:val="single" w:sz="4" w:space="0" w:color="auto"/>
              <w:right w:val="single" w:sz="4" w:space="0" w:color="auto"/>
            </w:tcBorders>
            <w:shd w:val="clear" w:color="auto" w:fill="C6EFCE"/>
            <w:noWrap/>
          </w:tcPr>
          <w:p w14:paraId="3CA14324" w14:textId="77777777" w:rsidR="00BD1A7F" w:rsidRDefault="00BD1A7F" w:rsidP="0001477B">
            <w:pPr>
              <w:jc w:val="center"/>
              <w:rPr>
                <w:rFonts w:ascii="Times New Roman" w:hAnsi="Times New Roman" w:cs="Times New Roman"/>
                <w:noProof/>
                <w:sz w:val="20"/>
                <w:szCs w:val="20"/>
              </w:rPr>
            </w:pPr>
            <w:r>
              <w:rPr>
                <w:noProof/>
                <w:color w:val="000000"/>
                <w:sz w:val="20"/>
              </w:rPr>
              <w:t>2026.</w:t>
            </w:r>
          </w:p>
        </w:tc>
        <w:tc>
          <w:tcPr>
            <w:tcW w:w="4347" w:type="dxa"/>
            <w:tcBorders>
              <w:top w:val="single" w:sz="4" w:space="0" w:color="auto"/>
              <w:left w:val="nil"/>
              <w:bottom w:val="single" w:sz="4" w:space="0" w:color="auto"/>
              <w:right w:val="single" w:sz="4" w:space="0" w:color="auto"/>
            </w:tcBorders>
            <w:shd w:val="clear" w:color="auto" w:fill="C6EFCE"/>
            <w:noWrap/>
          </w:tcPr>
          <w:p w14:paraId="11998210" w14:textId="77777777" w:rsidR="00BD1A7F" w:rsidRDefault="00BD1A7F" w:rsidP="0001477B">
            <w:pPr>
              <w:rPr>
                <w:rFonts w:ascii="Times New Roman" w:hAnsi="Times New Roman" w:cs="Times New Roman"/>
                <w:noProof/>
                <w:sz w:val="20"/>
                <w:szCs w:val="20"/>
              </w:rPr>
            </w:pPr>
            <w:r>
              <w:rPr>
                <w:noProof/>
                <w:color w:val="000000"/>
                <w:sz w:val="20"/>
              </w:rPr>
              <w:t>Očekuje se da će uvođenje obveznih e-žalbi skratiti prosječne rokove rješavanja žalbenih predmeta i procesnih zlouporaba u DKOM-u. Time se pojednostavnjuje i ubrzava dostava pismena izravnom elektroničkom komunikacijom sa strankama, stvaraju se preduvjeti za poboljšanje učinkovitosti i skraćenje žalbenih postupaka bez utjecaja na kvalitetu odluka DKOM-a te se za barem šest dana smanjuje broj dana od dana primitka žalbe.</w:t>
            </w:r>
          </w:p>
        </w:tc>
      </w:tr>
      <w:tr w:rsidR="009926D5" w14:paraId="011369FA" w14:textId="77777777" w:rsidTr="00E25E44">
        <w:trPr>
          <w:trHeight w:val="283"/>
          <w:jc w:val="center"/>
        </w:trPr>
        <w:tc>
          <w:tcPr>
            <w:tcW w:w="592" w:type="dxa"/>
            <w:tcBorders>
              <w:top w:val="single" w:sz="4" w:space="0" w:color="auto"/>
              <w:left w:val="single" w:sz="4" w:space="0" w:color="auto"/>
              <w:bottom w:val="single" w:sz="4" w:space="0" w:color="auto"/>
              <w:right w:val="single" w:sz="4" w:space="0" w:color="auto"/>
            </w:tcBorders>
            <w:shd w:val="clear" w:color="auto" w:fill="C6EFCE"/>
            <w:noWrap/>
          </w:tcPr>
          <w:p w14:paraId="558B245C" w14:textId="77777777" w:rsidR="00BD1A7F" w:rsidRDefault="00BD1A7F" w:rsidP="0001477B">
            <w:pPr>
              <w:jc w:val="center"/>
              <w:rPr>
                <w:rFonts w:ascii="Times New Roman" w:hAnsi="Times New Roman" w:cs="Times New Roman"/>
                <w:noProof/>
                <w:sz w:val="20"/>
                <w:szCs w:val="20"/>
              </w:rPr>
            </w:pPr>
            <w:r>
              <w:rPr>
                <w:noProof/>
                <w:color w:val="000000"/>
                <w:sz w:val="20"/>
              </w:rPr>
              <w:t>263</w:t>
            </w:r>
          </w:p>
        </w:tc>
        <w:tc>
          <w:tcPr>
            <w:tcW w:w="778" w:type="dxa"/>
            <w:tcBorders>
              <w:top w:val="single" w:sz="4" w:space="0" w:color="auto"/>
              <w:left w:val="nil"/>
              <w:bottom w:val="single" w:sz="4" w:space="0" w:color="auto"/>
              <w:right w:val="single" w:sz="4" w:space="0" w:color="auto"/>
            </w:tcBorders>
            <w:shd w:val="clear" w:color="auto" w:fill="C6EFCE"/>
            <w:noWrap/>
          </w:tcPr>
          <w:p w14:paraId="55FEBB75" w14:textId="77777777" w:rsidR="00BD1A7F" w:rsidRDefault="00BD1A7F" w:rsidP="0001477B">
            <w:pPr>
              <w:jc w:val="center"/>
              <w:rPr>
                <w:rFonts w:ascii="Times New Roman" w:hAnsi="Times New Roman" w:cs="Times New Roman"/>
                <w:noProof/>
                <w:sz w:val="20"/>
                <w:szCs w:val="20"/>
              </w:rPr>
            </w:pPr>
            <w:r>
              <w:rPr>
                <w:noProof/>
                <w:color w:val="000000"/>
                <w:sz w:val="20"/>
              </w:rPr>
              <w:t>C2.9. R3</w:t>
            </w:r>
          </w:p>
        </w:tc>
        <w:tc>
          <w:tcPr>
            <w:tcW w:w="806" w:type="dxa"/>
            <w:tcBorders>
              <w:top w:val="single" w:sz="4" w:space="0" w:color="auto"/>
              <w:left w:val="nil"/>
              <w:bottom w:val="single" w:sz="4" w:space="0" w:color="auto"/>
              <w:right w:val="single" w:sz="4" w:space="0" w:color="auto"/>
            </w:tcBorders>
            <w:shd w:val="clear" w:color="auto" w:fill="C6EFCE"/>
            <w:noWrap/>
          </w:tcPr>
          <w:p w14:paraId="286A4FC5" w14:textId="77777777" w:rsidR="00BD1A7F" w:rsidRDefault="00BD1A7F" w:rsidP="0001477B">
            <w:pPr>
              <w:jc w:val="center"/>
              <w:rPr>
                <w:rFonts w:ascii="Times New Roman" w:hAnsi="Times New Roman" w:cs="Times New Roman"/>
                <w:noProof/>
                <w:sz w:val="20"/>
                <w:szCs w:val="20"/>
              </w:rPr>
            </w:pPr>
            <w:r>
              <w:rPr>
                <w:noProof/>
                <w:color w:val="000000"/>
                <w:sz w:val="20"/>
              </w:rPr>
              <w:t>Ključna etapa</w:t>
            </w:r>
          </w:p>
        </w:tc>
        <w:tc>
          <w:tcPr>
            <w:tcW w:w="1994" w:type="dxa"/>
            <w:tcBorders>
              <w:top w:val="single" w:sz="4" w:space="0" w:color="auto"/>
              <w:left w:val="nil"/>
              <w:bottom w:val="single" w:sz="4" w:space="0" w:color="auto"/>
              <w:right w:val="single" w:sz="4" w:space="0" w:color="auto"/>
            </w:tcBorders>
            <w:shd w:val="clear" w:color="auto" w:fill="C6EFCE"/>
            <w:noWrap/>
          </w:tcPr>
          <w:p w14:paraId="1183115C" w14:textId="77777777" w:rsidR="00BD1A7F" w:rsidRDefault="00BD1A7F" w:rsidP="0001477B">
            <w:pPr>
              <w:rPr>
                <w:rFonts w:ascii="Times New Roman" w:hAnsi="Times New Roman" w:cs="Times New Roman"/>
                <w:noProof/>
                <w:sz w:val="20"/>
                <w:szCs w:val="20"/>
              </w:rPr>
            </w:pPr>
            <w:r>
              <w:rPr>
                <w:noProof/>
                <w:color w:val="000000"/>
                <w:sz w:val="20"/>
              </w:rPr>
              <w:t>Programi i aktivnosti namijenjeni oblikovanju i upravljanju inovativne javne nabave</w:t>
            </w:r>
          </w:p>
        </w:tc>
        <w:tc>
          <w:tcPr>
            <w:tcW w:w="2141" w:type="dxa"/>
            <w:tcBorders>
              <w:top w:val="single" w:sz="4" w:space="0" w:color="auto"/>
              <w:left w:val="nil"/>
              <w:bottom w:val="single" w:sz="4" w:space="0" w:color="auto"/>
              <w:right w:val="single" w:sz="4" w:space="0" w:color="auto"/>
            </w:tcBorders>
            <w:shd w:val="clear" w:color="auto" w:fill="C6EFCE"/>
            <w:noWrap/>
          </w:tcPr>
          <w:p w14:paraId="6C3DB343" w14:textId="77777777" w:rsidR="00BD1A7F" w:rsidRDefault="00BD1A7F" w:rsidP="0001477B">
            <w:pPr>
              <w:rPr>
                <w:rFonts w:ascii="Times New Roman" w:hAnsi="Times New Roman" w:cs="Times New Roman"/>
                <w:noProof/>
                <w:sz w:val="20"/>
                <w:szCs w:val="20"/>
              </w:rPr>
            </w:pPr>
            <w:r>
              <w:rPr>
                <w:noProof/>
                <w:color w:val="000000"/>
                <w:sz w:val="20"/>
              </w:rPr>
              <w:t>Uspostavljen program za pružanje stručne pomoći i edukacije naručiteljima u inovativnoj javnoj nabavi</w:t>
            </w:r>
          </w:p>
        </w:tc>
        <w:tc>
          <w:tcPr>
            <w:tcW w:w="1096" w:type="dxa"/>
            <w:tcBorders>
              <w:top w:val="single" w:sz="4" w:space="0" w:color="auto"/>
              <w:left w:val="nil"/>
              <w:bottom w:val="single" w:sz="4" w:space="0" w:color="auto"/>
              <w:right w:val="single" w:sz="4" w:space="0" w:color="auto"/>
            </w:tcBorders>
            <w:shd w:val="clear" w:color="auto" w:fill="C6EFCE"/>
            <w:noWrap/>
          </w:tcPr>
          <w:p w14:paraId="1612FE10"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66" w:type="dxa"/>
            <w:tcBorders>
              <w:top w:val="single" w:sz="4" w:space="0" w:color="auto"/>
              <w:left w:val="nil"/>
              <w:bottom w:val="single" w:sz="4" w:space="0" w:color="auto"/>
              <w:right w:val="single" w:sz="4" w:space="0" w:color="auto"/>
            </w:tcBorders>
            <w:shd w:val="clear" w:color="auto" w:fill="C6EFCE"/>
            <w:noWrap/>
          </w:tcPr>
          <w:p w14:paraId="71A974DD"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927" w:type="dxa"/>
            <w:tcBorders>
              <w:top w:val="single" w:sz="4" w:space="0" w:color="auto"/>
              <w:left w:val="nil"/>
              <w:bottom w:val="single" w:sz="4" w:space="0" w:color="auto"/>
              <w:right w:val="single" w:sz="4" w:space="0" w:color="auto"/>
            </w:tcBorders>
            <w:shd w:val="clear" w:color="auto" w:fill="C6EFCE"/>
            <w:noWrap/>
          </w:tcPr>
          <w:p w14:paraId="0CF54650" w14:textId="77777777" w:rsidR="00BD1A7F" w:rsidRDefault="00BD1A7F" w:rsidP="0001477B">
            <w:pPr>
              <w:jc w:val="center"/>
              <w:rPr>
                <w:rFonts w:ascii="Times New Roman" w:hAnsi="Times New Roman" w:cs="Times New Roman"/>
                <w:noProof/>
                <w:sz w:val="20"/>
                <w:szCs w:val="20"/>
              </w:rPr>
            </w:pPr>
            <w:r>
              <w:rPr>
                <w:noProof/>
                <w:color w:val="000000"/>
                <w:sz w:val="20"/>
              </w:rPr>
              <w:t> </w:t>
            </w:r>
          </w:p>
        </w:tc>
        <w:tc>
          <w:tcPr>
            <w:tcW w:w="592" w:type="dxa"/>
            <w:tcBorders>
              <w:top w:val="single" w:sz="4" w:space="0" w:color="auto"/>
              <w:left w:val="nil"/>
              <w:bottom w:val="single" w:sz="4" w:space="0" w:color="auto"/>
              <w:right w:val="single" w:sz="4" w:space="0" w:color="auto"/>
            </w:tcBorders>
            <w:shd w:val="clear" w:color="auto" w:fill="C6EFCE"/>
            <w:noWrap/>
          </w:tcPr>
          <w:p w14:paraId="389720A3" w14:textId="77777777" w:rsidR="00BD1A7F" w:rsidRDefault="00BD1A7F" w:rsidP="0001477B">
            <w:pPr>
              <w:jc w:val="center"/>
              <w:rPr>
                <w:rFonts w:ascii="Times New Roman" w:hAnsi="Times New Roman" w:cs="Times New Roman"/>
                <w:noProof/>
                <w:sz w:val="20"/>
                <w:szCs w:val="20"/>
              </w:rPr>
            </w:pPr>
            <w:r>
              <w:rPr>
                <w:noProof/>
                <w:color w:val="000000"/>
                <w:sz w:val="20"/>
              </w:rPr>
              <w:t>1.</w:t>
            </w:r>
          </w:p>
        </w:tc>
        <w:tc>
          <w:tcPr>
            <w:tcW w:w="960" w:type="dxa"/>
            <w:tcBorders>
              <w:top w:val="single" w:sz="4" w:space="0" w:color="auto"/>
              <w:left w:val="nil"/>
              <w:bottom w:val="single" w:sz="4" w:space="0" w:color="auto"/>
              <w:right w:val="single" w:sz="4" w:space="0" w:color="auto"/>
            </w:tcBorders>
            <w:shd w:val="clear" w:color="auto" w:fill="C6EFCE"/>
            <w:noWrap/>
          </w:tcPr>
          <w:p w14:paraId="18CBE230" w14:textId="77777777" w:rsidR="00BD1A7F" w:rsidRDefault="00BD1A7F" w:rsidP="0001477B">
            <w:pPr>
              <w:jc w:val="center"/>
              <w:rPr>
                <w:rFonts w:ascii="Times New Roman" w:hAnsi="Times New Roman" w:cs="Times New Roman"/>
                <w:noProof/>
                <w:sz w:val="20"/>
                <w:szCs w:val="20"/>
              </w:rPr>
            </w:pPr>
            <w:r>
              <w:rPr>
                <w:noProof/>
                <w:color w:val="000000"/>
                <w:sz w:val="20"/>
              </w:rPr>
              <w:t>2024.</w:t>
            </w:r>
          </w:p>
        </w:tc>
        <w:tc>
          <w:tcPr>
            <w:tcW w:w="4347" w:type="dxa"/>
            <w:tcBorders>
              <w:top w:val="single" w:sz="4" w:space="0" w:color="auto"/>
              <w:left w:val="nil"/>
              <w:bottom w:val="single" w:sz="4" w:space="0" w:color="auto"/>
              <w:right w:val="single" w:sz="4" w:space="0" w:color="auto"/>
            </w:tcBorders>
            <w:shd w:val="clear" w:color="auto" w:fill="C6EFCE"/>
            <w:noWrap/>
          </w:tcPr>
          <w:p w14:paraId="60B0FE2A" w14:textId="77777777" w:rsidR="00BD1A7F" w:rsidRDefault="00BD1A7F" w:rsidP="0001477B">
            <w:pPr>
              <w:rPr>
                <w:rFonts w:ascii="Times New Roman" w:hAnsi="Times New Roman" w:cs="Times New Roman"/>
                <w:noProof/>
                <w:sz w:val="20"/>
                <w:szCs w:val="20"/>
              </w:rPr>
            </w:pPr>
            <w:r>
              <w:rPr>
                <w:noProof/>
                <w:color w:val="000000"/>
                <w:sz w:val="20"/>
              </w:rPr>
              <w:t xml:space="preserve">Uz tehničku pomoć hrvatske institucije uspostavit će programe za pružanje stručne pomoći naručiteljima u postupcima inovativne javne nabave. Konkurentni centar za inovativnu javnu nabavu, osnovan u okviru HAMAG-BICRO-a ojačat će se te će se njegovi zaposlenici educirati za samostalno pružanje edukacija o inovativnoj javnoj nabavi. Administrativni kapacitet MINGOR-a ojačat će se na isti način. Izvješće o napretku u vezi s jačanjem kapaciteta bit će izrađeno do prvog tromjesečja 2024.   </w:t>
            </w:r>
          </w:p>
        </w:tc>
      </w:tr>
      <w:tr w:rsidR="009926D5" w14:paraId="6C449ABA" w14:textId="77777777" w:rsidTr="00E25E44">
        <w:trPr>
          <w:trHeight w:val="283"/>
          <w:jc w:val="center"/>
        </w:trPr>
        <w:tc>
          <w:tcPr>
            <w:tcW w:w="592" w:type="dxa"/>
            <w:tcBorders>
              <w:top w:val="single" w:sz="4" w:space="0" w:color="auto"/>
              <w:left w:val="single" w:sz="4" w:space="0" w:color="auto"/>
              <w:bottom w:val="single" w:sz="4" w:space="0" w:color="auto"/>
              <w:right w:val="single" w:sz="4" w:space="0" w:color="auto"/>
            </w:tcBorders>
            <w:shd w:val="clear" w:color="auto" w:fill="C6EFCE"/>
            <w:noWrap/>
          </w:tcPr>
          <w:p w14:paraId="60D551B1" w14:textId="77777777" w:rsidR="00BD1A7F" w:rsidRDefault="00BD1A7F" w:rsidP="0001477B">
            <w:pPr>
              <w:jc w:val="center"/>
              <w:rPr>
                <w:rFonts w:ascii="Times New Roman" w:hAnsi="Times New Roman" w:cs="Times New Roman"/>
                <w:noProof/>
                <w:sz w:val="20"/>
                <w:szCs w:val="20"/>
              </w:rPr>
            </w:pPr>
            <w:r>
              <w:rPr>
                <w:noProof/>
                <w:color w:val="000000"/>
                <w:sz w:val="20"/>
              </w:rPr>
              <w:t>264</w:t>
            </w:r>
          </w:p>
        </w:tc>
        <w:tc>
          <w:tcPr>
            <w:tcW w:w="778" w:type="dxa"/>
            <w:tcBorders>
              <w:top w:val="single" w:sz="4" w:space="0" w:color="auto"/>
              <w:left w:val="nil"/>
              <w:bottom w:val="single" w:sz="4" w:space="0" w:color="auto"/>
              <w:right w:val="single" w:sz="4" w:space="0" w:color="auto"/>
            </w:tcBorders>
            <w:shd w:val="clear" w:color="auto" w:fill="C6EFCE"/>
            <w:noWrap/>
          </w:tcPr>
          <w:p w14:paraId="72ABE424" w14:textId="77777777" w:rsidR="00BD1A7F" w:rsidRDefault="00BD1A7F" w:rsidP="0001477B">
            <w:pPr>
              <w:jc w:val="center"/>
              <w:rPr>
                <w:rFonts w:ascii="Times New Roman" w:hAnsi="Times New Roman" w:cs="Times New Roman"/>
                <w:noProof/>
                <w:sz w:val="20"/>
                <w:szCs w:val="20"/>
              </w:rPr>
            </w:pPr>
            <w:r>
              <w:rPr>
                <w:noProof/>
                <w:color w:val="000000"/>
                <w:sz w:val="20"/>
              </w:rPr>
              <w:t>C2.9. R3</w:t>
            </w:r>
          </w:p>
        </w:tc>
        <w:tc>
          <w:tcPr>
            <w:tcW w:w="806" w:type="dxa"/>
            <w:tcBorders>
              <w:top w:val="single" w:sz="4" w:space="0" w:color="auto"/>
              <w:left w:val="nil"/>
              <w:bottom w:val="single" w:sz="4" w:space="0" w:color="auto"/>
              <w:right w:val="single" w:sz="4" w:space="0" w:color="auto"/>
            </w:tcBorders>
            <w:shd w:val="clear" w:color="auto" w:fill="C6EFCE"/>
            <w:noWrap/>
          </w:tcPr>
          <w:p w14:paraId="475C3383" w14:textId="77777777" w:rsidR="00BD1A7F" w:rsidRDefault="00BD1A7F" w:rsidP="0001477B">
            <w:pPr>
              <w:jc w:val="center"/>
              <w:rPr>
                <w:rFonts w:ascii="Times New Roman" w:hAnsi="Times New Roman" w:cs="Times New Roman"/>
                <w:noProof/>
                <w:sz w:val="20"/>
                <w:szCs w:val="20"/>
              </w:rPr>
            </w:pPr>
            <w:r>
              <w:rPr>
                <w:noProof/>
                <w:color w:val="000000"/>
                <w:sz w:val="20"/>
              </w:rPr>
              <w:t>Ciljna vrijednost</w:t>
            </w:r>
          </w:p>
        </w:tc>
        <w:tc>
          <w:tcPr>
            <w:tcW w:w="1994" w:type="dxa"/>
            <w:tcBorders>
              <w:top w:val="single" w:sz="4" w:space="0" w:color="auto"/>
              <w:left w:val="nil"/>
              <w:bottom w:val="single" w:sz="4" w:space="0" w:color="auto"/>
              <w:right w:val="single" w:sz="4" w:space="0" w:color="auto"/>
            </w:tcBorders>
            <w:shd w:val="clear" w:color="auto" w:fill="C6EFCE"/>
            <w:noWrap/>
          </w:tcPr>
          <w:p w14:paraId="3730FAF0" w14:textId="77777777" w:rsidR="00BD1A7F" w:rsidRDefault="00BD1A7F" w:rsidP="0001477B">
            <w:pPr>
              <w:rPr>
                <w:rFonts w:ascii="Times New Roman" w:hAnsi="Times New Roman" w:cs="Times New Roman"/>
                <w:noProof/>
                <w:sz w:val="20"/>
                <w:szCs w:val="20"/>
              </w:rPr>
            </w:pPr>
            <w:r>
              <w:rPr>
                <w:noProof/>
                <w:color w:val="000000"/>
                <w:sz w:val="20"/>
              </w:rPr>
              <w:t xml:space="preserve">Edukacija službenika za javnu nabavu o inovativnoj javnoj nabavi  </w:t>
            </w:r>
          </w:p>
        </w:tc>
        <w:tc>
          <w:tcPr>
            <w:tcW w:w="2141" w:type="dxa"/>
            <w:tcBorders>
              <w:top w:val="single" w:sz="4" w:space="0" w:color="auto"/>
              <w:left w:val="nil"/>
              <w:bottom w:val="single" w:sz="4" w:space="0" w:color="auto"/>
              <w:right w:val="single" w:sz="4" w:space="0" w:color="auto"/>
            </w:tcBorders>
            <w:shd w:val="clear" w:color="auto" w:fill="C6EFCE"/>
            <w:noWrap/>
          </w:tcPr>
          <w:p w14:paraId="6D179490" w14:textId="77777777" w:rsidR="00BD1A7F" w:rsidRDefault="00BD1A7F" w:rsidP="0001477B">
            <w:pPr>
              <w:rPr>
                <w:rFonts w:ascii="Times New Roman" w:hAnsi="Times New Roman" w:cs="Times New Roman"/>
                <w:noProof/>
                <w:sz w:val="20"/>
                <w:szCs w:val="20"/>
              </w:rPr>
            </w:pPr>
            <w:r>
              <w:rPr>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3CAB4E2D" w14:textId="77777777" w:rsidR="00BD1A7F" w:rsidRDefault="00BD1A7F" w:rsidP="0001477B">
            <w:pPr>
              <w:jc w:val="center"/>
              <w:rPr>
                <w:rFonts w:ascii="Times New Roman" w:hAnsi="Times New Roman" w:cs="Times New Roman"/>
                <w:noProof/>
                <w:sz w:val="20"/>
                <w:szCs w:val="20"/>
              </w:rPr>
            </w:pPr>
            <w:r>
              <w:rPr>
                <w:noProof/>
                <w:color w:val="000000"/>
                <w:sz w:val="20"/>
              </w:rPr>
              <w:t>% (postotak)</w:t>
            </w:r>
          </w:p>
        </w:tc>
        <w:tc>
          <w:tcPr>
            <w:tcW w:w="966" w:type="dxa"/>
            <w:tcBorders>
              <w:top w:val="single" w:sz="4" w:space="0" w:color="auto"/>
              <w:left w:val="nil"/>
              <w:bottom w:val="single" w:sz="4" w:space="0" w:color="auto"/>
              <w:right w:val="single" w:sz="4" w:space="0" w:color="auto"/>
            </w:tcBorders>
            <w:shd w:val="clear" w:color="auto" w:fill="C6EFCE"/>
            <w:noWrap/>
          </w:tcPr>
          <w:p w14:paraId="12E2E38D" w14:textId="77777777" w:rsidR="00BD1A7F" w:rsidRDefault="00BD1A7F" w:rsidP="0001477B">
            <w:pPr>
              <w:jc w:val="center"/>
              <w:rPr>
                <w:rFonts w:ascii="Times New Roman" w:hAnsi="Times New Roman" w:cs="Times New Roman"/>
                <w:noProof/>
                <w:sz w:val="20"/>
                <w:szCs w:val="20"/>
              </w:rPr>
            </w:pPr>
            <w:r>
              <w:rPr>
                <w:noProof/>
                <w:color w:val="000000"/>
                <w:sz w:val="20"/>
              </w:rPr>
              <w:t>0</w:t>
            </w:r>
          </w:p>
        </w:tc>
        <w:tc>
          <w:tcPr>
            <w:tcW w:w="927" w:type="dxa"/>
            <w:tcBorders>
              <w:top w:val="single" w:sz="4" w:space="0" w:color="auto"/>
              <w:left w:val="nil"/>
              <w:bottom w:val="single" w:sz="4" w:space="0" w:color="auto"/>
              <w:right w:val="single" w:sz="4" w:space="0" w:color="auto"/>
            </w:tcBorders>
            <w:shd w:val="clear" w:color="auto" w:fill="C6EFCE"/>
            <w:noWrap/>
          </w:tcPr>
          <w:p w14:paraId="25404B7A" w14:textId="77777777" w:rsidR="00BD1A7F" w:rsidRDefault="00BD1A7F" w:rsidP="0001477B">
            <w:pPr>
              <w:jc w:val="center"/>
              <w:rPr>
                <w:rFonts w:ascii="Times New Roman" w:hAnsi="Times New Roman" w:cs="Times New Roman"/>
                <w:noProof/>
                <w:sz w:val="20"/>
                <w:szCs w:val="20"/>
              </w:rPr>
            </w:pPr>
            <w:r>
              <w:rPr>
                <w:noProof/>
                <w:color w:val="000000"/>
                <w:sz w:val="20"/>
              </w:rPr>
              <w:t>75</w:t>
            </w:r>
          </w:p>
        </w:tc>
        <w:tc>
          <w:tcPr>
            <w:tcW w:w="592" w:type="dxa"/>
            <w:tcBorders>
              <w:top w:val="single" w:sz="4" w:space="0" w:color="auto"/>
              <w:left w:val="nil"/>
              <w:bottom w:val="single" w:sz="4" w:space="0" w:color="auto"/>
              <w:right w:val="single" w:sz="4" w:space="0" w:color="auto"/>
            </w:tcBorders>
            <w:shd w:val="clear" w:color="auto" w:fill="C6EFCE"/>
            <w:noWrap/>
          </w:tcPr>
          <w:p w14:paraId="2E9C4417" w14:textId="77777777" w:rsidR="00BD1A7F" w:rsidRDefault="00BD1A7F" w:rsidP="0001477B">
            <w:pPr>
              <w:jc w:val="center"/>
              <w:rPr>
                <w:rFonts w:ascii="Times New Roman" w:hAnsi="Times New Roman" w:cs="Times New Roman"/>
                <w:noProof/>
                <w:sz w:val="20"/>
                <w:szCs w:val="20"/>
              </w:rPr>
            </w:pPr>
            <w:r>
              <w:rPr>
                <w:noProof/>
                <w:color w:val="000000"/>
                <w:sz w:val="20"/>
              </w:rPr>
              <w:t>4.</w:t>
            </w:r>
          </w:p>
        </w:tc>
        <w:tc>
          <w:tcPr>
            <w:tcW w:w="960" w:type="dxa"/>
            <w:tcBorders>
              <w:top w:val="single" w:sz="4" w:space="0" w:color="auto"/>
              <w:left w:val="nil"/>
              <w:bottom w:val="single" w:sz="4" w:space="0" w:color="auto"/>
              <w:right w:val="single" w:sz="4" w:space="0" w:color="auto"/>
            </w:tcBorders>
            <w:shd w:val="clear" w:color="auto" w:fill="C6EFCE"/>
            <w:noWrap/>
          </w:tcPr>
          <w:p w14:paraId="3BECE5BF" w14:textId="77777777" w:rsidR="00BD1A7F" w:rsidRDefault="00BD1A7F" w:rsidP="0001477B">
            <w:pPr>
              <w:jc w:val="center"/>
              <w:rPr>
                <w:rFonts w:ascii="Times New Roman" w:hAnsi="Times New Roman" w:cs="Times New Roman"/>
                <w:noProof/>
                <w:sz w:val="20"/>
                <w:szCs w:val="20"/>
              </w:rPr>
            </w:pPr>
            <w:r>
              <w:rPr>
                <w:noProof/>
                <w:color w:val="000000"/>
                <w:sz w:val="20"/>
              </w:rPr>
              <w:t>2025.</w:t>
            </w:r>
          </w:p>
        </w:tc>
        <w:tc>
          <w:tcPr>
            <w:tcW w:w="4347" w:type="dxa"/>
            <w:tcBorders>
              <w:top w:val="single" w:sz="4" w:space="0" w:color="auto"/>
              <w:left w:val="nil"/>
              <w:bottom w:val="single" w:sz="4" w:space="0" w:color="auto"/>
              <w:right w:val="single" w:sz="4" w:space="0" w:color="auto"/>
            </w:tcBorders>
            <w:shd w:val="clear" w:color="auto" w:fill="C6EFCE"/>
            <w:noWrap/>
          </w:tcPr>
          <w:p w14:paraId="0A369D7E" w14:textId="77777777" w:rsidR="00BD1A7F" w:rsidRDefault="00BD1A7F" w:rsidP="0001477B">
            <w:pPr>
              <w:rPr>
                <w:rFonts w:ascii="Times New Roman" w:hAnsi="Times New Roman" w:cs="Times New Roman"/>
                <w:noProof/>
                <w:sz w:val="20"/>
                <w:szCs w:val="20"/>
              </w:rPr>
            </w:pPr>
            <w:r>
              <w:rPr>
                <w:noProof/>
                <w:color w:val="000000"/>
                <w:sz w:val="20"/>
              </w:rPr>
              <w:t xml:space="preserve">Na temelju izrađenih materijala za osposobljavanje za tehničku pomoć, kao i osposobljavanja koje pružaju vanjski stručnjaci u okviru ključne etape 252 HAMAG BICRO u suradnji s MINGOR-om osposobit će barem 75 % službenika za javnu nabavu naručitelja navedenih u Planu, na temelju plana provedbe osposobljavanja za razdoblje 2024.–2025. </w:t>
            </w:r>
          </w:p>
        </w:tc>
      </w:tr>
    </w:tbl>
    <w:p w14:paraId="195A0630" w14:textId="77777777" w:rsidR="00BD1A7F" w:rsidRDefault="00BD1A7F" w:rsidP="00EF0713">
      <w:pPr>
        <w:rPr>
          <w:noProof/>
        </w:rPr>
        <w:sectPr w:rsidR="00BD1A7F" w:rsidSect="00BD1A7F">
          <w:headerReference w:type="even" r:id="rId264"/>
          <w:headerReference w:type="default" r:id="rId265"/>
          <w:footerReference w:type="even" r:id="rId266"/>
          <w:footerReference w:type="default" r:id="rId267"/>
          <w:headerReference w:type="first" r:id="rId268"/>
          <w:footerReference w:type="first" r:id="rId269"/>
          <w:pgSz w:w="15840" w:h="12240" w:orient="landscape"/>
          <w:pgMar w:top="1440" w:right="1098" w:bottom="1440" w:left="851" w:header="708" w:footer="708" w:gutter="0"/>
          <w:cols w:space="708"/>
          <w:docGrid w:linePitch="360"/>
        </w:sectPr>
      </w:pPr>
    </w:p>
    <w:p w14:paraId="19C5A9D2" w14:textId="77777777" w:rsidR="00733DCA" w:rsidRPr="003B0907" w:rsidRDefault="00733DCA" w:rsidP="00BD1A7F">
      <w:pPr>
        <w:keepNext/>
        <w:tabs>
          <w:tab w:val="left" w:pos="850"/>
        </w:tabs>
        <w:spacing w:before="360" w:after="120" w:line="240" w:lineRule="auto"/>
        <w:ind w:left="851"/>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P. KOMPONENTA 3.1.: REFORMA OBRAZOVNOG SUSTAVA</w:t>
      </w:r>
    </w:p>
    <w:p w14:paraId="4F10A96A" w14:textId="77777777" w:rsidR="00733DCA" w:rsidRPr="003B0907" w:rsidRDefault="00733DCA" w:rsidP="0001477B">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Obrazovni sustav u Hrvatskoj suočen je s višestrukim problemima. Korištenje formalne skrbi i sudjelovanje u ranom i predškolskom odgoju i obrazovanju (RPOO) među najnižima su u EU-u, uglavnom zbog nedostatne infrastrukture RPOO-a i manjka odgajatelja, pri čemu velike regionalne razlike pogoršavaju nejednakosti. Obvezni ciklus školovanja (u trajanju od osam godina) godinu je kraći od standarda EU-a. Broj nastavnih sati u osnovnim školama također je niži od prosjeka EU-a jer mnoge škole rade u smjenama zbog nedostatka infrastrukture. Uspješnost učenika u svim osnovnim vještinama ispod je prosjeka EU-a. Stopa stjecanja tercijarnog obrazovanja među najnižima je u Uniji. Sudjelovanje u obrazovanju odraslih također je vrlo nisko.</w:t>
      </w:r>
    </w:p>
    <w:p w14:paraId="4D403654"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ove komponente nastojati riješiti navedene probleme. Komponenta uključuje sveobuhvatnu reformu obrazovnog sustava čiji je cilj povećati pristup obrazovanju i kvalitetu obrazovanja na svim razinama obrazovanja. Uključuje i komplementarna infrastrukturna ulaganja u digitalne infrastrukture RPOO-a, škola i visokih učilišta. </w:t>
      </w:r>
    </w:p>
    <w:p w14:paraId="337100CB" w14:textId="77777777" w:rsidR="00733DCA" w:rsidRPr="003B090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Komponentom se doprinosi ispunjenju preporuka upućenih Hrvatskoj u zadnje dvije godine: „provesti reformu sustava obrazovanja i poboljšati pristup obrazovanju i osposobljavanju na svim razinama te njihovu kvalitetu i relevantnost za tržište rada” (2. preporuka za Hrvatsku iz 2019.) i „promicati stjecanje vještina” (2. preporuka za Hrvatsku iz 2020.).</w:t>
      </w:r>
    </w:p>
    <w:p w14:paraId="11384224" w14:textId="77777777" w:rsidR="00733DCA" w:rsidRPr="003B0907"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P.1. </w:t>
      </w:r>
      <w:r>
        <w:rPr>
          <w:rFonts w:ascii="Times New Roman" w:hAnsi="Times New Roman"/>
          <w:b/>
          <w:noProof/>
          <w:sz w:val="24"/>
          <w:u w:val="single"/>
        </w:rPr>
        <w:tab/>
        <w:t>Opis reformi i ulaganja za programe bespovratne financijske potpore</w:t>
      </w:r>
    </w:p>
    <w:p w14:paraId="364E231D" w14:textId="77777777" w:rsidR="00733DCA" w:rsidRPr="003B0907" w:rsidRDefault="00733DCA" w:rsidP="0001477B">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C3.1. R1 – Strukturna reforma sustava odgoja i obrazovanja</w:t>
      </w:r>
    </w:p>
    <w:p w14:paraId="6EA5E6AD"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poduprijeti pristup obrazovanju i kvalitetu obrazovanja na svim razinama obrazovanja. </w:t>
      </w:r>
    </w:p>
    <w:p w14:paraId="6D8F5E33" w14:textId="77777777" w:rsidR="00733DCA" w:rsidRPr="003B0907" w:rsidRDefault="00733DCA" w:rsidP="00733DCA">
      <w:pPr>
        <w:numPr>
          <w:ilvl w:val="0"/>
          <w:numId w:val="2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Rani i predškolski odgoj i obrazovanje (RPOO)</w:t>
      </w:r>
    </w:p>
    <w:p w14:paraId="301DC556"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poboljšati pristup RPOO-u za djecu od tri godine do početka osnovnog obrazovanja. Cilj je osigurati da sva djeca, posebno ona iz socioekonomski ugroženih skupina</w:t>
      </w:r>
      <w:r w:rsidRPr="003B0907">
        <w:rPr>
          <w:rFonts w:ascii="Times New Roman" w:eastAsia="Calibri" w:hAnsi="Times New Roman" w:cs="Times New Roman"/>
          <w:noProof/>
          <w:sz w:val="24"/>
          <w:vertAlign w:val="superscript"/>
          <w:lang w:val="en-GB"/>
        </w:rPr>
        <w:footnoteReference w:id="19"/>
      </w:r>
      <w:r>
        <w:rPr>
          <w:rFonts w:ascii="Times New Roman" w:hAnsi="Times New Roman"/>
          <w:noProof/>
          <w:sz w:val="24"/>
        </w:rPr>
        <w:t xml:space="preserve">, mogu pohađati RPOO. </w:t>
      </w:r>
    </w:p>
    <w:p w14:paraId="012842FF"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osigurati dodatne nastavnike za RPOO koji su posebno osposobljeni za RPOO, čime će se doprinijeti osiguravanju primjerenog broja nastavnika u srednjoročnom razdoblju. Pored toga, reforma će obuhvatiti i novi model financiranja kako bi se osigurala dugoročna održivost financiranja RPOO-a te povećani doprinos države u financiranju RPOO-a, uzimajući u obzir financijske sposobnosti lokalnih općina. Očekuje se da će to pozitivno utjecati na priuštivost RPOO-a</w:t>
      </w:r>
    </w:p>
    <w:p w14:paraId="009EE072"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Očekuje se da će reforma povećati broj sati programa ranog i predškolskog odgoja za djecu u dobi godinu dana prije polaska u osnovnu školu te da će uvesti pravo na zajamčeno mjesto u RPOO-u za djecu u dobi između četiri godine i dobi za polazak u osnovnu školu. </w:t>
      </w:r>
    </w:p>
    <w:p w14:paraId="6A15248B" w14:textId="77777777" w:rsidR="00733DCA" w:rsidRPr="003B0907" w:rsidRDefault="00733DCA" w:rsidP="00733DCA">
      <w:pPr>
        <w:keepNext/>
        <w:numPr>
          <w:ilvl w:val="0"/>
          <w:numId w:val="23"/>
        </w:numPr>
        <w:spacing w:before="120" w:after="120" w:line="240" w:lineRule="auto"/>
        <w:ind w:left="357" w:hanging="357"/>
        <w:jc w:val="both"/>
        <w:rPr>
          <w:rFonts w:ascii="Times New Roman" w:eastAsia="Calibri" w:hAnsi="Times New Roman" w:cs="Times New Roman"/>
          <w:noProof/>
          <w:sz w:val="24"/>
        </w:rPr>
      </w:pPr>
      <w:r>
        <w:rPr>
          <w:rFonts w:ascii="Times New Roman" w:hAnsi="Times New Roman"/>
          <w:noProof/>
          <w:sz w:val="24"/>
        </w:rPr>
        <w:t>Osnovne škole</w:t>
      </w:r>
    </w:p>
    <w:p w14:paraId="4827D780"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povećati kvalitetu nastave i ishoda učenja, posebno za djecu u nepovoljnom socioekonomskom položaju, uvođenjem jednosmjenske cjelodnevne nastave u osnovnim školama i povećanjem broja obveznih nastavnih sati. Reformom se nastoji poduprijeti i kontinuirani razvoj nastavnika te sustavno vanjsko vrednovanje ishoda učenja u osnovnim školama.</w:t>
      </w:r>
    </w:p>
    <w:p w14:paraId="3B83236A"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Reformom će se izmijeniti Zakon o obrazovanju kako bi se uveo novi model cjelodnevne nastave u osnovnim školama te izmijenio minimalni broj obveznih nastavnih sati i kurikulum za osnovne škole, što će biti popraćeno programima sustavnog razvoja učitelja.</w:t>
      </w:r>
    </w:p>
    <w:p w14:paraId="30F27226"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Taj dio mjera obuhvaćenih reformom bit će dovršen do 31. prosinca 2023.</w:t>
      </w:r>
    </w:p>
    <w:p w14:paraId="6011F112" w14:textId="77777777" w:rsidR="00733DCA" w:rsidRPr="003B0907" w:rsidRDefault="00733DCA" w:rsidP="00733DCA">
      <w:pPr>
        <w:numPr>
          <w:ilvl w:val="0"/>
          <w:numId w:val="2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Srednje škole</w:t>
      </w:r>
    </w:p>
    <w:p w14:paraId="2B5A3481"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povećati relevantnost srednjoškolskog obrazovanja povećanjem broja upisa u opće srednje škole (gimnazije), uz istodobno smanjenje udjela strukovnog obrazovanja i osposobljavanja (SOO) i poboljšanje relevantnosti strukovnih programa u odnosu na tržište rada. </w:t>
      </w:r>
    </w:p>
    <w:p w14:paraId="3E9D0118"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Reformom se doprinosi konsolidaciji brojnih postojećih programa srednjeg strukovnog obrazovanja tako što će se smanjiti viškovi strukovnih programa i povećati relevantnost programa u odnosu na tržište rada. Reformom će se uvesti novi kurikulumi temeljeni na kvalifikacijama i profesionalnim standardima Hrvatskog kvalifikacijskog okvira (HKO), koji će biti popraćeni razvojem novog nastavnog materijala i stručnim osposobljavanjem nastavnika u strukovnom obrazovanju.</w:t>
      </w:r>
    </w:p>
    <w:p w14:paraId="283FD375"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Taj dio mjera obuhvaćenih reformom bit će dovršen do 31. prosinca 2023.</w:t>
      </w:r>
    </w:p>
    <w:p w14:paraId="339FEBE6" w14:textId="77777777" w:rsidR="00733DCA" w:rsidRPr="003B0907" w:rsidRDefault="00733DCA" w:rsidP="00733DCA">
      <w:pPr>
        <w:numPr>
          <w:ilvl w:val="0"/>
          <w:numId w:val="23"/>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Obrazovanje odraslih</w:t>
      </w:r>
    </w:p>
    <w:p w14:paraId="19299978"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povećati kvalitetu i relevantnost obrazovanja odraslih. Novim Zakonom o obrazovanju odraslih uskladit će se programi obrazovanja odraslih sa standardima kvalifikacija iz registra Hrvatskog kvalifikacijskog okvira (HKO). Očekuje se da će se time olakšati priznavanje stečenog znanja i vještina. Reformom će se predvidjeti i uvođenje individualnih obrazovnih računa kako bi se svakoj osobi omogućilo sudjelovanje u cjeloživotnom učenju. Reformom će se uvesti i sustav vrednovanja ustanova za obrazovanje odraslih.</w:t>
      </w:r>
    </w:p>
    <w:p w14:paraId="6BF14BEF"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Taj dio mjera obuhvaćenih reformom bit će dovršen do 31. prosinca 2023.</w:t>
      </w:r>
    </w:p>
    <w:p w14:paraId="22FB0AA2"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Ovu reformu podupiru tri ulaganja (C3.1. R1-I1, C3.1. R1-I2 i C3.1. R1-I3). </w:t>
      </w:r>
    </w:p>
    <w:p w14:paraId="13D3B79B" w14:textId="77777777" w:rsidR="00733DCA" w:rsidRPr="003B0907" w:rsidRDefault="00733DCA" w:rsidP="0001477B">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Ulaganje C3.1. R1-I1 – Izgradnja, dogradnja, rekonstrukcija i opremanje ustanova RPOO-a</w:t>
      </w:r>
    </w:p>
    <w:p w14:paraId="3C37651D"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poduprijeti pristup RPOO-u u Hrvatskoj. To uključuje izgradnju novih i obnovu postojećih objekata RPOO-a s ciljem otvaranja 22 500 novih mjesta u RPOO-u. Očekuje se da će ulaganje dovesti do smanjenje regionalnih nejednakosti u dostupnosti RPOO-a. </w:t>
      </w:r>
    </w:p>
    <w:p w14:paraId="342EDF08"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Izgradnja i obnova objekata RPOO-a temeljit će se na rezultatima analize potreba, uzimajući u obzir postojeći infrastrukturni kapacitet i demografska kretanja, uz detaljni prikaz postojeće mreže objekata RPOO-a i projekciju budućih potreba. </w:t>
      </w:r>
    </w:p>
    <w:p w14:paraId="052EF30D"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Ulaganja će se provoditi na lokalnoj razini te se očekuje da će gradovi i općine sudjelovati u pozivima za realizaciju infrastrukturnih projekata na njihovu području.</w:t>
      </w:r>
    </w:p>
    <w:p w14:paraId="752EF596"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59080B7" w14:textId="77777777" w:rsidR="00733DCA" w:rsidRPr="003B0907" w:rsidRDefault="00733DCA" w:rsidP="0001477B">
      <w:pPr>
        <w:keepNext/>
        <w:numPr>
          <w:ilvl w:val="2"/>
          <w:numId w:val="0"/>
        </w:numPr>
        <w:spacing w:before="240" w:after="0"/>
        <w:ind w:left="850"/>
        <w:jc w:val="both"/>
        <w:outlineLvl w:val="2"/>
        <w:rPr>
          <w:rFonts w:ascii="Times New Roman" w:eastAsia="SimSun" w:hAnsi="Times New Roman" w:cs="Times New Roman"/>
          <w:noProof/>
          <w:sz w:val="24"/>
          <w:u w:val="single"/>
        </w:rPr>
      </w:pPr>
      <w:r>
        <w:rPr>
          <w:rFonts w:ascii="Times New Roman" w:hAnsi="Times New Roman"/>
          <w:noProof/>
          <w:sz w:val="24"/>
          <w:u w:val="single"/>
        </w:rPr>
        <w:t>Ulaganje C3.1. R1-I2 – Izgradnja, dogradnja, rekonstrukcija i opremanje osnovnih škola za potrebe jednosmjenskog rada i cjelodnevne nastave</w:t>
      </w:r>
    </w:p>
    <w:p w14:paraId="33A6C4D2"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poduprijeti prelazak na cjelodnevnu nastavu u osnovnim školama u Hrvatskoj. To uključuje izgradnju novih osnovnih škola i nadogradnju postojećih, s ciljem da svi učenici osnovnih škola mogu pohađati cjelodnevnu nastavu. </w:t>
      </w:r>
    </w:p>
    <w:p w14:paraId="1FD98C0D"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Izgradnja i obnova osnovnih škola temelji se na procjeni potreba za ulaganjima u infrastrukturu, uzimajući u obzir kapacitete škola i demografska kretanja. Ulaganja će se provoditi na lokalnoj razini te se očekuje da će gradovi i općine sudjelovati u pozivima za realizaciju infrastrukturnih projekata na njihovu području.</w:t>
      </w:r>
    </w:p>
    <w:p w14:paraId="77DE8771"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EFEE726" w14:textId="77777777" w:rsidR="00733DCA" w:rsidRPr="003B0907" w:rsidRDefault="00733DCA" w:rsidP="0001477B">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 xml:space="preserve">Ulaganje C3.1. R1-I3 – Izgradnja, dogradnja, rekonstrukcija i opremanje srednjih škola </w:t>
      </w:r>
    </w:p>
    <w:p w14:paraId="03F66244"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povećati broj upisa u opće srednje škole (gimnazije) povećanjem fizičkih infrastrukturnih kapaciteta. To uključuje izgradnju novih srednjih škola i nadogradnju postojećih, uključujući sportske infrastrukture škola kako bi se postigao cilj od 9 000 dodatnih učenika u općem srednjoškolskom obrazovanju. </w:t>
      </w:r>
    </w:p>
    <w:p w14:paraId="1E248CCB"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Izgradnja i obnova škola koje vode programe srednjoškolskog obrazovanja temeljit će se na procjeni postojećih kapaciteta i potreba za dodatnom fizičkom infrastrukturom. </w:t>
      </w:r>
    </w:p>
    <w:p w14:paraId="7B3A0329"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7B983DAB" w14:textId="77777777" w:rsidR="00733DCA" w:rsidRPr="003B0907" w:rsidRDefault="00733DCA" w:rsidP="0001477B">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Reforma C3.1. R2 – Modernizacija visokog obrazovanja</w:t>
      </w:r>
    </w:p>
    <w:p w14:paraId="1A82BA0A"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te reforme poboljšati dostupnost, kvalitetu i relevantnost visokog obrazovanja u odnosu na tržište rada te povećati udio osoba s kvalifikacijama u visokom obrazovanju, posebno iz ranjivih i nedovoljno zastupljenih skupina. </w:t>
      </w:r>
    </w:p>
    <w:p w14:paraId="2427E149"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 donošenje novog Zakona o znanstvenoj djelatnosti i visokom obrazovanju i novog Zakona o osiguravanju kvalitete u znanosti i visokom obrazovanju kako bi se uveo novi učinkoviti model financiranja za javna sveučilišta i druge javna visoka učilišta. Novi model financiranja temeljit će se na transparentnim kriterijima i pokazateljima ostvarenosti rezultata povezanih s razvojnim ciljevima pojedine institucije. Očekuje se da će uvođenje novog modela financiranja provesti programskim sporazumima koji obuhvaćaju znanstveno-istraživačku i nastavnu djelatnost sveučilišta u razdoblju od dvije godine.</w:t>
      </w:r>
    </w:p>
    <w:p w14:paraId="28FA6438"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Osim toga, reformom se nastoji bolje uskladiti obrazovanje s potrebama tržišta rada. Nastavit će se utvrđivati standardi kvalifikacija za sve kvalifikacije koje se stječu u visokom obrazovanju te ih uvrštavati u registar Hrvatskog kvalifikacijskog okvira (HKO). Očekuje se da će se time poboljšati usklađenost kvalifikacija koje se stječu u visokom obrazovanju s potrebama tržišta rada.  Reformom će se uspostaviti i digitalni registar diploma, što je korak prema razvoju sustava za praćenje osoba s kvalifikacijama kako bi se omogućilo praćenje zapošljivosti takvih osoba.</w:t>
      </w:r>
    </w:p>
    <w:p w14:paraId="28E382C0"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Reformom će se podupirati i bliskije veze između aktivnosti poučavanja i znanstvenog istraživanja, internacionalizacija i sudjelovanje hrvatskih sveučilišta u alijansama Europskih sveučilišta budućnosti te digitalna transformacija visokog obrazovanja. </w:t>
      </w:r>
    </w:p>
    <w:p w14:paraId="3B1BC163"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2023.</w:t>
      </w:r>
    </w:p>
    <w:p w14:paraId="32D6D14D" w14:textId="77777777" w:rsidR="00733DCA" w:rsidRPr="003B0907" w:rsidRDefault="00733DCA" w:rsidP="0001477B">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Ulaganje C3.1. R2-I1 – Digitalna transformacija visokog obrazovanja</w:t>
      </w:r>
    </w:p>
    <w:p w14:paraId="762844BF"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poduprijeti digitalnu transformaciju visokog obrazovanja i olakšati e-učenje. Uključuje ulaganja u digitalnu nastavnu infrastrukturu i digitalne nastavne alate.</w:t>
      </w:r>
    </w:p>
    <w:p w14:paraId="01E2420F"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uključuje i nabavu opreme za učionice (kao što su projektori, sustavi za snimanje video i audio-lekcija, ozvučenje, kamere, softverska oprema za arhiviranje digitalnih nastavnih materijala) te infrastrukturne opreme (kao što su elektroinstalacije, mrežni LAN, bežična mreža) potrebne za upotrebu digitalne nastavne opreme.</w:t>
      </w:r>
    </w:p>
    <w:p w14:paraId="600CF7DD" w14:textId="77777777" w:rsidR="00733DCA" w:rsidRDefault="00733DCA" w:rsidP="0001477B">
      <w:pPr>
        <w:rPr>
          <w:rFonts w:ascii="Times New Roman" w:eastAsia="Calibri" w:hAnsi="Times New Roman" w:cs="Times New Roman"/>
          <w:noProof/>
          <w:sz w:val="24"/>
          <w:szCs w:val="24"/>
        </w:rPr>
      </w:pPr>
      <w:r>
        <w:rPr>
          <w:rFonts w:ascii="Times New Roman" w:hAnsi="Times New Roman"/>
          <w:noProof/>
          <w:sz w:val="24"/>
        </w:rPr>
        <w:t>Ulaganje će biti dovršeno do 30. lipnja 2026.</w:t>
      </w:r>
    </w:p>
    <w:p w14:paraId="6C8DBEE3" w14:textId="77777777" w:rsidR="00733DCA" w:rsidRDefault="00733DCA" w:rsidP="0001477B">
      <w:pPr>
        <w:rPr>
          <w:noProof/>
        </w:rPr>
        <w:sectPr w:rsidR="00733DCA" w:rsidSect="00BD1A7F">
          <w:headerReference w:type="even" r:id="rId270"/>
          <w:headerReference w:type="default" r:id="rId271"/>
          <w:footerReference w:type="even" r:id="rId272"/>
          <w:footerReference w:type="default" r:id="rId273"/>
          <w:headerReference w:type="first" r:id="rId274"/>
          <w:footerReference w:type="first" r:id="rId275"/>
          <w:pgSz w:w="12240" w:h="15840"/>
          <w:pgMar w:top="1098" w:right="1440" w:bottom="851" w:left="1440" w:header="708" w:footer="708" w:gutter="0"/>
          <w:cols w:space="708"/>
          <w:docGrid w:linePitch="360"/>
        </w:sectPr>
      </w:pPr>
    </w:p>
    <w:p w14:paraId="14E10700" w14:textId="77777777" w:rsidR="00733DCA" w:rsidRPr="003B0907"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P.2. </w:t>
      </w:r>
      <w:r>
        <w:rPr>
          <w:rFonts w:ascii="Times New Roman" w:hAnsi="Times New Roman"/>
          <w:b/>
          <w:noProof/>
          <w:sz w:val="24"/>
          <w:u w:val="single"/>
        </w:rPr>
        <w:tab/>
        <w:t>Ključne etape, ciljne vrijednosti, pokazatelji i vremenski raspored za praćenje i provedbu programa bespovratne financijske potpore</w:t>
      </w:r>
    </w:p>
    <w:p w14:paraId="17D63A48" w14:textId="77777777" w:rsidR="00733DCA" w:rsidRPr="00BC0323"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p>
    <w:tbl>
      <w:tblPr>
        <w:tblW w:w="14885" w:type="dxa"/>
        <w:tblInd w:w="-823" w:type="dxa"/>
        <w:tblCellMar>
          <w:top w:w="28" w:type="dxa"/>
          <w:left w:w="28" w:type="dxa"/>
          <w:bottom w:w="28" w:type="dxa"/>
          <w:right w:w="28" w:type="dxa"/>
        </w:tblCellMar>
        <w:tblLook w:val="04A0" w:firstRow="1" w:lastRow="0" w:firstColumn="1" w:lastColumn="0" w:noHBand="0" w:noVBand="1"/>
      </w:tblPr>
      <w:tblGrid>
        <w:gridCol w:w="1135"/>
        <w:gridCol w:w="992"/>
        <w:gridCol w:w="992"/>
        <w:gridCol w:w="1560"/>
        <w:gridCol w:w="2509"/>
        <w:gridCol w:w="1168"/>
        <w:gridCol w:w="836"/>
        <w:gridCol w:w="850"/>
        <w:gridCol w:w="425"/>
        <w:gridCol w:w="884"/>
        <w:gridCol w:w="3544"/>
      </w:tblGrid>
      <w:tr w:rsidR="00215DFD" w:rsidRPr="003B0907" w14:paraId="637C8B9F" w14:textId="77777777" w:rsidTr="00C845C4">
        <w:trPr>
          <w:trHeight w:val="635"/>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86A73D" w14:textId="77777777" w:rsidR="00733DCA" w:rsidRPr="003B090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CA82CA"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Mjera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0838A1"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Ključna etapa / ciljna vrijednost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7149A3"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Naziv</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22C130"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35A3982"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309" w:type="dxa"/>
            <w:gridSpan w:val="2"/>
            <w:tcBorders>
              <w:top w:val="single" w:sz="4" w:space="0" w:color="auto"/>
              <w:left w:val="nil"/>
              <w:bottom w:val="single" w:sz="4" w:space="0" w:color="auto"/>
              <w:right w:val="single" w:sz="4" w:space="0" w:color="auto"/>
            </w:tcBorders>
            <w:shd w:val="clear" w:color="auto" w:fill="BDD7EE"/>
            <w:vAlign w:val="center"/>
            <w:hideMark/>
          </w:tcPr>
          <w:p w14:paraId="475D1FB8"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Vrijeme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96BA79"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Opis svake ključne etape i ciljne vrijednosti</w:t>
            </w:r>
          </w:p>
        </w:tc>
      </w:tr>
      <w:tr w:rsidR="00215DFD" w:rsidRPr="003B0907" w14:paraId="1421D229" w14:textId="77777777" w:rsidTr="00C845C4">
        <w:trPr>
          <w:trHeight w:val="645"/>
          <w:tblHeader/>
        </w:trPr>
        <w:tc>
          <w:tcPr>
            <w:tcW w:w="1135" w:type="dxa"/>
            <w:vMerge/>
            <w:tcBorders>
              <w:top w:val="single" w:sz="4" w:space="0" w:color="auto"/>
              <w:left w:val="single" w:sz="4" w:space="0" w:color="auto"/>
              <w:bottom w:val="single" w:sz="4" w:space="0" w:color="auto"/>
              <w:right w:val="single" w:sz="4" w:space="0" w:color="auto"/>
            </w:tcBorders>
            <w:hideMark/>
          </w:tcPr>
          <w:p w14:paraId="3C054088"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30897F38"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25E24AB5"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1560" w:type="dxa"/>
            <w:vMerge/>
            <w:tcBorders>
              <w:top w:val="single" w:sz="4" w:space="0" w:color="auto"/>
              <w:left w:val="single" w:sz="4" w:space="0" w:color="auto"/>
              <w:bottom w:val="single" w:sz="4" w:space="0" w:color="auto"/>
              <w:right w:val="single" w:sz="4" w:space="0" w:color="auto"/>
            </w:tcBorders>
            <w:hideMark/>
          </w:tcPr>
          <w:p w14:paraId="7558C08A"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2509" w:type="dxa"/>
            <w:vMerge/>
            <w:tcBorders>
              <w:top w:val="single" w:sz="4" w:space="0" w:color="auto"/>
              <w:left w:val="single" w:sz="4" w:space="0" w:color="auto"/>
              <w:bottom w:val="single" w:sz="4" w:space="0" w:color="auto"/>
              <w:right w:val="single" w:sz="4" w:space="0" w:color="auto"/>
            </w:tcBorders>
            <w:hideMark/>
          </w:tcPr>
          <w:p w14:paraId="68DF7693"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168" w:type="dxa"/>
            <w:tcBorders>
              <w:top w:val="nil"/>
              <w:left w:val="single" w:sz="4" w:space="0" w:color="auto"/>
              <w:bottom w:val="single" w:sz="4" w:space="0" w:color="auto"/>
              <w:right w:val="single" w:sz="4" w:space="0" w:color="auto"/>
            </w:tcBorders>
            <w:shd w:val="clear" w:color="auto" w:fill="BDD7EE"/>
            <w:vAlign w:val="center"/>
            <w:hideMark/>
          </w:tcPr>
          <w:p w14:paraId="5FD4DCC3"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vAlign w:val="center"/>
            <w:hideMark/>
          </w:tcPr>
          <w:p w14:paraId="04260C3F"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vAlign w:val="center"/>
            <w:hideMark/>
          </w:tcPr>
          <w:p w14:paraId="42B0737A"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vAlign w:val="center"/>
            <w:hideMark/>
          </w:tcPr>
          <w:p w14:paraId="064AD7B4"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Q</w:t>
            </w:r>
          </w:p>
        </w:tc>
        <w:tc>
          <w:tcPr>
            <w:tcW w:w="884" w:type="dxa"/>
            <w:tcBorders>
              <w:top w:val="nil"/>
              <w:left w:val="nil"/>
              <w:bottom w:val="single" w:sz="4" w:space="0" w:color="auto"/>
              <w:right w:val="single" w:sz="4" w:space="0" w:color="auto"/>
            </w:tcBorders>
            <w:shd w:val="clear" w:color="auto" w:fill="BDD7EE"/>
            <w:vAlign w:val="center"/>
            <w:hideMark/>
          </w:tcPr>
          <w:p w14:paraId="0041D9B4" w14:textId="77777777" w:rsidR="00733DCA" w:rsidRPr="003B090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Godina</w:t>
            </w:r>
          </w:p>
        </w:tc>
        <w:tc>
          <w:tcPr>
            <w:tcW w:w="3544" w:type="dxa"/>
            <w:vMerge/>
            <w:tcBorders>
              <w:top w:val="single" w:sz="4" w:space="0" w:color="auto"/>
              <w:bottom w:val="single" w:sz="4" w:space="0" w:color="auto"/>
              <w:right w:val="single" w:sz="4" w:space="0" w:color="auto"/>
            </w:tcBorders>
            <w:hideMark/>
          </w:tcPr>
          <w:p w14:paraId="7949828A" w14:textId="77777777" w:rsidR="00733DCA" w:rsidRPr="003B0907" w:rsidRDefault="00733DCA" w:rsidP="0001477B">
            <w:pPr>
              <w:spacing w:after="0" w:line="276" w:lineRule="auto"/>
              <w:rPr>
                <w:rFonts w:ascii="Times New Roman" w:eastAsia="Times New Roman" w:hAnsi="Times New Roman" w:cs="Times New Roman"/>
                <w:b/>
                <w:noProof/>
                <w:lang w:val="en-GB" w:eastAsia="en-GB"/>
              </w:rPr>
            </w:pPr>
          </w:p>
        </w:tc>
      </w:tr>
      <w:tr w:rsidR="00215DFD" w:rsidRPr="003B0907" w14:paraId="6A7CEE28" w14:textId="77777777" w:rsidTr="00C845C4">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708831A7" w14:textId="77777777" w:rsidR="00733DCA" w:rsidRPr="003B090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265</w:t>
            </w:r>
          </w:p>
        </w:tc>
        <w:tc>
          <w:tcPr>
            <w:tcW w:w="992" w:type="dxa"/>
            <w:tcBorders>
              <w:top w:val="single" w:sz="4" w:space="0" w:color="auto"/>
              <w:left w:val="nil"/>
              <w:bottom w:val="single" w:sz="4" w:space="0" w:color="auto"/>
              <w:right w:val="single" w:sz="4" w:space="0" w:color="auto"/>
            </w:tcBorders>
            <w:shd w:val="clear" w:color="auto" w:fill="C6EFCE"/>
            <w:noWrap/>
          </w:tcPr>
          <w:p w14:paraId="33E5CDCD"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w:t>
            </w:r>
          </w:p>
        </w:tc>
        <w:tc>
          <w:tcPr>
            <w:tcW w:w="992" w:type="dxa"/>
            <w:tcBorders>
              <w:top w:val="single" w:sz="4" w:space="0" w:color="auto"/>
              <w:left w:val="nil"/>
              <w:bottom w:val="single" w:sz="4" w:space="0" w:color="auto"/>
              <w:right w:val="single" w:sz="4" w:space="0" w:color="auto"/>
            </w:tcBorders>
            <w:shd w:val="clear" w:color="auto" w:fill="C6EFCE"/>
            <w:noWrap/>
          </w:tcPr>
          <w:p w14:paraId="12150E50"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560" w:type="dxa"/>
            <w:tcBorders>
              <w:top w:val="single" w:sz="4" w:space="0" w:color="auto"/>
              <w:left w:val="nil"/>
              <w:bottom w:val="single" w:sz="4" w:space="0" w:color="auto"/>
              <w:right w:val="single" w:sz="4" w:space="0" w:color="auto"/>
            </w:tcBorders>
            <w:shd w:val="clear" w:color="auto" w:fill="C6EFCE"/>
            <w:noWrap/>
          </w:tcPr>
          <w:p w14:paraId="4CD2C890"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izmijenjenog pravnog okvira za obrazovanje odraslih </w:t>
            </w:r>
          </w:p>
        </w:tc>
        <w:tc>
          <w:tcPr>
            <w:tcW w:w="2509" w:type="dxa"/>
            <w:tcBorders>
              <w:top w:val="single" w:sz="4" w:space="0" w:color="auto"/>
              <w:left w:val="nil"/>
              <w:bottom w:val="single" w:sz="4" w:space="0" w:color="auto"/>
              <w:right w:val="single" w:sz="4" w:space="0" w:color="auto"/>
            </w:tcBorders>
            <w:shd w:val="clear" w:color="auto" w:fill="C6EFCE"/>
            <w:noWrap/>
          </w:tcPr>
          <w:p w14:paraId="4D650A50"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izmijenjenog pravnog okvira koji se odnosi na obrazovanje odraslih </w:t>
            </w:r>
          </w:p>
        </w:tc>
        <w:tc>
          <w:tcPr>
            <w:tcW w:w="1168" w:type="dxa"/>
            <w:tcBorders>
              <w:top w:val="nil"/>
              <w:left w:val="nil"/>
              <w:bottom w:val="single" w:sz="4" w:space="0" w:color="auto"/>
              <w:right w:val="single" w:sz="4" w:space="0" w:color="auto"/>
            </w:tcBorders>
            <w:shd w:val="clear" w:color="auto" w:fill="C6EFCE"/>
            <w:noWrap/>
          </w:tcPr>
          <w:p w14:paraId="38497C46"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763161C4"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5F80A25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4E0296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84" w:type="dxa"/>
            <w:tcBorders>
              <w:top w:val="nil"/>
              <w:left w:val="nil"/>
              <w:bottom w:val="single" w:sz="4" w:space="0" w:color="auto"/>
              <w:right w:val="single" w:sz="4" w:space="0" w:color="auto"/>
            </w:tcBorders>
            <w:shd w:val="clear" w:color="auto" w:fill="C6EFCE"/>
            <w:noWrap/>
          </w:tcPr>
          <w:p w14:paraId="06A08FA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544" w:type="dxa"/>
            <w:tcBorders>
              <w:top w:val="single" w:sz="4" w:space="0" w:color="auto"/>
              <w:left w:val="nil"/>
              <w:bottom w:val="single" w:sz="4" w:space="0" w:color="auto"/>
              <w:right w:val="single" w:sz="4" w:space="0" w:color="auto"/>
            </w:tcBorders>
            <w:shd w:val="clear" w:color="auto" w:fill="C6EFCE"/>
            <w:noWrap/>
          </w:tcPr>
          <w:p w14:paraId="58B31D6E"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Izmjenama pravnog okvira kojim se uređuje obrazovanje odraslih poduprijet će se bolja usklađenost ponude programa s potrebama tržišta rada tako što će se programi obrazovanja odraslih uskladiti sa sadržajem standarda kvalifikacija Hrvatskog kvalifikacijskog okvira (HKO) i omogućiti priznavanje informalnog i neformalnog učenja. </w:t>
            </w:r>
          </w:p>
        </w:tc>
      </w:tr>
      <w:tr w:rsidR="00215DFD" w:rsidRPr="003B0907" w14:paraId="2F11B655"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55C975A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266</w:t>
            </w:r>
          </w:p>
        </w:tc>
        <w:tc>
          <w:tcPr>
            <w:tcW w:w="992" w:type="dxa"/>
            <w:tcBorders>
              <w:top w:val="nil"/>
              <w:left w:val="nil"/>
              <w:bottom w:val="single" w:sz="4" w:space="0" w:color="auto"/>
              <w:right w:val="single" w:sz="4" w:space="0" w:color="auto"/>
            </w:tcBorders>
            <w:shd w:val="clear" w:color="auto" w:fill="C6EFCE"/>
            <w:noWrap/>
          </w:tcPr>
          <w:p w14:paraId="2CB2A06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w:t>
            </w:r>
          </w:p>
        </w:tc>
        <w:tc>
          <w:tcPr>
            <w:tcW w:w="992" w:type="dxa"/>
            <w:tcBorders>
              <w:top w:val="nil"/>
              <w:left w:val="nil"/>
              <w:bottom w:val="single" w:sz="4" w:space="0" w:color="auto"/>
              <w:right w:val="single" w:sz="4" w:space="0" w:color="auto"/>
            </w:tcBorders>
            <w:shd w:val="clear" w:color="auto" w:fill="C6EFCE"/>
            <w:noWrap/>
          </w:tcPr>
          <w:p w14:paraId="5BC0F72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560" w:type="dxa"/>
            <w:tcBorders>
              <w:top w:val="nil"/>
              <w:left w:val="nil"/>
              <w:bottom w:val="single" w:sz="4" w:space="0" w:color="auto"/>
              <w:right w:val="single" w:sz="4" w:space="0" w:color="auto"/>
            </w:tcBorders>
            <w:shd w:val="clear" w:color="auto" w:fill="C6EFCE"/>
            <w:noWrap/>
          </w:tcPr>
          <w:p w14:paraId="14D725B5"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Sveobuhvatna analiza potreba srednjoškolskog obrazovanja</w:t>
            </w:r>
          </w:p>
        </w:tc>
        <w:tc>
          <w:tcPr>
            <w:tcW w:w="2509" w:type="dxa"/>
            <w:tcBorders>
              <w:top w:val="nil"/>
              <w:left w:val="nil"/>
              <w:bottom w:val="single" w:sz="4" w:space="0" w:color="auto"/>
              <w:right w:val="single" w:sz="4" w:space="0" w:color="auto"/>
            </w:tcBorders>
            <w:shd w:val="clear" w:color="auto" w:fill="C6EFCE"/>
            <w:noWrap/>
          </w:tcPr>
          <w:p w14:paraId="1CCE589D"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rezultata sveobuhvatne analize potreba srednjoškolskog obrazovanja na internetskim stranicama Ministarstva znanosti i obrazovanja (MZO)</w:t>
            </w:r>
          </w:p>
        </w:tc>
        <w:tc>
          <w:tcPr>
            <w:tcW w:w="1168" w:type="dxa"/>
            <w:tcBorders>
              <w:top w:val="nil"/>
              <w:left w:val="nil"/>
              <w:bottom w:val="single" w:sz="4" w:space="0" w:color="auto"/>
              <w:right w:val="single" w:sz="4" w:space="0" w:color="auto"/>
            </w:tcBorders>
            <w:shd w:val="clear" w:color="auto" w:fill="C6EFCE"/>
            <w:noWrap/>
          </w:tcPr>
          <w:p w14:paraId="332A39EE"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75FD3075"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0D38DFE9"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59F2943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84" w:type="dxa"/>
            <w:tcBorders>
              <w:top w:val="nil"/>
              <w:left w:val="nil"/>
              <w:bottom w:val="single" w:sz="4" w:space="0" w:color="auto"/>
              <w:right w:val="single" w:sz="4" w:space="0" w:color="auto"/>
            </w:tcBorders>
            <w:shd w:val="clear" w:color="auto" w:fill="C6EFCE"/>
            <w:noWrap/>
          </w:tcPr>
          <w:p w14:paraId="4A2D8A2D"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544" w:type="dxa"/>
            <w:tcBorders>
              <w:top w:val="nil"/>
              <w:left w:val="nil"/>
              <w:bottom w:val="single" w:sz="4" w:space="0" w:color="auto"/>
              <w:right w:val="single" w:sz="4" w:space="0" w:color="auto"/>
            </w:tcBorders>
            <w:shd w:val="clear" w:color="auto" w:fill="C6EFCE"/>
            <w:noWrap/>
          </w:tcPr>
          <w:p w14:paraId="501ACC05"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Provest će se sveobuhvatna analiza potreba srednjoškolskog obrazovanja kako bi se podržale mjere za povećanje udjela učenika u programima općeg srednjoškolskog obrazovanja, smanjenje udjela učenika u strukovnim programima u kojima se bilježi višak i uskladili strukovni programi s potrebama tržišta rada.</w:t>
            </w:r>
          </w:p>
        </w:tc>
      </w:tr>
      <w:tr w:rsidR="00215DFD" w:rsidRPr="003B0907" w14:paraId="1AAF1409"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558C9E8A"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267</w:t>
            </w:r>
          </w:p>
        </w:tc>
        <w:tc>
          <w:tcPr>
            <w:tcW w:w="992" w:type="dxa"/>
            <w:tcBorders>
              <w:top w:val="nil"/>
              <w:left w:val="nil"/>
              <w:bottom w:val="single" w:sz="4" w:space="0" w:color="auto"/>
              <w:right w:val="single" w:sz="4" w:space="0" w:color="auto"/>
            </w:tcBorders>
            <w:shd w:val="clear" w:color="auto" w:fill="C6EFCE"/>
            <w:noWrap/>
          </w:tcPr>
          <w:p w14:paraId="0EAAEECD"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w:t>
            </w:r>
          </w:p>
        </w:tc>
        <w:tc>
          <w:tcPr>
            <w:tcW w:w="992" w:type="dxa"/>
            <w:tcBorders>
              <w:top w:val="nil"/>
              <w:left w:val="nil"/>
              <w:bottom w:val="single" w:sz="4" w:space="0" w:color="auto"/>
              <w:right w:val="single" w:sz="4" w:space="0" w:color="auto"/>
            </w:tcBorders>
            <w:shd w:val="clear" w:color="auto" w:fill="C6EFCE"/>
            <w:noWrap/>
          </w:tcPr>
          <w:p w14:paraId="4E97D9B5"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560" w:type="dxa"/>
            <w:tcBorders>
              <w:top w:val="nil"/>
              <w:left w:val="nil"/>
              <w:bottom w:val="single" w:sz="4" w:space="0" w:color="auto"/>
              <w:right w:val="single" w:sz="4" w:space="0" w:color="auto"/>
            </w:tcBorders>
            <w:shd w:val="clear" w:color="auto" w:fill="C6EFCE"/>
            <w:noWrap/>
          </w:tcPr>
          <w:p w14:paraId="3287C72D"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Modela financiranja RPOO-a</w:t>
            </w:r>
          </w:p>
        </w:tc>
        <w:tc>
          <w:tcPr>
            <w:tcW w:w="2509" w:type="dxa"/>
            <w:tcBorders>
              <w:top w:val="nil"/>
              <w:left w:val="nil"/>
              <w:bottom w:val="single" w:sz="4" w:space="0" w:color="auto"/>
              <w:right w:val="single" w:sz="4" w:space="0" w:color="auto"/>
            </w:tcBorders>
            <w:shd w:val="clear" w:color="auto" w:fill="C6EFCE"/>
            <w:noWrap/>
          </w:tcPr>
          <w:p w14:paraId="1DF0DBB2"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modela financiranja RPOO-a </w:t>
            </w:r>
          </w:p>
        </w:tc>
        <w:tc>
          <w:tcPr>
            <w:tcW w:w="1168" w:type="dxa"/>
            <w:tcBorders>
              <w:top w:val="nil"/>
              <w:left w:val="nil"/>
              <w:bottom w:val="single" w:sz="4" w:space="0" w:color="auto"/>
              <w:right w:val="single" w:sz="4" w:space="0" w:color="auto"/>
            </w:tcBorders>
            <w:shd w:val="clear" w:color="auto" w:fill="C6EFCE"/>
            <w:noWrap/>
          </w:tcPr>
          <w:p w14:paraId="3C29070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0D000080"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541FD74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491F7F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84" w:type="dxa"/>
            <w:tcBorders>
              <w:top w:val="nil"/>
              <w:left w:val="nil"/>
              <w:bottom w:val="single" w:sz="4" w:space="0" w:color="auto"/>
              <w:right w:val="single" w:sz="4" w:space="0" w:color="auto"/>
            </w:tcBorders>
            <w:shd w:val="clear" w:color="auto" w:fill="C6EFCE"/>
            <w:noWrap/>
          </w:tcPr>
          <w:p w14:paraId="4EE365C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544" w:type="dxa"/>
            <w:tcBorders>
              <w:top w:val="nil"/>
              <w:left w:val="nil"/>
              <w:bottom w:val="single" w:sz="4" w:space="0" w:color="auto"/>
              <w:right w:val="single" w:sz="4" w:space="0" w:color="auto"/>
            </w:tcBorders>
            <w:shd w:val="clear" w:color="auto" w:fill="C6EFCE"/>
            <w:noWrap/>
          </w:tcPr>
          <w:p w14:paraId="04C5287E"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Vlada Republike Hrvatske donijet će model financiranja troškova poslovanja objekata RPOO-a za općine/jedinice lokalne uprave smanjene financijske sposobnosti kako bi se osigurala održivost ulaganja nakon obnove postojećeg ili izgradnje novog objekta RPOO-a. </w:t>
            </w:r>
          </w:p>
        </w:tc>
      </w:tr>
      <w:tr w:rsidR="00215DFD" w:rsidRPr="003B0907" w14:paraId="66B8EE78"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49A061D4"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268</w:t>
            </w:r>
          </w:p>
        </w:tc>
        <w:tc>
          <w:tcPr>
            <w:tcW w:w="992" w:type="dxa"/>
            <w:tcBorders>
              <w:top w:val="nil"/>
              <w:left w:val="nil"/>
              <w:bottom w:val="single" w:sz="4" w:space="0" w:color="auto"/>
              <w:right w:val="single" w:sz="4" w:space="0" w:color="auto"/>
            </w:tcBorders>
            <w:shd w:val="clear" w:color="auto" w:fill="C6EFCE"/>
            <w:noWrap/>
          </w:tcPr>
          <w:p w14:paraId="28D5E39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w:t>
            </w:r>
          </w:p>
        </w:tc>
        <w:tc>
          <w:tcPr>
            <w:tcW w:w="992" w:type="dxa"/>
            <w:tcBorders>
              <w:top w:val="nil"/>
              <w:left w:val="nil"/>
              <w:bottom w:val="single" w:sz="4" w:space="0" w:color="auto"/>
              <w:right w:val="single" w:sz="4" w:space="0" w:color="auto"/>
            </w:tcBorders>
            <w:shd w:val="clear" w:color="auto" w:fill="C6EFCE"/>
            <w:noWrap/>
          </w:tcPr>
          <w:p w14:paraId="308844E9"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560" w:type="dxa"/>
            <w:tcBorders>
              <w:top w:val="nil"/>
              <w:left w:val="nil"/>
              <w:bottom w:val="single" w:sz="4" w:space="0" w:color="auto"/>
              <w:right w:val="single" w:sz="4" w:space="0" w:color="auto"/>
            </w:tcBorders>
            <w:shd w:val="clear" w:color="auto" w:fill="C6EFCE"/>
            <w:noWrap/>
          </w:tcPr>
          <w:p w14:paraId="76C8758F"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izmjena za model cjelodnevne nastave</w:t>
            </w:r>
          </w:p>
        </w:tc>
        <w:tc>
          <w:tcPr>
            <w:tcW w:w="2509" w:type="dxa"/>
            <w:tcBorders>
              <w:top w:val="nil"/>
              <w:left w:val="nil"/>
              <w:bottom w:val="single" w:sz="4" w:space="0" w:color="auto"/>
              <w:right w:val="single" w:sz="4" w:space="0" w:color="auto"/>
            </w:tcBorders>
            <w:shd w:val="clear" w:color="auto" w:fill="C6EFCE"/>
            <w:noWrap/>
          </w:tcPr>
          <w:p w14:paraId="0352E3C4"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zakonodavstva o osnovnom i srednjem obrazovanju koje se odnose na cjelodnevnu nastavu</w:t>
            </w:r>
          </w:p>
        </w:tc>
        <w:tc>
          <w:tcPr>
            <w:tcW w:w="1168" w:type="dxa"/>
            <w:tcBorders>
              <w:top w:val="nil"/>
              <w:left w:val="nil"/>
              <w:bottom w:val="single" w:sz="4" w:space="0" w:color="auto"/>
              <w:right w:val="single" w:sz="4" w:space="0" w:color="auto"/>
            </w:tcBorders>
            <w:shd w:val="clear" w:color="auto" w:fill="C6EFCE"/>
            <w:noWrap/>
          </w:tcPr>
          <w:p w14:paraId="1DF8909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63CF1DF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1BBE4170"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6CE126F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84" w:type="dxa"/>
            <w:tcBorders>
              <w:top w:val="nil"/>
              <w:left w:val="nil"/>
              <w:bottom w:val="single" w:sz="4" w:space="0" w:color="auto"/>
              <w:right w:val="single" w:sz="4" w:space="0" w:color="auto"/>
            </w:tcBorders>
            <w:shd w:val="clear" w:color="auto" w:fill="C6EFCE"/>
            <w:noWrap/>
          </w:tcPr>
          <w:p w14:paraId="14A01A2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544" w:type="dxa"/>
            <w:tcBorders>
              <w:top w:val="nil"/>
              <w:left w:val="nil"/>
              <w:bottom w:val="single" w:sz="4" w:space="0" w:color="auto"/>
              <w:right w:val="single" w:sz="4" w:space="0" w:color="auto"/>
            </w:tcBorders>
            <w:shd w:val="clear" w:color="auto" w:fill="C6EFCE"/>
            <w:noWrap/>
          </w:tcPr>
          <w:p w14:paraId="5D176CE1"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Izmjenama zakonodavstva o osnovnom i srednjem obrazovanju utvrdit će se uvjeti za uvođenje cjelodnevne nastave.</w:t>
            </w:r>
          </w:p>
        </w:tc>
      </w:tr>
      <w:tr w:rsidR="00215DFD" w:rsidRPr="003B0907" w14:paraId="548A4B21"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5FA15FA9"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269</w:t>
            </w:r>
          </w:p>
        </w:tc>
        <w:tc>
          <w:tcPr>
            <w:tcW w:w="992" w:type="dxa"/>
            <w:tcBorders>
              <w:top w:val="nil"/>
              <w:left w:val="nil"/>
              <w:bottom w:val="single" w:sz="4" w:space="0" w:color="auto"/>
              <w:right w:val="single" w:sz="4" w:space="0" w:color="auto"/>
            </w:tcBorders>
            <w:shd w:val="clear" w:color="auto" w:fill="C6EFCE"/>
            <w:noWrap/>
          </w:tcPr>
          <w:p w14:paraId="4CDFD014"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w:t>
            </w:r>
          </w:p>
        </w:tc>
        <w:tc>
          <w:tcPr>
            <w:tcW w:w="992" w:type="dxa"/>
            <w:tcBorders>
              <w:top w:val="nil"/>
              <w:left w:val="nil"/>
              <w:bottom w:val="single" w:sz="4" w:space="0" w:color="auto"/>
              <w:right w:val="single" w:sz="4" w:space="0" w:color="auto"/>
            </w:tcBorders>
            <w:shd w:val="clear" w:color="auto" w:fill="C6EFCE"/>
            <w:noWrap/>
          </w:tcPr>
          <w:p w14:paraId="413E6881"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560" w:type="dxa"/>
            <w:tcBorders>
              <w:top w:val="nil"/>
              <w:left w:val="nil"/>
              <w:bottom w:val="single" w:sz="4" w:space="0" w:color="auto"/>
              <w:right w:val="single" w:sz="4" w:space="0" w:color="auto"/>
            </w:tcBorders>
            <w:shd w:val="clear" w:color="auto" w:fill="C6EFCE"/>
            <w:noWrap/>
          </w:tcPr>
          <w:p w14:paraId="123C0385"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Sudjelovanje u RPOO-u </w:t>
            </w:r>
          </w:p>
        </w:tc>
        <w:tc>
          <w:tcPr>
            <w:tcW w:w="2509" w:type="dxa"/>
            <w:tcBorders>
              <w:top w:val="nil"/>
              <w:left w:val="nil"/>
              <w:bottom w:val="single" w:sz="4" w:space="0" w:color="auto"/>
              <w:right w:val="single" w:sz="4" w:space="0" w:color="auto"/>
            </w:tcBorders>
            <w:shd w:val="clear" w:color="auto" w:fill="C6EFCE"/>
            <w:noWrap/>
          </w:tcPr>
          <w:p w14:paraId="235FB2F3"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Izvješće MZO-a</w:t>
            </w:r>
          </w:p>
        </w:tc>
        <w:tc>
          <w:tcPr>
            <w:tcW w:w="1168" w:type="dxa"/>
            <w:tcBorders>
              <w:top w:val="nil"/>
              <w:left w:val="nil"/>
              <w:bottom w:val="single" w:sz="4" w:space="0" w:color="auto"/>
              <w:right w:val="single" w:sz="4" w:space="0" w:color="auto"/>
            </w:tcBorders>
            <w:shd w:val="clear" w:color="auto" w:fill="C6EFCE"/>
            <w:noWrap/>
          </w:tcPr>
          <w:p w14:paraId="2960DF8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nil"/>
              <w:left w:val="nil"/>
              <w:bottom w:val="single" w:sz="4" w:space="0" w:color="auto"/>
              <w:right w:val="single" w:sz="4" w:space="0" w:color="auto"/>
            </w:tcBorders>
            <w:shd w:val="clear" w:color="auto" w:fill="C6EFCE"/>
            <w:noWrap/>
          </w:tcPr>
          <w:p w14:paraId="046B3FC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76,3</w:t>
            </w:r>
          </w:p>
        </w:tc>
        <w:tc>
          <w:tcPr>
            <w:tcW w:w="850" w:type="dxa"/>
            <w:tcBorders>
              <w:top w:val="nil"/>
              <w:left w:val="nil"/>
              <w:bottom w:val="single" w:sz="4" w:space="0" w:color="auto"/>
              <w:right w:val="single" w:sz="4" w:space="0" w:color="auto"/>
            </w:tcBorders>
            <w:shd w:val="clear" w:color="auto" w:fill="C6EFCE"/>
            <w:noWrap/>
          </w:tcPr>
          <w:p w14:paraId="217AFFC0"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90</w:t>
            </w:r>
          </w:p>
        </w:tc>
        <w:tc>
          <w:tcPr>
            <w:tcW w:w="425" w:type="dxa"/>
            <w:tcBorders>
              <w:top w:val="nil"/>
              <w:left w:val="nil"/>
              <w:bottom w:val="single" w:sz="4" w:space="0" w:color="auto"/>
              <w:right w:val="single" w:sz="4" w:space="0" w:color="auto"/>
            </w:tcBorders>
            <w:shd w:val="clear" w:color="auto" w:fill="C6EFCE"/>
            <w:noWrap/>
          </w:tcPr>
          <w:p w14:paraId="06B23AA7"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84" w:type="dxa"/>
            <w:tcBorders>
              <w:top w:val="nil"/>
              <w:left w:val="nil"/>
              <w:bottom w:val="single" w:sz="4" w:space="0" w:color="auto"/>
              <w:right w:val="single" w:sz="4" w:space="0" w:color="auto"/>
            </w:tcBorders>
            <w:shd w:val="clear" w:color="auto" w:fill="C6EFCE"/>
            <w:noWrap/>
          </w:tcPr>
          <w:p w14:paraId="7E80BA3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44" w:type="dxa"/>
            <w:tcBorders>
              <w:top w:val="nil"/>
              <w:left w:val="nil"/>
              <w:bottom w:val="single" w:sz="4" w:space="0" w:color="auto"/>
              <w:right w:val="single" w:sz="4" w:space="0" w:color="auto"/>
            </w:tcBorders>
            <w:shd w:val="clear" w:color="auto" w:fill="C6EFCE"/>
            <w:noWrap/>
          </w:tcPr>
          <w:p w14:paraId="2B757806"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Povećati udio djece od tri godine do školske dobi koja pohađaju RPOO na 90 % (u usporedbi s 2018.) </w:t>
            </w:r>
          </w:p>
        </w:tc>
      </w:tr>
      <w:tr w:rsidR="00215DFD" w:rsidRPr="003B0907" w14:paraId="4FD61F61" w14:textId="77777777" w:rsidTr="003B5390">
        <w:trPr>
          <w:trHeight w:val="283"/>
        </w:trPr>
        <w:tc>
          <w:tcPr>
            <w:tcW w:w="1135" w:type="dxa"/>
            <w:tcBorders>
              <w:top w:val="nil"/>
              <w:left w:val="single" w:sz="4" w:space="0" w:color="auto"/>
              <w:bottom w:val="single" w:sz="4" w:space="0" w:color="auto"/>
              <w:right w:val="single" w:sz="4" w:space="0" w:color="auto"/>
            </w:tcBorders>
            <w:shd w:val="clear" w:color="auto" w:fill="C6EFCE"/>
            <w:noWrap/>
          </w:tcPr>
          <w:p w14:paraId="58711FB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270</w:t>
            </w:r>
          </w:p>
        </w:tc>
        <w:tc>
          <w:tcPr>
            <w:tcW w:w="992" w:type="dxa"/>
            <w:tcBorders>
              <w:top w:val="nil"/>
              <w:left w:val="nil"/>
              <w:bottom w:val="single" w:sz="4" w:space="0" w:color="auto"/>
              <w:right w:val="single" w:sz="4" w:space="0" w:color="auto"/>
            </w:tcBorders>
            <w:shd w:val="clear" w:color="auto" w:fill="C6EFCE"/>
            <w:noWrap/>
          </w:tcPr>
          <w:p w14:paraId="06DB349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R1-I1</w:t>
            </w:r>
          </w:p>
        </w:tc>
        <w:tc>
          <w:tcPr>
            <w:tcW w:w="992" w:type="dxa"/>
            <w:tcBorders>
              <w:top w:val="nil"/>
              <w:left w:val="nil"/>
              <w:bottom w:val="single" w:sz="4" w:space="0" w:color="auto"/>
              <w:right w:val="single" w:sz="4" w:space="0" w:color="auto"/>
            </w:tcBorders>
            <w:shd w:val="clear" w:color="auto" w:fill="C6EFCE"/>
            <w:noWrap/>
          </w:tcPr>
          <w:p w14:paraId="227DF8D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560" w:type="dxa"/>
            <w:tcBorders>
              <w:top w:val="nil"/>
              <w:left w:val="nil"/>
              <w:bottom w:val="single" w:sz="4" w:space="0" w:color="auto"/>
              <w:right w:val="single" w:sz="4" w:space="0" w:color="auto"/>
            </w:tcBorders>
            <w:shd w:val="clear" w:color="auto" w:fill="C6EFCE"/>
            <w:noWrap/>
          </w:tcPr>
          <w:p w14:paraId="55BF7A50"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Broj izgrađenih mjesta u RPOO-u</w:t>
            </w:r>
          </w:p>
        </w:tc>
        <w:tc>
          <w:tcPr>
            <w:tcW w:w="2509" w:type="dxa"/>
            <w:tcBorders>
              <w:top w:val="nil"/>
              <w:left w:val="nil"/>
              <w:bottom w:val="single" w:sz="4" w:space="0" w:color="auto"/>
              <w:right w:val="single" w:sz="4" w:space="0" w:color="auto"/>
            </w:tcBorders>
            <w:shd w:val="clear" w:color="auto" w:fill="C6EFCE"/>
            <w:noWrap/>
          </w:tcPr>
          <w:p w14:paraId="2DC429BA"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Objava izvješća MZO-a o infrastrukturnim projektima, uključujući sažetak s pregledom projekata</w:t>
            </w:r>
          </w:p>
        </w:tc>
        <w:tc>
          <w:tcPr>
            <w:tcW w:w="1168" w:type="dxa"/>
            <w:tcBorders>
              <w:top w:val="nil"/>
              <w:left w:val="nil"/>
              <w:bottom w:val="single" w:sz="4" w:space="0" w:color="auto"/>
              <w:right w:val="single" w:sz="4" w:space="0" w:color="auto"/>
            </w:tcBorders>
            <w:shd w:val="clear" w:color="auto" w:fill="C6EFCE"/>
            <w:noWrap/>
          </w:tcPr>
          <w:p w14:paraId="5981962A"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5B6AC20A"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29A2F258"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22 500</w:t>
            </w:r>
          </w:p>
        </w:tc>
        <w:tc>
          <w:tcPr>
            <w:tcW w:w="425" w:type="dxa"/>
            <w:tcBorders>
              <w:top w:val="nil"/>
              <w:left w:val="nil"/>
              <w:bottom w:val="single" w:sz="4" w:space="0" w:color="auto"/>
              <w:right w:val="single" w:sz="4" w:space="0" w:color="auto"/>
            </w:tcBorders>
            <w:shd w:val="clear" w:color="auto" w:fill="C6EFCE"/>
            <w:noWrap/>
          </w:tcPr>
          <w:p w14:paraId="6B37E558"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84" w:type="dxa"/>
            <w:tcBorders>
              <w:top w:val="nil"/>
              <w:left w:val="nil"/>
              <w:bottom w:val="single" w:sz="4" w:space="0" w:color="auto"/>
              <w:right w:val="single" w:sz="4" w:space="0" w:color="auto"/>
            </w:tcBorders>
            <w:shd w:val="clear" w:color="auto" w:fill="C6EFCE"/>
            <w:noWrap/>
          </w:tcPr>
          <w:p w14:paraId="5A6656D4"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44" w:type="dxa"/>
            <w:tcBorders>
              <w:top w:val="nil"/>
              <w:left w:val="nil"/>
              <w:bottom w:val="single" w:sz="4" w:space="0" w:color="auto"/>
              <w:right w:val="single" w:sz="4" w:space="0" w:color="auto"/>
            </w:tcBorders>
            <w:shd w:val="clear" w:color="auto" w:fill="C6EFCE"/>
            <w:noWrap/>
          </w:tcPr>
          <w:p w14:paraId="231DF895"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Uslijed infrastrukturnih ulaganja u izgradnju, nadogradnju i obnovu objekata RPOO-a otvorit će se najmanje 22 500 novih mjesta u RPOO-u, čime će se omogućiti znatno povećanje udjela djece (od tri godine do školske dobi) koja sudjeluju u RPOO-u. </w:t>
            </w:r>
          </w:p>
        </w:tc>
      </w:tr>
      <w:tr w:rsidR="00215DFD" w:rsidRPr="003B0907" w14:paraId="45444CBC"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647EAF5E"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271</w:t>
            </w:r>
          </w:p>
        </w:tc>
        <w:tc>
          <w:tcPr>
            <w:tcW w:w="992" w:type="dxa"/>
            <w:tcBorders>
              <w:top w:val="single" w:sz="4" w:space="0" w:color="auto"/>
              <w:left w:val="nil"/>
              <w:bottom w:val="single" w:sz="4" w:space="0" w:color="auto"/>
              <w:right w:val="single" w:sz="4" w:space="0" w:color="auto"/>
            </w:tcBorders>
            <w:shd w:val="clear" w:color="auto" w:fill="C6EFCE"/>
            <w:noWrap/>
          </w:tcPr>
          <w:p w14:paraId="6B1A8EE6"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R1-I2</w:t>
            </w:r>
          </w:p>
        </w:tc>
        <w:tc>
          <w:tcPr>
            <w:tcW w:w="992" w:type="dxa"/>
            <w:tcBorders>
              <w:top w:val="single" w:sz="4" w:space="0" w:color="auto"/>
              <w:left w:val="nil"/>
              <w:bottom w:val="single" w:sz="4" w:space="0" w:color="auto"/>
              <w:right w:val="single" w:sz="4" w:space="0" w:color="auto"/>
            </w:tcBorders>
            <w:shd w:val="clear" w:color="auto" w:fill="C6EFCE"/>
            <w:noWrap/>
          </w:tcPr>
          <w:p w14:paraId="74E90104"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560" w:type="dxa"/>
            <w:tcBorders>
              <w:top w:val="single" w:sz="4" w:space="0" w:color="auto"/>
              <w:left w:val="nil"/>
              <w:bottom w:val="single" w:sz="4" w:space="0" w:color="auto"/>
              <w:right w:val="single" w:sz="4" w:space="0" w:color="auto"/>
            </w:tcBorders>
            <w:shd w:val="clear" w:color="auto" w:fill="C6EFCE"/>
            <w:noWrap/>
          </w:tcPr>
          <w:p w14:paraId="29D8F336" w14:textId="77777777" w:rsidR="00733DCA" w:rsidRPr="003B0907" w:rsidRDefault="00733DCA" w:rsidP="0001477B">
            <w:pPr>
              <w:spacing w:after="240" w:line="276" w:lineRule="auto"/>
              <w:rPr>
                <w:rFonts w:ascii="Times New Roman" w:eastAsia="Calibri" w:hAnsi="Times New Roman" w:cs="Times New Roman"/>
                <w:noProof/>
                <w:sz w:val="20"/>
                <w:szCs w:val="20"/>
              </w:rPr>
            </w:pPr>
            <w:r>
              <w:rPr>
                <w:rFonts w:ascii="Calibri" w:hAnsi="Calibri"/>
                <w:noProof/>
                <w:color w:val="000000"/>
                <w:sz w:val="20"/>
              </w:rPr>
              <w:t>Postotak učenika koji pohađaju jednosmjenske osnovne škole</w:t>
            </w:r>
          </w:p>
        </w:tc>
        <w:tc>
          <w:tcPr>
            <w:tcW w:w="2509" w:type="dxa"/>
            <w:tcBorders>
              <w:top w:val="single" w:sz="4" w:space="0" w:color="auto"/>
              <w:left w:val="nil"/>
              <w:bottom w:val="single" w:sz="4" w:space="0" w:color="auto"/>
              <w:right w:val="single" w:sz="4" w:space="0" w:color="auto"/>
            </w:tcBorders>
            <w:shd w:val="clear" w:color="auto" w:fill="C6EFCE"/>
            <w:noWrap/>
          </w:tcPr>
          <w:p w14:paraId="02F722BB" w14:textId="77777777" w:rsidR="00733DCA" w:rsidRPr="003B0907" w:rsidRDefault="00733DCA" w:rsidP="0001477B">
            <w:pPr>
              <w:spacing w:after="0" w:line="276" w:lineRule="auto"/>
              <w:rPr>
                <w:rFonts w:ascii="Times New Roman" w:eastAsia="Calibri" w:hAnsi="Times New Roman" w:cs="Times New Roman"/>
                <w:noProof/>
                <w:sz w:val="20"/>
                <w:szCs w:val="20"/>
              </w:rPr>
            </w:pPr>
            <w:r>
              <w:rPr>
                <w:rFonts w:ascii="Calibri" w:hAnsi="Calibri"/>
                <w:noProof/>
                <w:color w:val="000000" w:themeColor="text1"/>
                <w:sz w:val="20"/>
              </w:rPr>
              <w:t>Objava podataka MZO-a</w:t>
            </w:r>
          </w:p>
        </w:tc>
        <w:tc>
          <w:tcPr>
            <w:tcW w:w="1168" w:type="dxa"/>
            <w:tcBorders>
              <w:top w:val="single" w:sz="4" w:space="0" w:color="auto"/>
              <w:left w:val="nil"/>
              <w:bottom w:val="single" w:sz="4" w:space="0" w:color="auto"/>
              <w:right w:val="single" w:sz="4" w:space="0" w:color="auto"/>
            </w:tcBorders>
            <w:shd w:val="clear" w:color="auto" w:fill="C6EFCE"/>
            <w:noWrap/>
          </w:tcPr>
          <w:p w14:paraId="5DFC17AE"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2B254D7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40</w:t>
            </w:r>
          </w:p>
        </w:tc>
        <w:tc>
          <w:tcPr>
            <w:tcW w:w="850" w:type="dxa"/>
            <w:tcBorders>
              <w:top w:val="single" w:sz="4" w:space="0" w:color="auto"/>
              <w:left w:val="nil"/>
              <w:bottom w:val="single" w:sz="4" w:space="0" w:color="auto"/>
              <w:right w:val="single" w:sz="4" w:space="0" w:color="auto"/>
            </w:tcBorders>
            <w:shd w:val="clear" w:color="auto" w:fill="C6EFCE"/>
            <w:noWrap/>
          </w:tcPr>
          <w:p w14:paraId="5118FA16"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70</w:t>
            </w:r>
          </w:p>
        </w:tc>
        <w:tc>
          <w:tcPr>
            <w:tcW w:w="425" w:type="dxa"/>
            <w:tcBorders>
              <w:top w:val="single" w:sz="4" w:space="0" w:color="auto"/>
              <w:left w:val="nil"/>
              <w:bottom w:val="single" w:sz="4" w:space="0" w:color="auto"/>
              <w:right w:val="single" w:sz="4" w:space="0" w:color="auto"/>
            </w:tcBorders>
            <w:shd w:val="clear" w:color="auto" w:fill="C6EFCE"/>
            <w:noWrap/>
          </w:tcPr>
          <w:p w14:paraId="463EF881"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84" w:type="dxa"/>
            <w:tcBorders>
              <w:top w:val="single" w:sz="4" w:space="0" w:color="auto"/>
              <w:left w:val="nil"/>
              <w:bottom w:val="single" w:sz="4" w:space="0" w:color="auto"/>
              <w:right w:val="single" w:sz="4" w:space="0" w:color="auto"/>
            </w:tcBorders>
            <w:shd w:val="clear" w:color="auto" w:fill="C6EFCE"/>
            <w:noWrap/>
          </w:tcPr>
          <w:p w14:paraId="78D056E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44" w:type="dxa"/>
            <w:tcBorders>
              <w:top w:val="single" w:sz="4" w:space="0" w:color="auto"/>
              <w:left w:val="nil"/>
              <w:bottom w:val="single" w:sz="4" w:space="0" w:color="auto"/>
              <w:right w:val="single" w:sz="4" w:space="0" w:color="auto"/>
            </w:tcBorders>
            <w:shd w:val="clear" w:color="auto" w:fill="C6EFCE"/>
            <w:noWrap/>
          </w:tcPr>
          <w:p w14:paraId="6BA21D20"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Udio učenika osnovnih škola koji pohađaju jednosmjenske škole povećat će se na 70 %. </w:t>
            </w:r>
          </w:p>
        </w:tc>
      </w:tr>
      <w:tr w:rsidR="00215DFD" w:rsidRPr="003B0907" w14:paraId="6D38B654"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6840A8BA"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272</w:t>
            </w:r>
          </w:p>
        </w:tc>
        <w:tc>
          <w:tcPr>
            <w:tcW w:w="992" w:type="dxa"/>
            <w:tcBorders>
              <w:top w:val="single" w:sz="4" w:space="0" w:color="auto"/>
              <w:left w:val="nil"/>
              <w:bottom w:val="single" w:sz="4" w:space="0" w:color="auto"/>
              <w:right w:val="single" w:sz="4" w:space="0" w:color="auto"/>
            </w:tcBorders>
            <w:shd w:val="clear" w:color="auto" w:fill="C6EFCE"/>
            <w:noWrap/>
          </w:tcPr>
          <w:p w14:paraId="1395DF0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R1-I3</w:t>
            </w:r>
          </w:p>
        </w:tc>
        <w:tc>
          <w:tcPr>
            <w:tcW w:w="992" w:type="dxa"/>
            <w:tcBorders>
              <w:top w:val="single" w:sz="4" w:space="0" w:color="auto"/>
              <w:left w:val="nil"/>
              <w:bottom w:val="single" w:sz="4" w:space="0" w:color="auto"/>
              <w:right w:val="single" w:sz="4" w:space="0" w:color="auto"/>
            </w:tcBorders>
            <w:shd w:val="clear" w:color="auto" w:fill="C6EFCE"/>
            <w:noWrap/>
          </w:tcPr>
          <w:p w14:paraId="779917B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560" w:type="dxa"/>
            <w:tcBorders>
              <w:top w:val="single" w:sz="4" w:space="0" w:color="auto"/>
              <w:left w:val="nil"/>
              <w:bottom w:val="single" w:sz="4" w:space="0" w:color="auto"/>
              <w:right w:val="single" w:sz="4" w:space="0" w:color="auto"/>
            </w:tcBorders>
            <w:shd w:val="clear" w:color="auto" w:fill="C6EFCE"/>
            <w:noWrap/>
          </w:tcPr>
          <w:p w14:paraId="47305021"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Upis u programe općeg srednjoškolskog obrazovanja </w:t>
            </w:r>
          </w:p>
        </w:tc>
        <w:tc>
          <w:tcPr>
            <w:tcW w:w="2509" w:type="dxa"/>
            <w:tcBorders>
              <w:top w:val="single" w:sz="4" w:space="0" w:color="auto"/>
              <w:left w:val="nil"/>
              <w:bottom w:val="single" w:sz="4" w:space="0" w:color="auto"/>
              <w:right w:val="single" w:sz="4" w:space="0" w:color="auto"/>
            </w:tcBorders>
            <w:shd w:val="clear" w:color="auto" w:fill="C6EFCE"/>
            <w:noWrap/>
          </w:tcPr>
          <w:p w14:paraId="237ECABF"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Objava podataka MZO-a</w:t>
            </w:r>
          </w:p>
        </w:tc>
        <w:tc>
          <w:tcPr>
            <w:tcW w:w="1168" w:type="dxa"/>
            <w:tcBorders>
              <w:top w:val="single" w:sz="4" w:space="0" w:color="auto"/>
              <w:left w:val="nil"/>
              <w:bottom w:val="single" w:sz="4" w:space="0" w:color="auto"/>
              <w:right w:val="single" w:sz="4" w:space="0" w:color="auto"/>
            </w:tcBorders>
            <w:shd w:val="clear" w:color="auto" w:fill="C6EFCE"/>
            <w:noWrap/>
          </w:tcPr>
          <w:p w14:paraId="5234C32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4D305B41"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w:t>
            </w:r>
          </w:p>
        </w:tc>
        <w:tc>
          <w:tcPr>
            <w:tcW w:w="850" w:type="dxa"/>
            <w:tcBorders>
              <w:top w:val="single" w:sz="4" w:space="0" w:color="auto"/>
              <w:left w:val="nil"/>
              <w:bottom w:val="single" w:sz="4" w:space="0" w:color="auto"/>
              <w:right w:val="single" w:sz="4" w:space="0" w:color="auto"/>
            </w:tcBorders>
            <w:shd w:val="clear" w:color="auto" w:fill="C6EFCE"/>
            <w:noWrap/>
          </w:tcPr>
          <w:p w14:paraId="5329B88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w:t>
            </w:r>
          </w:p>
        </w:tc>
        <w:tc>
          <w:tcPr>
            <w:tcW w:w="425" w:type="dxa"/>
            <w:tcBorders>
              <w:top w:val="single" w:sz="4" w:space="0" w:color="auto"/>
              <w:left w:val="nil"/>
              <w:bottom w:val="single" w:sz="4" w:space="0" w:color="auto"/>
              <w:right w:val="single" w:sz="4" w:space="0" w:color="auto"/>
            </w:tcBorders>
            <w:shd w:val="clear" w:color="auto" w:fill="C6EFCE"/>
            <w:noWrap/>
          </w:tcPr>
          <w:p w14:paraId="029842A6"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84" w:type="dxa"/>
            <w:tcBorders>
              <w:top w:val="single" w:sz="4" w:space="0" w:color="auto"/>
              <w:left w:val="nil"/>
              <w:bottom w:val="single" w:sz="4" w:space="0" w:color="auto"/>
              <w:right w:val="single" w:sz="4" w:space="0" w:color="auto"/>
            </w:tcBorders>
            <w:shd w:val="clear" w:color="auto" w:fill="C6EFCE"/>
            <w:noWrap/>
          </w:tcPr>
          <w:p w14:paraId="2641919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44" w:type="dxa"/>
            <w:tcBorders>
              <w:top w:val="single" w:sz="4" w:space="0" w:color="auto"/>
              <w:left w:val="nil"/>
              <w:bottom w:val="single" w:sz="4" w:space="0" w:color="auto"/>
              <w:right w:val="single" w:sz="4" w:space="0" w:color="auto"/>
            </w:tcBorders>
            <w:shd w:val="clear" w:color="auto" w:fill="C6EFCE"/>
            <w:noWrap/>
          </w:tcPr>
          <w:p w14:paraId="3C7B9CBC"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Postotak učenika srednjoškolskog obrazovanja koji pohađaju 1. razred općeg srednjoškolskog obrazovanja (gimnazije) povećat će se na 35 %.</w:t>
            </w:r>
          </w:p>
        </w:tc>
      </w:tr>
      <w:tr w:rsidR="00215DFD" w:rsidRPr="003B0907" w14:paraId="01A5F71D"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33B7B325"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273</w:t>
            </w:r>
          </w:p>
        </w:tc>
        <w:tc>
          <w:tcPr>
            <w:tcW w:w="992" w:type="dxa"/>
            <w:tcBorders>
              <w:top w:val="single" w:sz="4" w:space="0" w:color="auto"/>
              <w:left w:val="nil"/>
              <w:bottom w:val="single" w:sz="4" w:space="0" w:color="auto"/>
              <w:right w:val="single" w:sz="4" w:space="0" w:color="auto"/>
            </w:tcBorders>
            <w:shd w:val="clear" w:color="auto" w:fill="C6EFCE"/>
            <w:noWrap/>
          </w:tcPr>
          <w:p w14:paraId="29606B6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R2</w:t>
            </w:r>
          </w:p>
        </w:tc>
        <w:tc>
          <w:tcPr>
            <w:tcW w:w="992" w:type="dxa"/>
            <w:tcBorders>
              <w:top w:val="single" w:sz="4" w:space="0" w:color="auto"/>
              <w:left w:val="nil"/>
              <w:bottom w:val="single" w:sz="4" w:space="0" w:color="auto"/>
              <w:right w:val="single" w:sz="4" w:space="0" w:color="auto"/>
            </w:tcBorders>
            <w:shd w:val="clear" w:color="auto" w:fill="C6EFCE"/>
            <w:noWrap/>
          </w:tcPr>
          <w:p w14:paraId="73045961"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1560" w:type="dxa"/>
            <w:tcBorders>
              <w:top w:val="single" w:sz="4" w:space="0" w:color="auto"/>
              <w:left w:val="nil"/>
              <w:bottom w:val="single" w:sz="4" w:space="0" w:color="auto"/>
              <w:right w:val="single" w:sz="4" w:space="0" w:color="auto"/>
            </w:tcBorders>
            <w:shd w:val="clear" w:color="auto" w:fill="C6EFCE"/>
            <w:noWrap/>
          </w:tcPr>
          <w:p w14:paraId="08E5C2B9"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novog Zakona o znanstvenoj djelatnosti i visokom obrazovanju </w:t>
            </w:r>
          </w:p>
        </w:tc>
        <w:tc>
          <w:tcPr>
            <w:tcW w:w="2509" w:type="dxa"/>
            <w:tcBorders>
              <w:top w:val="single" w:sz="4" w:space="0" w:color="auto"/>
              <w:left w:val="nil"/>
              <w:bottom w:val="single" w:sz="4" w:space="0" w:color="auto"/>
              <w:right w:val="single" w:sz="4" w:space="0" w:color="auto"/>
            </w:tcBorders>
            <w:shd w:val="clear" w:color="auto" w:fill="C6EFCE"/>
            <w:noWrap/>
          </w:tcPr>
          <w:p w14:paraId="716BD6A5"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novog Zakona o znanstvenoj djelatnosti i visokom obrazovanju </w:t>
            </w:r>
          </w:p>
        </w:tc>
        <w:tc>
          <w:tcPr>
            <w:tcW w:w="1168" w:type="dxa"/>
            <w:tcBorders>
              <w:top w:val="single" w:sz="4" w:space="0" w:color="auto"/>
              <w:left w:val="nil"/>
              <w:bottom w:val="single" w:sz="4" w:space="0" w:color="auto"/>
              <w:right w:val="single" w:sz="4" w:space="0" w:color="auto"/>
            </w:tcBorders>
            <w:shd w:val="clear" w:color="auto" w:fill="C6EFCE"/>
            <w:noWrap/>
          </w:tcPr>
          <w:p w14:paraId="511674E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65905AA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6DF369A0"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single" w:sz="4" w:space="0" w:color="auto"/>
              <w:left w:val="nil"/>
              <w:bottom w:val="single" w:sz="4" w:space="0" w:color="auto"/>
              <w:right w:val="single" w:sz="4" w:space="0" w:color="auto"/>
            </w:tcBorders>
            <w:shd w:val="clear" w:color="auto" w:fill="C6EFCE"/>
            <w:noWrap/>
          </w:tcPr>
          <w:p w14:paraId="2E28039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884" w:type="dxa"/>
            <w:tcBorders>
              <w:top w:val="single" w:sz="4" w:space="0" w:color="auto"/>
              <w:left w:val="nil"/>
              <w:bottom w:val="single" w:sz="4" w:space="0" w:color="auto"/>
              <w:right w:val="single" w:sz="4" w:space="0" w:color="auto"/>
            </w:tcBorders>
            <w:shd w:val="clear" w:color="auto" w:fill="C6EFCE"/>
            <w:noWrap/>
          </w:tcPr>
          <w:p w14:paraId="501F1B1D"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544" w:type="dxa"/>
            <w:tcBorders>
              <w:top w:val="single" w:sz="4" w:space="0" w:color="auto"/>
              <w:left w:val="nil"/>
              <w:bottom w:val="single" w:sz="4" w:space="0" w:color="auto"/>
              <w:right w:val="single" w:sz="4" w:space="0" w:color="auto"/>
            </w:tcBorders>
            <w:shd w:val="clear" w:color="auto" w:fill="C6EFCE"/>
            <w:noWrap/>
          </w:tcPr>
          <w:p w14:paraId="545FFE27"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Novim okvirom omogućit će se organizacijska reforma javnih sveučilišta i znanstvenih instituta te će se uvesti model financiranja koji se temelji na uspješnosti.</w:t>
            </w:r>
          </w:p>
        </w:tc>
      </w:tr>
      <w:tr w:rsidR="00215DFD" w:rsidRPr="003B0907" w14:paraId="3B21BBC0"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5705B7F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274</w:t>
            </w:r>
          </w:p>
        </w:tc>
        <w:tc>
          <w:tcPr>
            <w:tcW w:w="992" w:type="dxa"/>
            <w:tcBorders>
              <w:top w:val="single" w:sz="4" w:space="0" w:color="auto"/>
              <w:left w:val="nil"/>
              <w:bottom w:val="single" w:sz="4" w:space="0" w:color="auto"/>
              <w:right w:val="single" w:sz="4" w:space="0" w:color="auto"/>
            </w:tcBorders>
            <w:shd w:val="clear" w:color="auto" w:fill="C6EFCE"/>
            <w:noWrap/>
          </w:tcPr>
          <w:p w14:paraId="116EC9C3"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C3.1. R2-I1</w:t>
            </w:r>
          </w:p>
        </w:tc>
        <w:tc>
          <w:tcPr>
            <w:tcW w:w="992" w:type="dxa"/>
            <w:tcBorders>
              <w:top w:val="single" w:sz="4" w:space="0" w:color="auto"/>
              <w:left w:val="nil"/>
              <w:bottom w:val="single" w:sz="4" w:space="0" w:color="auto"/>
              <w:right w:val="single" w:sz="4" w:space="0" w:color="auto"/>
            </w:tcBorders>
            <w:shd w:val="clear" w:color="auto" w:fill="C6EFCE"/>
            <w:noWrap/>
          </w:tcPr>
          <w:p w14:paraId="623EECAB"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560" w:type="dxa"/>
            <w:tcBorders>
              <w:top w:val="single" w:sz="4" w:space="0" w:color="auto"/>
              <w:left w:val="nil"/>
              <w:bottom w:val="single" w:sz="4" w:space="0" w:color="auto"/>
              <w:right w:val="single" w:sz="4" w:space="0" w:color="auto"/>
            </w:tcBorders>
            <w:shd w:val="clear" w:color="auto" w:fill="C6EFCE"/>
            <w:noWrap/>
          </w:tcPr>
          <w:p w14:paraId="230A4A1E"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Udio javnih visokih učilišta opremljen digitalnom infrastrukturom </w:t>
            </w:r>
          </w:p>
        </w:tc>
        <w:tc>
          <w:tcPr>
            <w:tcW w:w="2509" w:type="dxa"/>
            <w:tcBorders>
              <w:top w:val="single" w:sz="4" w:space="0" w:color="auto"/>
              <w:left w:val="nil"/>
              <w:bottom w:val="single" w:sz="4" w:space="0" w:color="auto"/>
              <w:right w:val="single" w:sz="4" w:space="0" w:color="auto"/>
            </w:tcBorders>
            <w:shd w:val="clear" w:color="auto" w:fill="C6EFCE"/>
            <w:noWrap/>
          </w:tcPr>
          <w:p w14:paraId="5CCA2D40"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MZO je objavio izvješća o ulaganjima uključujući sažetak s pregledom projekata</w:t>
            </w:r>
          </w:p>
        </w:tc>
        <w:tc>
          <w:tcPr>
            <w:tcW w:w="1168" w:type="dxa"/>
            <w:tcBorders>
              <w:top w:val="single" w:sz="4" w:space="0" w:color="auto"/>
              <w:left w:val="nil"/>
              <w:bottom w:val="single" w:sz="4" w:space="0" w:color="auto"/>
              <w:right w:val="single" w:sz="4" w:space="0" w:color="auto"/>
            </w:tcBorders>
            <w:shd w:val="clear" w:color="auto" w:fill="C6EFCE"/>
            <w:noWrap/>
          </w:tcPr>
          <w:p w14:paraId="5336CD9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787ABFF2"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1822A4CC"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90</w:t>
            </w:r>
          </w:p>
        </w:tc>
        <w:tc>
          <w:tcPr>
            <w:tcW w:w="425" w:type="dxa"/>
            <w:tcBorders>
              <w:top w:val="single" w:sz="4" w:space="0" w:color="auto"/>
              <w:left w:val="nil"/>
              <w:bottom w:val="single" w:sz="4" w:space="0" w:color="auto"/>
              <w:right w:val="single" w:sz="4" w:space="0" w:color="auto"/>
            </w:tcBorders>
            <w:shd w:val="clear" w:color="auto" w:fill="C6EFCE"/>
            <w:noWrap/>
          </w:tcPr>
          <w:p w14:paraId="0418DF95"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84" w:type="dxa"/>
            <w:tcBorders>
              <w:top w:val="single" w:sz="4" w:space="0" w:color="auto"/>
              <w:left w:val="nil"/>
              <w:bottom w:val="single" w:sz="4" w:space="0" w:color="auto"/>
              <w:right w:val="single" w:sz="4" w:space="0" w:color="auto"/>
            </w:tcBorders>
            <w:shd w:val="clear" w:color="auto" w:fill="C6EFCE"/>
            <w:noWrap/>
          </w:tcPr>
          <w:p w14:paraId="494616D1" w14:textId="77777777" w:rsidR="00733DCA" w:rsidRPr="003B090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544" w:type="dxa"/>
            <w:tcBorders>
              <w:top w:val="single" w:sz="4" w:space="0" w:color="auto"/>
              <w:left w:val="nil"/>
              <w:bottom w:val="single" w:sz="4" w:space="0" w:color="auto"/>
              <w:right w:val="single" w:sz="4" w:space="0" w:color="auto"/>
            </w:tcBorders>
            <w:shd w:val="clear" w:color="auto" w:fill="C6EFCE"/>
            <w:noWrap/>
          </w:tcPr>
          <w:p w14:paraId="20E638E7" w14:textId="77777777" w:rsidR="00733DCA" w:rsidRPr="003B090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Najmanje 90 % javnih visokih učilišta poboljšat će svoju digitalnu infrastrukturu nabavom aktivne opreme (opremanje učionica projektorom, računalom, ozvučenjem, sustavom za snimanje video-lekcija itd.) te unapređenjem pasivne mreže (elektroinstalacije, razvodni paneli, konektori itd.), čime će se podržati nove tehnologije i digitalni nastavni resursi. </w:t>
            </w:r>
            <w:r>
              <w:rPr>
                <w:rFonts w:ascii="Calibri" w:hAnsi="Calibri"/>
                <w:noProof/>
                <w:color w:val="000000"/>
                <w:sz w:val="20"/>
              </w:rPr>
              <w:br/>
              <w:t>Javna visoka učilišta koja će koristi od tih poboljšanja jesu: javna sveučilišta, politehničke škole i fakulteti, uključujući studentske kampuse.</w:t>
            </w:r>
          </w:p>
        </w:tc>
      </w:tr>
      <w:tr w:rsidR="00215DFD" w:rsidRPr="003B0907" w14:paraId="06799687" w14:textId="77777777" w:rsidTr="003B5390">
        <w:trPr>
          <w:trHeight w:val="283"/>
        </w:trPr>
        <w:tc>
          <w:tcPr>
            <w:tcW w:w="1135" w:type="dxa"/>
            <w:tcBorders>
              <w:top w:val="single" w:sz="4" w:space="0" w:color="auto"/>
              <w:left w:val="single" w:sz="4" w:space="0" w:color="auto"/>
              <w:bottom w:val="single" w:sz="4" w:space="0" w:color="auto"/>
              <w:right w:val="single" w:sz="4" w:space="0" w:color="auto"/>
            </w:tcBorders>
            <w:shd w:val="clear" w:color="auto" w:fill="C6EFCE"/>
            <w:noWrap/>
          </w:tcPr>
          <w:p w14:paraId="182C99AE" w14:textId="7A4D8CB3" w:rsidR="00733DCA" w:rsidRPr="00217432" w:rsidRDefault="001329C2" w:rsidP="0001477B">
            <w:pPr>
              <w:spacing w:after="200" w:line="276" w:lineRule="auto"/>
              <w:jc w:val="center"/>
              <w:rPr>
                <w:rFonts w:ascii="Calibri" w:eastAsia="Calibri" w:hAnsi="Calibri" w:cs="Arial"/>
                <w:noProof/>
                <w:color w:val="000000"/>
                <w:sz w:val="20"/>
                <w:szCs w:val="20"/>
                <w:highlight w:val="yellow"/>
              </w:rPr>
            </w:pPr>
            <w:r>
              <w:rPr>
                <w:rFonts w:ascii="Calibri" w:hAnsi="Calibri"/>
                <w:noProof/>
                <w:color w:val="000000"/>
                <w:sz w:val="20"/>
              </w:rPr>
              <w:t>396</w:t>
            </w:r>
          </w:p>
        </w:tc>
        <w:tc>
          <w:tcPr>
            <w:tcW w:w="992" w:type="dxa"/>
            <w:tcBorders>
              <w:top w:val="single" w:sz="4" w:space="0" w:color="auto"/>
              <w:left w:val="nil"/>
              <w:bottom w:val="single" w:sz="4" w:space="0" w:color="auto"/>
              <w:right w:val="single" w:sz="4" w:space="0" w:color="auto"/>
            </w:tcBorders>
            <w:shd w:val="clear" w:color="auto" w:fill="C6EFCE"/>
            <w:noWrap/>
          </w:tcPr>
          <w:p w14:paraId="02107564" w14:textId="77777777" w:rsidR="00733DCA" w:rsidRPr="003B0907"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C3.1. R1-I3</w:t>
            </w:r>
          </w:p>
        </w:tc>
        <w:tc>
          <w:tcPr>
            <w:tcW w:w="992" w:type="dxa"/>
            <w:tcBorders>
              <w:top w:val="single" w:sz="4" w:space="0" w:color="auto"/>
              <w:left w:val="nil"/>
              <w:bottom w:val="single" w:sz="4" w:space="0" w:color="auto"/>
              <w:right w:val="single" w:sz="4" w:space="0" w:color="auto"/>
            </w:tcBorders>
            <w:shd w:val="clear" w:color="auto" w:fill="C6EFCE"/>
            <w:noWrap/>
          </w:tcPr>
          <w:p w14:paraId="4C743440" w14:textId="77777777" w:rsidR="00733DCA" w:rsidRPr="003B0907"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Ciljna vrijednost</w:t>
            </w:r>
          </w:p>
        </w:tc>
        <w:tc>
          <w:tcPr>
            <w:tcW w:w="1560" w:type="dxa"/>
            <w:tcBorders>
              <w:top w:val="single" w:sz="4" w:space="0" w:color="auto"/>
              <w:left w:val="nil"/>
              <w:bottom w:val="single" w:sz="4" w:space="0" w:color="auto"/>
              <w:right w:val="single" w:sz="4" w:space="0" w:color="auto"/>
            </w:tcBorders>
            <w:shd w:val="clear" w:color="auto" w:fill="C6EFCE"/>
            <w:noWrap/>
          </w:tcPr>
          <w:p w14:paraId="21055A90" w14:textId="77777777" w:rsidR="00733DCA" w:rsidRPr="003B0907"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Broj obnovljenih ili izgrađenih srednjoškolskih učionica </w:t>
            </w:r>
          </w:p>
        </w:tc>
        <w:tc>
          <w:tcPr>
            <w:tcW w:w="2509" w:type="dxa"/>
            <w:tcBorders>
              <w:top w:val="single" w:sz="4" w:space="0" w:color="auto"/>
              <w:left w:val="nil"/>
              <w:bottom w:val="single" w:sz="4" w:space="0" w:color="auto"/>
              <w:right w:val="single" w:sz="4" w:space="0" w:color="auto"/>
            </w:tcBorders>
            <w:shd w:val="clear" w:color="auto" w:fill="C6EFCE"/>
            <w:noWrap/>
          </w:tcPr>
          <w:p w14:paraId="65701296" w14:textId="77777777" w:rsidR="00733DCA" w:rsidRPr="00BC0323" w:rsidRDefault="00733DCA" w:rsidP="0001477B">
            <w:pPr>
              <w:spacing w:after="200" w:line="276" w:lineRule="auto"/>
              <w:rPr>
                <w:rFonts w:ascii="Calibri" w:eastAsia="Calibri" w:hAnsi="Calibri" w:cs="Arial"/>
                <w:noProof/>
                <w:color w:val="000000"/>
                <w:sz w:val="20"/>
                <w:szCs w:val="20"/>
              </w:rPr>
            </w:pPr>
          </w:p>
        </w:tc>
        <w:tc>
          <w:tcPr>
            <w:tcW w:w="1168" w:type="dxa"/>
            <w:tcBorders>
              <w:top w:val="single" w:sz="4" w:space="0" w:color="auto"/>
              <w:left w:val="nil"/>
              <w:bottom w:val="single" w:sz="4" w:space="0" w:color="auto"/>
              <w:right w:val="single" w:sz="4" w:space="0" w:color="auto"/>
            </w:tcBorders>
            <w:shd w:val="clear" w:color="auto" w:fill="C6EFCE"/>
            <w:noWrap/>
          </w:tcPr>
          <w:p w14:paraId="17860140" w14:textId="77777777" w:rsidR="00733DCA" w:rsidRPr="003B0907"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0AEAB84A" w14:textId="77777777" w:rsidR="00733DCA"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69AC9FA9" w14:textId="77777777" w:rsidR="00733DCA"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165</w:t>
            </w:r>
          </w:p>
        </w:tc>
        <w:tc>
          <w:tcPr>
            <w:tcW w:w="425" w:type="dxa"/>
            <w:tcBorders>
              <w:top w:val="single" w:sz="4" w:space="0" w:color="auto"/>
              <w:left w:val="nil"/>
              <w:bottom w:val="single" w:sz="4" w:space="0" w:color="auto"/>
              <w:right w:val="single" w:sz="4" w:space="0" w:color="auto"/>
            </w:tcBorders>
            <w:shd w:val="clear" w:color="auto" w:fill="C6EFCE"/>
            <w:noWrap/>
          </w:tcPr>
          <w:p w14:paraId="1E75F9C0" w14:textId="77777777" w:rsidR="00733DCA" w:rsidRPr="003B0907"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w:t>
            </w:r>
          </w:p>
        </w:tc>
        <w:tc>
          <w:tcPr>
            <w:tcW w:w="884" w:type="dxa"/>
            <w:tcBorders>
              <w:top w:val="single" w:sz="4" w:space="0" w:color="auto"/>
              <w:left w:val="nil"/>
              <w:bottom w:val="single" w:sz="4" w:space="0" w:color="auto"/>
              <w:right w:val="single" w:sz="4" w:space="0" w:color="auto"/>
            </w:tcBorders>
            <w:shd w:val="clear" w:color="auto" w:fill="C6EFCE"/>
            <w:noWrap/>
          </w:tcPr>
          <w:p w14:paraId="2EFB0F0C" w14:textId="77777777" w:rsidR="00733DCA" w:rsidRPr="003B0907"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w:t>
            </w:r>
          </w:p>
        </w:tc>
        <w:tc>
          <w:tcPr>
            <w:tcW w:w="3544" w:type="dxa"/>
            <w:tcBorders>
              <w:top w:val="single" w:sz="4" w:space="0" w:color="auto"/>
              <w:left w:val="nil"/>
              <w:bottom w:val="single" w:sz="4" w:space="0" w:color="auto"/>
              <w:right w:val="single" w:sz="4" w:space="0" w:color="auto"/>
            </w:tcBorders>
            <w:shd w:val="clear" w:color="auto" w:fill="C6EFCE"/>
            <w:noWrap/>
          </w:tcPr>
          <w:p w14:paraId="707D0018" w14:textId="77777777" w:rsidR="00733DCA" w:rsidRPr="003B0907"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Obnovit će se ili izgraditi najmanje 165 učionica za programe općeg srednjoškolskog obrazovanja.</w:t>
            </w:r>
          </w:p>
        </w:tc>
      </w:tr>
    </w:tbl>
    <w:p w14:paraId="01906BA0" w14:textId="77777777" w:rsidR="00733DCA" w:rsidRDefault="00733DCA" w:rsidP="0001477B">
      <w:pPr>
        <w:pStyle w:val="paragraph"/>
        <w:spacing w:before="0" w:beforeAutospacing="0" w:after="0" w:afterAutospacing="0"/>
        <w:ind w:left="705"/>
        <w:jc w:val="both"/>
        <w:textAlignment w:val="baseline"/>
        <w:rPr>
          <w:rFonts w:ascii="Segoe UI" w:hAnsi="Segoe UI" w:cs="Segoe UI"/>
          <w:noProof/>
          <w:sz w:val="18"/>
          <w:szCs w:val="18"/>
        </w:rPr>
        <w:sectPr w:rsidR="00733DCA" w:rsidSect="0001477B">
          <w:headerReference w:type="even" r:id="rId276"/>
          <w:headerReference w:type="default" r:id="rId277"/>
          <w:footerReference w:type="even" r:id="rId278"/>
          <w:footerReference w:type="default" r:id="rId279"/>
          <w:headerReference w:type="first" r:id="rId280"/>
          <w:footerReference w:type="first" r:id="rId281"/>
          <w:pgSz w:w="15840" w:h="12240" w:orient="landscape"/>
          <w:pgMar w:top="1440" w:right="1440" w:bottom="1440" w:left="1440" w:header="709" w:footer="709" w:gutter="0"/>
          <w:cols w:space="708"/>
          <w:docGrid w:linePitch="360"/>
        </w:sectPr>
      </w:pPr>
    </w:p>
    <w:p w14:paraId="1C7D7D8B"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P.3. </w:t>
      </w:r>
      <w:r>
        <w:rPr>
          <w:rStyle w:val="tabchar"/>
          <w:rFonts w:ascii="Calibri" w:hAnsi="Calibri"/>
          <w:noProof/>
        </w:rPr>
        <w:tab/>
      </w:r>
      <w:r>
        <w:rPr>
          <w:rStyle w:val="normaltextrun"/>
          <w:b/>
          <w:noProof/>
        </w:rPr>
        <w:t>Opis reformi i ulaganja za zajam </w:t>
      </w:r>
      <w:r>
        <w:rPr>
          <w:rStyle w:val="eop"/>
          <w:noProof/>
        </w:rPr>
        <w:t> </w:t>
      </w:r>
    </w:p>
    <w:p w14:paraId="1545FB9E" w14:textId="77777777" w:rsidR="00733DCA" w:rsidRDefault="00733DCA" w:rsidP="0001477B">
      <w:pPr>
        <w:pStyle w:val="paragraph"/>
        <w:spacing w:before="0" w:beforeAutospacing="0" w:after="0" w:afterAutospacing="0"/>
        <w:ind w:left="840"/>
        <w:jc w:val="both"/>
        <w:textAlignment w:val="baseline"/>
        <w:rPr>
          <w:rStyle w:val="eop"/>
          <w:noProof/>
        </w:rPr>
      </w:pPr>
      <w:r>
        <w:rPr>
          <w:rStyle w:val="normaltextrun"/>
          <w:noProof/>
        </w:rPr>
        <w:t> </w:t>
      </w:r>
      <w:r>
        <w:rPr>
          <w:rStyle w:val="eop"/>
          <w:noProof/>
        </w:rPr>
        <w:t> </w:t>
      </w:r>
    </w:p>
    <w:p w14:paraId="38D28B44" w14:textId="77777777" w:rsidR="00733DCA" w:rsidRPr="008B6B47" w:rsidRDefault="00733DCA" w:rsidP="0001477B">
      <w:pPr>
        <w:keepNext/>
        <w:tabs>
          <w:tab w:val="num" w:pos="850"/>
        </w:tabs>
        <w:spacing w:after="200" w:line="240" w:lineRule="auto"/>
        <w:ind w:left="851"/>
        <w:jc w:val="both"/>
        <w:outlineLvl w:val="2"/>
        <w:rPr>
          <w:rFonts w:ascii="Calibri" w:eastAsia="Calibri" w:hAnsi="Calibri" w:cs="Arial"/>
          <w:noProof/>
        </w:rPr>
      </w:pPr>
      <w:r>
        <w:rPr>
          <w:rFonts w:ascii="Times New Roman" w:hAnsi="Times New Roman"/>
          <w:noProof/>
          <w:sz w:val="24"/>
          <w:u w:val="single"/>
        </w:rPr>
        <w:t>Ulaganje C3.1. R1-I4 – Izgradnja, dogradnja, rekonstrukcija i opremanje osnovnih škola za potrebe jednosmjenskog rada i cjelodnevne nastave</w:t>
      </w:r>
    </w:p>
    <w:p w14:paraId="00358E01" w14:textId="0559E82B" w:rsidR="00733DCA"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To ulaganje sastojat će se od izgradnje novih osnovnih škola i nadogradnje postojećih, uključujući sportske infrastrukture. Ulaganje će dovesti do toga da 100 % učenika osnovnih škola pohađa škole koje rade u jednoj smjeni.</w:t>
      </w:r>
    </w:p>
    <w:p w14:paraId="21957383" w14:textId="77777777" w:rsidR="00733DCA" w:rsidRPr="003B0907"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7D7D3670" w14:textId="77777777" w:rsidR="00733DCA" w:rsidRPr="008B6B47" w:rsidRDefault="00733DCA" w:rsidP="0001477B">
      <w:pPr>
        <w:spacing w:after="200" w:line="240" w:lineRule="auto"/>
        <w:jc w:val="both"/>
        <w:rPr>
          <w:rFonts w:ascii="Calibri" w:eastAsia="Calibri" w:hAnsi="Calibri" w:cs="Arial"/>
          <w:noProof/>
          <w:lang w:val="en-GB"/>
        </w:rPr>
      </w:pPr>
    </w:p>
    <w:p w14:paraId="479E6AB6"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2370A40E" w14:textId="77777777" w:rsidR="00733DCA" w:rsidRDefault="00733DCA" w:rsidP="0001477B">
      <w:pPr>
        <w:pStyle w:val="paragraph"/>
        <w:spacing w:before="0" w:beforeAutospacing="0" w:after="0" w:afterAutospacing="0"/>
        <w:ind w:left="840"/>
        <w:jc w:val="both"/>
        <w:textAlignment w:val="baseline"/>
        <w:rPr>
          <w:rStyle w:val="normaltextrun"/>
          <w:b/>
          <w:bCs/>
          <w:noProof/>
          <w:lang w:val="en-GB"/>
        </w:rPr>
        <w:sectPr w:rsidR="00733DCA" w:rsidSect="0001477B">
          <w:headerReference w:type="even" r:id="rId282"/>
          <w:headerReference w:type="default" r:id="rId283"/>
          <w:footerReference w:type="even" r:id="rId284"/>
          <w:footerReference w:type="default" r:id="rId285"/>
          <w:headerReference w:type="first" r:id="rId286"/>
          <w:footerReference w:type="first" r:id="rId287"/>
          <w:pgSz w:w="12240" w:h="15840"/>
          <w:pgMar w:top="1440" w:right="1440" w:bottom="1440" w:left="1440" w:header="708" w:footer="708" w:gutter="0"/>
          <w:cols w:space="708"/>
          <w:docGrid w:linePitch="360"/>
        </w:sectPr>
      </w:pPr>
    </w:p>
    <w:p w14:paraId="3352820E"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P.4.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p w14:paraId="7F542C2C"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tbl>
      <w:tblPr>
        <w:tblW w:w="14743"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1418"/>
        <w:gridCol w:w="992"/>
        <w:gridCol w:w="1985"/>
        <w:gridCol w:w="2183"/>
        <w:gridCol w:w="1077"/>
        <w:gridCol w:w="850"/>
        <w:gridCol w:w="709"/>
        <w:gridCol w:w="567"/>
        <w:gridCol w:w="851"/>
        <w:gridCol w:w="3260"/>
      </w:tblGrid>
      <w:tr w:rsidR="00602A72" w:rsidRPr="003B0907" w14:paraId="41846989" w14:textId="77777777" w:rsidTr="004F0096">
        <w:trPr>
          <w:trHeight w:val="930"/>
        </w:trPr>
        <w:tc>
          <w:tcPr>
            <w:tcW w:w="851"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B2F9310" w14:textId="462F0C33"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 xml:space="preserve"> Broj</w:t>
            </w:r>
            <w:r>
              <w:rPr>
                <w:noProof/>
                <w:sz w:val="20"/>
              </w:rPr>
              <w:t> </w:t>
            </w:r>
          </w:p>
        </w:tc>
        <w:tc>
          <w:tcPr>
            <w:tcW w:w="1418"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4B29A90D"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Povezana mjera (reforma ili ulaganje)</w:t>
            </w:r>
            <w:r>
              <w:rPr>
                <w:noProof/>
                <w:sz w:val="20"/>
              </w:rPr>
              <w:t> </w:t>
            </w:r>
          </w:p>
        </w:tc>
        <w:tc>
          <w:tcPr>
            <w:tcW w:w="99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8472234"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Ključna etapa / ciljna vrijednost</w:t>
            </w:r>
            <w:r>
              <w:rPr>
                <w:noProof/>
                <w:sz w:val="20"/>
              </w:rPr>
              <w:t> </w:t>
            </w:r>
          </w:p>
        </w:tc>
        <w:tc>
          <w:tcPr>
            <w:tcW w:w="1985" w:type="dxa"/>
            <w:vMerge w:val="restart"/>
            <w:tcBorders>
              <w:top w:val="single" w:sz="6" w:space="0" w:color="auto"/>
              <w:left w:val="nil"/>
              <w:bottom w:val="single" w:sz="6" w:space="0" w:color="000000"/>
              <w:right w:val="single" w:sz="6" w:space="0" w:color="auto"/>
            </w:tcBorders>
            <w:shd w:val="clear" w:color="auto" w:fill="BDD7EE"/>
            <w:vAlign w:val="center"/>
            <w:hideMark/>
          </w:tcPr>
          <w:p w14:paraId="7BF7ED7E"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Naziv</w:t>
            </w:r>
            <w:r>
              <w:rPr>
                <w:noProof/>
                <w:sz w:val="20"/>
              </w:rPr>
              <w:t> </w:t>
            </w:r>
          </w:p>
        </w:tc>
        <w:tc>
          <w:tcPr>
            <w:tcW w:w="2183"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15EFB59"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Kvalitativni pokazatelji</w:t>
            </w:r>
            <w:r>
              <w:rPr>
                <w:noProof/>
                <w:sz w:val="20"/>
              </w:rPr>
              <w:t xml:space="preserve"> </w:t>
            </w:r>
            <w:r>
              <w:rPr>
                <w:noProof/>
                <w:sz w:val="20"/>
              </w:rPr>
              <w:br/>
            </w:r>
            <w:r>
              <w:rPr>
                <w:b/>
                <w:noProof/>
                <w:sz w:val="20"/>
              </w:rPr>
              <w:t>(za ključne etape)</w:t>
            </w:r>
            <w:r>
              <w:rPr>
                <w:noProof/>
                <w:sz w:val="20"/>
              </w:rPr>
              <w:t> </w:t>
            </w:r>
          </w:p>
        </w:tc>
        <w:tc>
          <w:tcPr>
            <w:tcW w:w="2636" w:type="dxa"/>
            <w:gridSpan w:val="3"/>
            <w:tcBorders>
              <w:top w:val="single" w:sz="6" w:space="0" w:color="auto"/>
              <w:left w:val="nil"/>
              <w:bottom w:val="single" w:sz="6" w:space="0" w:color="auto"/>
              <w:right w:val="single" w:sz="6" w:space="0" w:color="auto"/>
            </w:tcBorders>
            <w:shd w:val="clear" w:color="auto" w:fill="BDD7EE"/>
            <w:vAlign w:val="center"/>
            <w:hideMark/>
          </w:tcPr>
          <w:p w14:paraId="63DD79D8"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Kvantitativni pokazatelji</w:t>
            </w:r>
            <w:r>
              <w:rPr>
                <w:noProof/>
                <w:sz w:val="20"/>
              </w:rPr>
              <w:t xml:space="preserve"> </w:t>
            </w:r>
            <w:r>
              <w:rPr>
                <w:noProof/>
                <w:sz w:val="20"/>
              </w:rPr>
              <w:br/>
            </w:r>
            <w:r>
              <w:rPr>
                <w:b/>
                <w:noProof/>
                <w:sz w:val="20"/>
              </w:rPr>
              <w:t>(za ciljne vrijednosti)</w:t>
            </w:r>
            <w:r>
              <w:rPr>
                <w:noProof/>
                <w:sz w:val="20"/>
              </w:rPr>
              <w:t> </w:t>
            </w:r>
          </w:p>
        </w:tc>
        <w:tc>
          <w:tcPr>
            <w:tcW w:w="1418" w:type="dxa"/>
            <w:gridSpan w:val="2"/>
            <w:tcBorders>
              <w:top w:val="single" w:sz="6" w:space="0" w:color="auto"/>
              <w:left w:val="nil"/>
              <w:bottom w:val="single" w:sz="6" w:space="0" w:color="auto"/>
              <w:right w:val="single" w:sz="6" w:space="0" w:color="auto"/>
            </w:tcBorders>
            <w:shd w:val="clear" w:color="auto" w:fill="BDD7EE"/>
            <w:vAlign w:val="center"/>
            <w:hideMark/>
          </w:tcPr>
          <w:p w14:paraId="42983EB1" w14:textId="7E041429" w:rsidR="00733DCA" w:rsidRPr="004F0096" w:rsidRDefault="004F0096" w:rsidP="0001477B">
            <w:pPr>
              <w:spacing w:after="0" w:line="240" w:lineRule="auto"/>
              <w:jc w:val="center"/>
              <w:textAlignment w:val="baseline"/>
              <w:rPr>
                <w:rFonts w:eastAsia="Times New Roman" w:cstheme="minorHAnsi"/>
                <w:noProof/>
                <w:sz w:val="20"/>
                <w:szCs w:val="20"/>
              </w:rPr>
            </w:pPr>
            <w:r>
              <w:rPr>
                <w:b/>
                <w:noProof/>
                <w:sz w:val="20"/>
              </w:rPr>
              <w:t>Vrijeme </w:t>
            </w:r>
            <w:r>
              <w:rPr>
                <w:noProof/>
                <w:sz w:val="20"/>
              </w:rPr>
              <w:t> </w:t>
            </w:r>
          </w:p>
        </w:tc>
        <w:tc>
          <w:tcPr>
            <w:tcW w:w="3260" w:type="dxa"/>
            <w:vMerge w:val="restart"/>
            <w:tcBorders>
              <w:top w:val="single" w:sz="6" w:space="0" w:color="auto"/>
              <w:left w:val="single" w:sz="6" w:space="0" w:color="auto"/>
              <w:bottom w:val="single" w:sz="6" w:space="0" w:color="auto"/>
              <w:right w:val="single" w:sz="6" w:space="0" w:color="auto"/>
            </w:tcBorders>
            <w:shd w:val="clear" w:color="auto" w:fill="BDD7EE"/>
            <w:vAlign w:val="center"/>
            <w:hideMark/>
          </w:tcPr>
          <w:p w14:paraId="65A9E35E"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Opis svake ključne etape i ciljne vrijednosti</w:t>
            </w:r>
            <w:r>
              <w:rPr>
                <w:noProof/>
                <w:sz w:val="20"/>
              </w:rPr>
              <w:t> </w:t>
            </w:r>
          </w:p>
        </w:tc>
      </w:tr>
      <w:tr w:rsidR="00602A72" w:rsidRPr="003B0907" w14:paraId="4A171E77" w14:textId="77777777" w:rsidTr="004F0096">
        <w:trPr>
          <w:trHeight w:val="1020"/>
        </w:trPr>
        <w:tc>
          <w:tcPr>
            <w:tcW w:w="851"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FD18530" w14:textId="77777777" w:rsidR="00733DCA" w:rsidRPr="00BC0323" w:rsidRDefault="00733DCA" w:rsidP="0001477B">
            <w:pPr>
              <w:spacing w:after="0" w:line="240" w:lineRule="auto"/>
              <w:rPr>
                <w:rFonts w:eastAsia="Times New Roman" w:cstheme="minorHAnsi"/>
                <w:noProof/>
                <w:sz w:val="20"/>
                <w:szCs w:val="20"/>
                <w:lang w:eastAsia="en-IE"/>
              </w:rPr>
            </w:pP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3EF42CC" w14:textId="77777777" w:rsidR="00733DCA" w:rsidRPr="00BC0323" w:rsidRDefault="00733DCA" w:rsidP="0001477B">
            <w:pPr>
              <w:spacing w:after="0" w:line="240" w:lineRule="auto"/>
              <w:rPr>
                <w:rFonts w:eastAsia="Times New Roman" w:cstheme="minorHAnsi"/>
                <w:noProof/>
                <w:sz w:val="20"/>
                <w:szCs w:val="20"/>
                <w:lang w:eastAsia="en-IE"/>
              </w:rPr>
            </w:pPr>
          </w:p>
        </w:tc>
        <w:tc>
          <w:tcPr>
            <w:tcW w:w="99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CE28D70" w14:textId="77777777" w:rsidR="00733DCA" w:rsidRPr="00BC0323" w:rsidRDefault="00733DCA" w:rsidP="0001477B">
            <w:pPr>
              <w:spacing w:after="0" w:line="240" w:lineRule="auto"/>
              <w:rPr>
                <w:rFonts w:eastAsia="Times New Roman" w:cstheme="minorHAnsi"/>
                <w:noProof/>
                <w:sz w:val="20"/>
                <w:szCs w:val="20"/>
                <w:lang w:eastAsia="en-IE"/>
              </w:rPr>
            </w:pPr>
          </w:p>
        </w:tc>
        <w:tc>
          <w:tcPr>
            <w:tcW w:w="1985" w:type="dxa"/>
            <w:vMerge/>
            <w:tcBorders>
              <w:top w:val="single" w:sz="6" w:space="0" w:color="auto"/>
              <w:left w:val="nil"/>
              <w:bottom w:val="single" w:sz="6" w:space="0" w:color="000000"/>
              <w:right w:val="single" w:sz="6" w:space="0" w:color="auto"/>
            </w:tcBorders>
            <w:shd w:val="clear" w:color="auto" w:fill="auto"/>
            <w:vAlign w:val="center"/>
            <w:hideMark/>
          </w:tcPr>
          <w:p w14:paraId="5A58C8F1" w14:textId="77777777" w:rsidR="00733DCA" w:rsidRPr="00BC0323" w:rsidRDefault="00733DCA" w:rsidP="0001477B">
            <w:pPr>
              <w:spacing w:after="0" w:line="240" w:lineRule="auto"/>
              <w:rPr>
                <w:rFonts w:eastAsia="Times New Roman" w:cstheme="minorHAnsi"/>
                <w:noProof/>
                <w:sz w:val="20"/>
                <w:szCs w:val="20"/>
                <w:lang w:eastAsia="en-IE"/>
              </w:rPr>
            </w:pPr>
          </w:p>
        </w:tc>
        <w:tc>
          <w:tcPr>
            <w:tcW w:w="2183"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B21BBCA" w14:textId="77777777" w:rsidR="00733DCA" w:rsidRPr="00BC0323" w:rsidRDefault="00733DCA" w:rsidP="0001477B">
            <w:pPr>
              <w:spacing w:after="0" w:line="240" w:lineRule="auto"/>
              <w:rPr>
                <w:rFonts w:eastAsia="Times New Roman" w:cstheme="minorHAnsi"/>
                <w:noProof/>
                <w:sz w:val="20"/>
                <w:szCs w:val="20"/>
                <w:lang w:eastAsia="en-IE"/>
              </w:rPr>
            </w:pPr>
          </w:p>
        </w:tc>
        <w:tc>
          <w:tcPr>
            <w:tcW w:w="1077" w:type="dxa"/>
            <w:tcBorders>
              <w:top w:val="nil"/>
              <w:left w:val="nil"/>
              <w:bottom w:val="single" w:sz="6" w:space="0" w:color="auto"/>
              <w:right w:val="single" w:sz="6" w:space="0" w:color="auto"/>
            </w:tcBorders>
            <w:shd w:val="clear" w:color="auto" w:fill="BDD7EE"/>
            <w:vAlign w:val="center"/>
            <w:hideMark/>
          </w:tcPr>
          <w:p w14:paraId="782DFFFB" w14:textId="4ED5FC0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 xml:space="preserve">Jedinica </w:t>
            </w:r>
          </w:p>
        </w:tc>
        <w:tc>
          <w:tcPr>
            <w:tcW w:w="850" w:type="dxa"/>
            <w:tcBorders>
              <w:top w:val="nil"/>
              <w:left w:val="nil"/>
              <w:bottom w:val="single" w:sz="6" w:space="0" w:color="auto"/>
              <w:right w:val="single" w:sz="6" w:space="0" w:color="auto"/>
            </w:tcBorders>
            <w:shd w:val="clear" w:color="auto" w:fill="BDD7EE"/>
            <w:vAlign w:val="center"/>
            <w:hideMark/>
          </w:tcPr>
          <w:p w14:paraId="17C24AF4"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Osnovna vrijednost </w:t>
            </w:r>
            <w:r>
              <w:rPr>
                <w:noProof/>
                <w:sz w:val="20"/>
              </w:rPr>
              <w:t> </w:t>
            </w:r>
          </w:p>
        </w:tc>
        <w:tc>
          <w:tcPr>
            <w:tcW w:w="709" w:type="dxa"/>
            <w:tcBorders>
              <w:top w:val="nil"/>
              <w:left w:val="nil"/>
              <w:bottom w:val="single" w:sz="6" w:space="0" w:color="auto"/>
              <w:right w:val="single" w:sz="6" w:space="0" w:color="auto"/>
            </w:tcBorders>
            <w:shd w:val="clear" w:color="auto" w:fill="BDD7EE"/>
            <w:vAlign w:val="center"/>
            <w:hideMark/>
          </w:tcPr>
          <w:p w14:paraId="13C23568"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Cilj </w:t>
            </w:r>
            <w:r>
              <w:rPr>
                <w:noProof/>
                <w:sz w:val="20"/>
              </w:rPr>
              <w:t> </w:t>
            </w:r>
          </w:p>
        </w:tc>
        <w:tc>
          <w:tcPr>
            <w:tcW w:w="567" w:type="dxa"/>
            <w:tcBorders>
              <w:top w:val="nil"/>
              <w:left w:val="nil"/>
              <w:bottom w:val="single" w:sz="6" w:space="0" w:color="auto"/>
              <w:right w:val="single" w:sz="6" w:space="0" w:color="auto"/>
            </w:tcBorders>
            <w:shd w:val="clear" w:color="auto" w:fill="BDD7EE"/>
            <w:vAlign w:val="center"/>
            <w:hideMark/>
          </w:tcPr>
          <w:p w14:paraId="1C878431" w14:textId="1196DBE6"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Q</w:t>
            </w:r>
          </w:p>
        </w:tc>
        <w:tc>
          <w:tcPr>
            <w:tcW w:w="851" w:type="dxa"/>
            <w:tcBorders>
              <w:top w:val="nil"/>
              <w:left w:val="nil"/>
              <w:bottom w:val="single" w:sz="6" w:space="0" w:color="auto"/>
              <w:right w:val="single" w:sz="6" w:space="0" w:color="auto"/>
            </w:tcBorders>
            <w:shd w:val="clear" w:color="auto" w:fill="BDD7EE"/>
            <w:vAlign w:val="center"/>
            <w:hideMark/>
          </w:tcPr>
          <w:p w14:paraId="15E70220"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b/>
                <w:noProof/>
                <w:sz w:val="20"/>
              </w:rPr>
              <w:t>Godina</w:t>
            </w:r>
            <w:r>
              <w:rPr>
                <w:noProof/>
                <w:sz w:val="20"/>
              </w:rPr>
              <w:t> </w:t>
            </w:r>
          </w:p>
        </w:tc>
        <w:tc>
          <w:tcPr>
            <w:tcW w:w="326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49538D" w14:textId="77777777" w:rsidR="00733DCA" w:rsidRPr="004F0096" w:rsidRDefault="00733DCA" w:rsidP="0001477B">
            <w:pPr>
              <w:spacing w:after="0" w:line="240" w:lineRule="auto"/>
              <w:rPr>
                <w:rFonts w:eastAsia="Times New Roman" w:cstheme="minorHAnsi"/>
                <w:noProof/>
                <w:sz w:val="20"/>
                <w:szCs w:val="20"/>
                <w:lang w:val="en-IE" w:eastAsia="en-IE"/>
              </w:rPr>
            </w:pPr>
          </w:p>
        </w:tc>
      </w:tr>
      <w:tr w:rsidR="00602A72" w:rsidRPr="003B0907" w14:paraId="4FE9DF8E" w14:textId="77777777" w:rsidTr="004F0096">
        <w:trPr>
          <w:trHeight w:val="300"/>
        </w:trPr>
        <w:tc>
          <w:tcPr>
            <w:tcW w:w="851" w:type="dxa"/>
            <w:tcBorders>
              <w:top w:val="nil"/>
              <w:left w:val="single" w:sz="6" w:space="0" w:color="auto"/>
              <w:bottom w:val="single" w:sz="6" w:space="0" w:color="auto"/>
              <w:right w:val="single" w:sz="6" w:space="0" w:color="auto"/>
            </w:tcBorders>
            <w:shd w:val="clear" w:color="auto" w:fill="C6EFCE"/>
            <w:hideMark/>
          </w:tcPr>
          <w:p w14:paraId="73F897B0" w14:textId="0CA8D4D0" w:rsidR="00733DCA" w:rsidRPr="004F0096" w:rsidRDefault="004817E7" w:rsidP="0001477B">
            <w:pPr>
              <w:spacing w:after="0" w:line="240" w:lineRule="auto"/>
              <w:jc w:val="center"/>
              <w:textAlignment w:val="baseline"/>
              <w:rPr>
                <w:rFonts w:eastAsia="Times New Roman" w:cstheme="minorHAnsi"/>
                <w:noProof/>
                <w:sz w:val="20"/>
                <w:szCs w:val="20"/>
              </w:rPr>
            </w:pPr>
            <w:r>
              <w:rPr>
                <w:noProof/>
                <w:color w:val="000000"/>
                <w:sz w:val="20"/>
              </w:rPr>
              <w:t>397</w:t>
            </w:r>
          </w:p>
        </w:tc>
        <w:tc>
          <w:tcPr>
            <w:tcW w:w="1418" w:type="dxa"/>
            <w:tcBorders>
              <w:top w:val="nil"/>
              <w:left w:val="nil"/>
              <w:bottom w:val="single" w:sz="6" w:space="0" w:color="auto"/>
              <w:right w:val="single" w:sz="6" w:space="0" w:color="auto"/>
            </w:tcBorders>
            <w:shd w:val="clear" w:color="auto" w:fill="C6EFCE"/>
            <w:hideMark/>
          </w:tcPr>
          <w:p w14:paraId="22E040B0"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noProof/>
                <w:color w:val="000000"/>
                <w:sz w:val="20"/>
              </w:rPr>
              <w:t>C3.1. R1-I4</w:t>
            </w:r>
          </w:p>
        </w:tc>
        <w:tc>
          <w:tcPr>
            <w:tcW w:w="992" w:type="dxa"/>
            <w:tcBorders>
              <w:top w:val="nil"/>
              <w:left w:val="nil"/>
              <w:bottom w:val="single" w:sz="6" w:space="0" w:color="auto"/>
              <w:right w:val="single" w:sz="6" w:space="0" w:color="auto"/>
            </w:tcBorders>
            <w:shd w:val="clear" w:color="auto" w:fill="C6EFCE"/>
            <w:hideMark/>
          </w:tcPr>
          <w:p w14:paraId="101E5C42"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noProof/>
                <w:color w:val="000000"/>
                <w:sz w:val="20"/>
              </w:rPr>
              <w:t>Ciljna vrijednost</w:t>
            </w:r>
          </w:p>
        </w:tc>
        <w:tc>
          <w:tcPr>
            <w:tcW w:w="1985" w:type="dxa"/>
            <w:tcBorders>
              <w:top w:val="nil"/>
              <w:left w:val="nil"/>
              <w:bottom w:val="single" w:sz="6" w:space="0" w:color="auto"/>
              <w:right w:val="single" w:sz="6" w:space="0" w:color="auto"/>
            </w:tcBorders>
            <w:shd w:val="clear" w:color="auto" w:fill="C6EFCE"/>
            <w:hideMark/>
          </w:tcPr>
          <w:p w14:paraId="77C60BEB" w14:textId="77777777" w:rsidR="00733DCA" w:rsidRPr="004F0096" w:rsidRDefault="00733DCA" w:rsidP="0001477B">
            <w:pPr>
              <w:spacing w:after="0" w:line="240" w:lineRule="auto"/>
              <w:textAlignment w:val="baseline"/>
              <w:rPr>
                <w:rFonts w:eastAsia="Times New Roman" w:cstheme="minorHAnsi"/>
                <w:noProof/>
                <w:sz w:val="20"/>
                <w:szCs w:val="20"/>
              </w:rPr>
            </w:pPr>
            <w:r>
              <w:rPr>
                <w:noProof/>
                <w:color w:val="000000"/>
                <w:sz w:val="20"/>
              </w:rPr>
              <w:t>Postotak učenika koji pohađaju jednosmjenske osnovne škole</w:t>
            </w:r>
          </w:p>
        </w:tc>
        <w:tc>
          <w:tcPr>
            <w:tcW w:w="2183" w:type="dxa"/>
            <w:tcBorders>
              <w:top w:val="nil"/>
              <w:left w:val="nil"/>
              <w:bottom w:val="single" w:sz="6" w:space="0" w:color="auto"/>
              <w:right w:val="single" w:sz="6" w:space="0" w:color="auto"/>
            </w:tcBorders>
            <w:shd w:val="clear" w:color="auto" w:fill="C6EFCE"/>
            <w:hideMark/>
          </w:tcPr>
          <w:p w14:paraId="03C41C34" w14:textId="77777777" w:rsidR="00733DCA" w:rsidRPr="00BC0323" w:rsidRDefault="00733DCA" w:rsidP="0001477B">
            <w:pPr>
              <w:spacing w:after="0" w:line="240" w:lineRule="auto"/>
              <w:textAlignment w:val="baseline"/>
              <w:rPr>
                <w:rFonts w:eastAsia="Times New Roman" w:cstheme="minorHAnsi"/>
                <w:noProof/>
                <w:sz w:val="20"/>
                <w:szCs w:val="20"/>
                <w:lang w:eastAsia="en-IE"/>
              </w:rPr>
            </w:pPr>
          </w:p>
        </w:tc>
        <w:tc>
          <w:tcPr>
            <w:tcW w:w="1077" w:type="dxa"/>
            <w:tcBorders>
              <w:top w:val="nil"/>
              <w:left w:val="nil"/>
              <w:bottom w:val="single" w:sz="6" w:space="0" w:color="auto"/>
              <w:right w:val="single" w:sz="6" w:space="0" w:color="auto"/>
            </w:tcBorders>
            <w:shd w:val="clear" w:color="auto" w:fill="C6EFCE"/>
            <w:hideMark/>
          </w:tcPr>
          <w:p w14:paraId="157AA4AD" w14:textId="77777777" w:rsidR="00733DCA" w:rsidRPr="004F0096" w:rsidRDefault="00733DCA" w:rsidP="0001477B">
            <w:pPr>
              <w:spacing w:after="0" w:line="240" w:lineRule="auto"/>
              <w:textAlignment w:val="baseline"/>
              <w:rPr>
                <w:rFonts w:eastAsia="Times New Roman" w:cstheme="minorHAnsi"/>
                <w:noProof/>
                <w:sz w:val="20"/>
                <w:szCs w:val="20"/>
              </w:rPr>
            </w:pPr>
            <w:r>
              <w:rPr>
                <w:noProof/>
                <w:color w:val="000000"/>
                <w:sz w:val="20"/>
              </w:rPr>
              <w:t>% (postotak)</w:t>
            </w:r>
          </w:p>
        </w:tc>
        <w:tc>
          <w:tcPr>
            <w:tcW w:w="850" w:type="dxa"/>
            <w:tcBorders>
              <w:top w:val="nil"/>
              <w:left w:val="nil"/>
              <w:bottom w:val="single" w:sz="6" w:space="0" w:color="auto"/>
              <w:right w:val="single" w:sz="6" w:space="0" w:color="auto"/>
            </w:tcBorders>
            <w:shd w:val="clear" w:color="auto" w:fill="C6EFCE"/>
            <w:hideMark/>
          </w:tcPr>
          <w:p w14:paraId="1D0C33A7"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noProof/>
                <w:color w:val="000000"/>
                <w:sz w:val="20"/>
              </w:rPr>
              <w:t>70</w:t>
            </w:r>
          </w:p>
        </w:tc>
        <w:tc>
          <w:tcPr>
            <w:tcW w:w="709" w:type="dxa"/>
            <w:tcBorders>
              <w:top w:val="nil"/>
              <w:left w:val="nil"/>
              <w:bottom w:val="single" w:sz="6" w:space="0" w:color="auto"/>
              <w:right w:val="single" w:sz="6" w:space="0" w:color="auto"/>
            </w:tcBorders>
            <w:shd w:val="clear" w:color="auto" w:fill="C6EFCE"/>
            <w:hideMark/>
          </w:tcPr>
          <w:p w14:paraId="782646FC"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noProof/>
                <w:color w:val="000000"/>
                <w:sz w:val="20"/>
              </w:rPr>
              <w:t>100</w:t>
            </w:r>
          </w:p>
        </w:tc>
        <w:tc>
          <w:tcPr>
            <w:tcW w:w="567" w:type="dxa"/>
            <w:tcBorders>
              <w:top w:val="nil"/>
              <w:left w:val="nil"/>
              <w:bottom w:val="single" w:sz="6" w:space="0" w:color="auto"/>
              <w:right w:val="single" w:sz="6" w:space="0" w:color="auto"/>
            </w:tcBorders>
            <w:shd w:val="clear" w:color="auto" w:fill="C6EFCE"/>
            <w:hideMark/>
          </w:tcPr>
          <w:p w14:paraId="6F7E3006"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noProof/>
                <w:color w:val="000000"/>
                <w:sz w:val="20"/>
              </w:rPr>
              <w:t>2.</w:t>
            </w:r>
          </w:p>
        </w:tc>
        <w:tc>
          <w:tcPr>
            <w:tcW w:w="851" w:type="dxa"/>
            <w:tcBorders>
              <w:top w:val="nil"/>
              <w:left w:val="nil"/>
              <w:bottom w:val="single" w:sz="6" w:space="0" w:color="auto"/>
              <w:right w:val="single" w:sz="6" w:space="0" w:color="auto"/>
            </w:tcBorders>
            <w:shd w:val="clear" w:color="auto" w:fill="C6EFCE"/>
            <w:hideMark/>
          </w:tcPr>
          <w:p w14:paraId="57054765" w14:textId="77777777" w:rsidR="00733DCA" w:rsidRPr="004F0096" w:rsidRDefault="00733DCA" w:rsidP="0001477B">
            <w:pPr>
              <w:spacing w:after="0" w:line="240" w:lineRule="auto"/>
              <w:jc w:val="center"/>
              <w:textAlignment w:val="baseline"/>
              <w:rPr>
                <w:rFonts w:eastAsia="Times New Roman" w:cstheme="minorHAnsi"/>
                <w:noProof/>
                <w:sz w:val="20"/>
                <w:szCs w:val="20"/>
              </w:rPr>
            </w:pPr>
            <w:r>
              <w:rPr>
                <w:noProof/>
                <w:color w:val="000000"/>
                <w:sz w:val="20"/>
              </w:rPr>
              <w:t>2026.</w:t>
            </w:r>
          </w:p>
        </w:tc>
        <w:tc>
          <w:tcPr>
            <w:tcW w:w="3260" w:type="dxa"/>
            <w:tcBorders>
              <w:top w:val="nil"/>
              <w:left w:val="nil"/>
              <w:bottom w:val="single" w:sz="6" w:space="0" w:color="auto"/>
              <w:right w:val="single" w:sz="6" w:space="0" w:color="auto"/>
            </w:tcBorders>
            <w:shd w:val="clear" w:color="auto" w:fill="C6EFCE"/>
            <w:hideMark/>
          </w:tcPr>
          <w:p w14:paraId="0090D938" w14:textId="7E4213F0" w:rsidR="00733DCA" w:rsidRPr="004F0096" w:rsidRDefault="00733DCA" w:rsidP="0001477B">
            <w:pPr>
              <w:spacing w:after="0" w:line="240" w:lineRule="auto"/>
              <w:textAlignment w:val="baseline"/>
              <w:rPr>
                <w:rFonts w:eastAsia="Times New Roman" w:cstheme="minorHAnsi"/>
                <w:noProof/>
                <w:sz w:val="20"/>
                <w:szCs w:val="20"/>
              </w:rPr>
            </w:pPr>
            <w:r>
              <w:rPr>
                <w:noProof/>
                <w:color w:val="000000"/>
                <w:sz w:val="20"/>
              </w:rPr>
              <w:t>Udio učenika osnovnih škola koji pohađaju jednosmjenske škole povećat će se na 100 %. Pri izgradnji i rekonstrukciji učionica i sportskih dvorana poštovat će se standardi utvrđeni u Normativima dimenzioniranja prostora osnovnih škola iz 2022. Izgradit će se najmanje 375 novih sportskih dvorana.</w:t>
            </w:r>
          </w:p>
        </w:tc>
      </w:tr>
    </w:tbl>
    <w:p w14:paraId="020139F1" w14:textId="77777777" w:rsidR="00BD1A7F" w:rsidRDefault="00BD1A7F" w:rsidP="0001477B">
      <w:pPr>
        <w:rPr>
          <w:noProof/>
          <w:lang w:val="en-IE"/>
        </w:rPr>
        <w:sectPr w:rsidR="00BD1A7F" w:rsidSect="0001477B">
          <w:headerReference w:type="even" r:id="rId288"/>
          <w:headerReference w:type="default" r:id="rId289"/>
          <w:footerReference w:type="even" r:id="rId290"/>
          <w:footerReference w:type="default" r:id="rId291"/>
          <w:headerReference w:type="first" r:id="rId292"/>
          <w:footerReference w:type="first" r:id="rId293"/>
          <w:pgSz w:w="15840" w:h="12240" w:orient="landscape"/>
          <w:pgMar w:top="1440" w:right="1440" w:bottom="1440" w:left="1440" w:header="708" w:footer="708" w:gutter="0"/>
          <w:cols w:space="708"/>
          <w:docGrid w:linePitch="360"/>
        </w:sectPr>
      </w:pPr>
    </w:p>
    <w:p w14:paraId="139FDCB7" w14:textId="77777777" w:rsidR="009872B9" w:rsidRPr="009872B9" w:rsidRDefault="009872B9" w:rsidP="009872B9">
      <w:pPr>
        <w:keepNext/>
        <w:tabs>
          <w:tab w:val="left" w:pos="850"/>
        </w:tabs>
        <w:spacing w:before="360" w:after="120" w:line="240" w:lineRule="auto"/>
        <w:ind w:left="850" w:firstLine="1"/>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Q. KOMPONENTA 3.2.: PODIZANJE ISTRAŽIVAČKOG I INOVACIJSKOG KAPACITETA</w:t>
      </w:r>
    </w:p>
    <w:p w14:paraId="76E315EB" w14:textId="77777777" w:rsidR="009872B9" w:rsidRPr="009872B9" w:rsidRDefault="009872B9" w:rsidP="009872B9">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Hrvatsko javnoistraživačko i inovacijsko okružje vrlo je rascjepkano. Nedovoljna ulaganja u istraživanje, razvoj i inovacije, posebno iz poslovnog sektora, u kombinaciji s neodgovarajućim financijskim i organizacijskim modelom sveučilišta i znanstvenih instituta, koče iskorištavanje punog potencijala hrvatskog istraživačkog sektora. Zbog toga su znanstvena produktivnost, učinkovitost i prijenos znanja i dalje ograničeni. Preduvjeti za razvoj ljudskih resursa u područjima znanosti, tehnologije, inženjerstva i matematike (STEM) i IKT-a, kojima bi se omogućila veća spremnost društva za digitalnu tranziciju, nedovoljno su razvijeni. Rascjepkanost i neučinkovitost politika u području istraživanja, razvoja i inovacija i nedostatak rezultata ulaganja u istraživanje, razvoj i inovacije među glavnim su uzrocima otežanog rasta produktivnosti i konkurentnosti.</w:t>
      </w:r>
    </w:p>
    <w:p w14:paraId="00CCD67B" w14:textId="77777777" w:rsidR="009872B9" w:rsidRPr="009872B9" w:rsidRDefault="009872B9" w:rsidP="009872B9">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Komponentom se nastoje riješiti ti izazovi ostvarivanjem sljedećih ciljeva: </w:t>
      </w:r>
    </w:p>
    <w:p w14:paraId="4D4CD4C5" w14:textId="77777777" w:rsidR="009872B9" w:rsidRPr="009872B9" w:rsidRDefault="009872B9" w:rsidP="009872B9">
      <w:pPr>
        <w:numPr>
          <w:ilvl w:val="0"/>
          <w:numId w:val="37"/>
        </w:numPr>
        <w:tabs>
          <w:tab w:val="left" w:pos="426"/>
        </w:tabs>
        <w:spacing w:after="200" w:line="276" w:lineRule="auto"/>
        <w:ind w:left="720"/>
        <w:jc w:val="both"/>
        <w:rPr>
          <w:rFonts w:ascii="Times New Roman" w:eastAsia="Times New Roman" w:hAnsi="Times New Roman" w:cs="Times New Roman"/>
          <w:noProof/>
          <w:sz w:val="24"/>
          <w:szCs w:val="24"/>
        </w:rPr>
      </w:pPr>
      <w:r>
        <w:rPr>
          <w:rFonts w:ascii="Times New Roman" w:hAnsi="Times New Roman"/>
          <w:noProof/>
          <w:sz w:val="24"/>
        </w:rPr>
        <w:t>Unapređenje sustava institucionalnog financiranja sveučilišta i znanstvenih instituta kako bi se izravnim ulaganjima i povećanim financiranjem znanstveno-istraživačke djelatnosti motivirala znanstvena produktivnost, učinkovitost i prijenos znanja.</w:t>
      </w:r>
    </w:p>
    <w:p w14:paraId="178B6A3A" w14:textId="77777777" w:rsidR="009872B9" w:rsidRPr="009872B9" w:rsidRDefault="009872B9" w:rsidP="009872B9">
      <w:pPr>
        <w:numPr>
          <w:ilvl w:val="0"/>
          <w:numId w:val="37"/>
        </w:numPr>
        <w:tabs>
          <w:tab w:val="left" w:pos="426"/>
        </w:tabs>
        <w:spacing w:after="200" w:line="276" w:lineRule="auto"/>
        <w:ind w:left="720"/>
        <w:jc w:val="both"/>
        <w:rPr>
          <w:rFonts w:ascii="Times New Roman" w:eastAsia="Times New Roman" w:hAnsi="Times New Roman" w:cs="Times New Roman"/>
          <w:noProof/>
          <w:sz w:val="24"/>
          <w:szCs w:val="24"/>
        </w:rPr>
      </w:pPr>
      <w:r>
        <w:rPr>
          <w:rFonts w:ascii="Times New Roman" w:hAnsi="Times New Roman"/>
          <w:noProof/>
          <w:sz w:val="24"/>
        </w:rPr>
        <w:t>Povećana ulaganja u istraživačku infrastrukturu i organizacijske kapacitete sveučilišta i znanstvenih instituta što će omogućiti veću kvalitetu znanstvenog istraživanja i poboljšati privlačnost istraživačkih karijera u Hrvatskoj.</w:t>
      </w:r>
    </w:p>
    <w:p w14:paraId="5A76FE26" w14:textId="77777777" w:rsidR="009872B9" w:rsidRPr="009872B9" w:rsidRDefault="009872B9" w:rsidP="009872B9">
      <w:pPr>
        <w:numPr>
          <w:ilvl w:val="0"/>
          <w:numId w:val="37"/>
        </w:numPr>
        <w:tabs>
          <w:tab w:val="left" w:pos="426"/>
        </w:tabs>
        <w:spacing w:after="200" w:line="276" w:lineRule="auto"/>
        <w:ind w:left="720"/>
        <w:jc w:val="both"/>
        <w:rPr>
          <w:rFonts w:ascii="Times New Roman" w:eastAsia="Times New Roman" w:hAnsi="Times New Roman" w:cs="Times New Roman"/>
          <w:noProof/>
          <w:sz w:val="24"/>
          <w:szCs w:val="24"/>
        </w:rPr>
      </w:pPr>
      <w:r>
        <w:rPr>
          <w:rFonts w:ascii="Times New Roman" w:hAnsi="Times New Roman"/>
          <w:noProof/>
          <w:sz w:val="24"/>
        </w:rPr>
        <w:t>Uvođenje novog poticajnog okvira za napredovanje te razvoj karijera istraživača, u skladu sa specifičnostima znanstvenih područja, čime će se privući i zadržati mladi znanstvenici iz Hrvatske i kvalitetni inozemni znanstvenici.</w:t>
      </w:r>
    </w:p>
    <w:p w14:paraId="2200D1CC" w14:textId="77777777" w:rsidR="009872B9" w:rsidRPr="009872B9" w:rsidRDefault="009872B9" w:rsidP="009872B9">
      <w:pPr>
        <w:numPr>
          <w:ilvl w:val="0"/>
          <w:numId w:val="37"/>
        </w:numPr>
        <w:tabs>
          <w:tab w:val="left" w:pos="426"/>
        </w:tabs>
        <w:spacing w:after="200" w:line="276" w:lineRule="auto"/>
        <w:ind w:left="720"/>
        <w:jc w:val="both"/>
        <w:rPr>
          <w:rFonts w:ascii="Times New Roman" w:eastAsia="Times New Roman" w:hAnsi="Times New Roman" w:cs="Times New Roman"/>
          <w:noProof/>
          <w:sz w:val="24"/>
          <w:szCs w:val="24"/>
        </w:rPr>
      </w:pPr>
      <w:r>
        <w:rPr>
          <w:rFonts w:ascii="Times New Roman" w:hAnsi="Times New Roman"/>
          <w:noProof/>
          <w:sz w:val="24"/>
        </w:rPr>
        <w:t>Uvođenje učinkovitijeg institucionalnog i programskog okvira za programe financiranja istraživanja i razvoja.</w:t>
      </w:r>
    </w:p>
    <w:p w14:paraId="147D385C" w14:textId="77777777" w:rsidR="009872B9" w:rsidRPr="009872B9" w:rsidRDefault="009872B9" w:rsidP="009872B9">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Komponentom se podržava ispunjenje preporuke za Hrvatsku o usmjeravanju ulagačke politike na istraživanje i inovacije (3. preporuka za Hrvatsku iz 2019.).</w:t>
      </w:r>
    </w:p>
    <w:p w14:paraId="22E7CC35" w14:textId="77777777" w:rsidR="009872B9" w:rsidRPr="00BC0323" w:rsidRDefault="009872B9" w:rsidP="009872B9">
      <w:pPr>
        <w:tabs>
          <w:tab w:val="left" w:pos="426"/>
        </w:tabs>
        <w:spacing w:before="120" w:after="120" w:line="240" w:lineRule="auto"/>
        <w:jc w:val="both"/>
        <w:rPr>
          <w:rFonts w:ascii="Times New Roman" w:eastAsia="Times New Roman" w:hAnsi="Times New Roman" w:cs="Times New Roman"/>
          <w:bCs/>
          <w:noProof/>
          <w:sz w:val="24"/>
          <w:szCs w:val="24"/>
        </w:rPr>
      </w:pPr>
    </w:p>
    <w:p w14:paraId="3191DC3B" w14:textId="77777777" w:rsidR="009872B9" w:rsidRPr="009872B9" w:rsidRDefault="009872B9" w:rsidP="009872B9">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Q.1. </w:t>
      </w:r>
      <w:r>
        <w:rPr>
          <w:rFonts w:ascii="Times New Roman" w:hAnsi="Times New Roman"/>
          <w:b/>
          <w:noProof/>
          <w:sz w:val="24"/>
          <w:u w:val="single"/>
        </w:rPr>
        <w:tab/>
        <w:t>Opis reformi i ulaganja za programe bespovratne financijske potpore</w:t>
      </w:r>
    </w:p>
    <w:p w14:paraId="43BA8825" w14:textId="77777777" w:rsidR="009872B9" w:rsidRPr="009872B9" w:rsidRDefault="009872B9" w:rsidP="009872B9">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C3.2. R1 – Reforma i jačanje kapaciteta javnog znanstveno-istraživačkog sektora za istraživanje i razvoj</w:t>
      </w:r>
    </w:p>
    <w:p w14:paraId="6605BC92"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reorganizacijom javnog istraživačkog sektora povećati kvalitetu i međunarodnu vidljivost javnog istraživačkog sektora, ojačati ciljano istraživanje i utjecaja znanosti na daljnji razvoj inovacija, gospodarstva i društva. Reforma uključuje sljedeće mjere:</w:t>
      </w:r>
    </w:p>
    <w:p w14:paraId="052011AC"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donošenje novog modela programskih sporazuma za financiranje javnog znanstveno-istraživačkog sustava, </w:t>
      </w:r>
    </w:p>
    <w:p w14:paraId="3A52A4CA"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povećanje proračuna znanstvenih ustanova radi utjecajnijih istraživanja, </w:t>
      </w:r>
    </w:p>
    <w:p w14:paraId="0F88A0CB"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smanjenje rascjepkanosti znanstveno-istraživačkog sustava integracijom znanstveno-istraživačkih institucija s ciljem učinkovitije organizacije rada sveučilišta i istraživačkih instituta,</w:t>
      </w:r>
    </w:p>
    <w:p w14:paraId="078D4332"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poboljšanje kvalitete znanstveno-istraživačkog rada poticanjem prelaska na sustav financiranja prema rezultatima.</w:t>
      </w:r>
    </w:p>
    <w:p w14:paraId="51579886"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Provedba reforme uključuje donošenje novog Zakon o znanstvenoj djelatnosti i visokom obrazovanju čime će se pružiti pravni i financijski okvir za organizacijsku i funkcionalnu integraciju sveučilišta i znanstvenih instituta te dijalog o institucijskim ciljevima i novi okvir financiranja temeljenog na rezultatima. Očekuje se da će novi pravni i financijski okvir dovesti do utjecajnijih publikacija, većeg broja konkurentnih projekata, jače međunarodne suradnje i većeg broja projekata u suradnji s poduzećima.</w:t>
      </w:r>
    </w:p>
    <w:p w14:paraId="288331D6"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Reforma će biti dovršena do 30. rujna 2022. </w:t>
      </w:r>
    </w:p>
    <w:p w14:paraId="4C1B9A76" w14:textId="77777777" w:rsidR="009872B9" w:rsidRPr="009872B9" w:rsidRDefault="009872B9" w:rsidP="009872B9">
      <w:pPr>
        <w:keepNext/>
        <w:numPr>
          <w:ilvl w:val="2"/>
          <w:numId w:val="0"/>
        </w:numPr>
        <w:spacing w:before="240" w:after="0"/>
        <w:ind w:left="851"/>
        <w:jc w:val="both"/>
        <w:outlineLvl w:val="2"/>
        <w:rPr>
          <w:rFonts w:ascii="Times New Roman" w:eastAsia="SimSun" w:hAnsi="Times New Roman" w:cs="Times New Roman"/>
          <w:bCs/>
          <w:noProof/>
          <w:sz w:val="24"/>
          <w:u w:val="single"/>
        </w:rPr>
      </w:pPr>
      <w:r>
        <w:rPr>
          <w:rFonts w:ascii="Times New Roman" w:hAnsi="Times New Roman"/>
          <w:noProof/>
          <w:sz w:val="24"/>
          <w:u w:val="single"/>
        </w:rPr>
        <w:t>Ulaganje C3.2. R1-I1 – Razvoj sustava programskih sporazuma za financiranje sveučilišta i znanstvenih instituta usmjerenih na inovacije, istraživanje i razvoj</w:t>
      </w:r>
    </w:p>
    <w:p w14:paraId="5A0171CA"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unaprijediti sustav financiranja znanstvenog rada sveučilišta i znanstvenih instituta s ciljem postizanja veće kvalitete i veće usmjerenosti istraživačkih rezultata na razvoj gospodarstva i društva. </w:t>
      </w:r>
    </w:p>
    <w:p w14:paraId="047732D2"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Ulaganje uključuje nabavu savjetodavnih usluga vanjskih stručnjaka za pripremu prijedloga novog okvira programskih sporazuma, uspostavljenog između Ministarstva znanosti, sveučilišta i istraživačkih ustanova, kojim se omogućava tranzicija na financiranje sveučilišta i istraživačkih ustanova na temelju rezultata te pregovaranje s dionicima. To uključuje analize postojećeg okvira, pregled stanja u drugim zemljama, prijedloge za izradu programskih sporazuma i komunikaciju o njihovom korištenju te pripremu zakonskih izmjena i projektno-tehničke dokumentacije. </w:t>
      </w:r>
    </w:p>
    <w:p w14:paraId="6BE54CFF"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Pokrenut će se program potpore kako bi se osigurala institucionalna sredstva za sveučilišta i istraživačke institute koji su potpisali programske sporazume koji omogućuju učinkovitiju uporabu resursa i veću uspješnost istraživanja. U okviru reforme provest će se dva ciklusa financiranja programskih sporazuma, što će biti popraćeno novim sustavom praćenja na temelju godišnjeg okvira uspješnosti. Programski sporazumi i dalje financirat će se iz nacionalnog proračuna i nakon 2026. jer će novi model financiranja dugoročno omogućiti velike uštede.</w:t>
      </w:r>
    </w:p>
    <w:p w14:paraId="56C7C101"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Kako bi se osigurala usklađenost mjere s Tehničkim smjernicama za primjenu načela nenanošenja bitne štete (2021/C58/01), iz kriterija prihvatljivosti navedenih u opisu poslova budućih poziva na podnošenje projekata bit će isključene sljedeće aktivnosti: i. aktivnosti koje se odnose na fosilna goriva, uključujući daljnju upotrebu</w:t>
      </w:r>
      <w:r w:rsidRPr="009872B9">
        <w:rPr>
          <w:rFonts w:ascii="Times New Roman" w:eastAsia="Calibri" w:hAnsi="Times New Roman" w:cs="Times New Roman"/>
          <w:noProof/>
          <w:sz w:val="24"/>
          <w:lang w:val="en-GB"/>
        </w:rPr>
        <w:footnoteReference w:id="20"/>
      </w:r>
      <w:r>
        <w:rPr>
          <w:rFonts w:ascii="Times New Roman" w:hAnsi="Times New Roman"/>
          <w:noProof/>
          <w:sz w:val="24"/>
        </w:rPr>
        <w:t>; ii. aktivnosti u okviru EU-ova sustava za trgovanje emisijama (ETS) kojima se postižu predviđene emisije stakleničkih plinova koje nisu znatno niže od relevantnih referentnih vrijednosti</w:t>
      </w:r>
      <w:r w:rsidRPr="009872B9">
        <w:rPr>
          <w:rFonts w:ascii="Times New Roman" w:eastAsia="Calibri" w:hAnsi="Times New Roman" w:cs="Times New Roman"/>
          <w:noProof/>
          <w:sz w:val="24"/>
          <w:vertAlign w:val="superscript"/>
          <w:lang w:val="en-GB"/>
        </w:rPr>
        <w:footnoteReference w:id="21"/>
      </w:r>
      <w:r>
        <w:rPr>
          <w:rFonts w:ascii="Times New Roman" w:hAnsi="Times New Roman"/>
          <w:noProof/>
          <w:sz w:val="24"/>
        </w:rPr>
        <w:t>; iii. aktivnosti povezane s odlaganjem otpada na odlagališta otpada, spalionice</w:t>
      </w:r>
      <w:r w:rsidRPr="009872B9">
        <w:rPr>
          <w:rFonts w:ascii="Times New Roman" w:eastAsia="Calibri" w:hAnsi="Times New Roman" w:cs="Times New Roman"/>
          <w:noProof/>
          <w:sz w:val="24"/>
          <w:vertAlign w:val="superscript"/>
          <w:lang w:val="en-GB"/>
        </w:rPr>
        <w:footnoteReference w:id="22"/>
      </w:r>
      <w:r>
        <w:rPr>
          <w:rFonts w:ascii="Times New Roman" w:hAnsi="Times New Roman"/>
          <w:noProof/>
          <w:sz w:val="24"/>
        </w:rPr>
        <w:t xml:space="preserve"> i postrojenja za mehaničku biološku obradu</w:t>
      </w:r>
      <w:r w:rsidRPr="009872B9">
        <w:rPr>
          <w:rFonts w:ascii="Times New Roman" w:eastAsia="Calibri" w:hAnsi="Times New Roman" w:cs="Times New Roman"/>
          <w:noProof/>
          <w:sz w:val="24"/>
          <w:vertAlign w:val="superscript"/>
          <w:lang w:val="en-GB"/>
        </w:rPr>
        <w:footnoteReference w:id="23"/>
      </w:r>
      <w:r>
        <w:rPr>
          <w:rFonts w:ascii="Times New Roman" w:hAnsi="Times New Roman"/>
          <w:noProof/>
          <w:sz w:val="24"/>
        </w:rPr>
        <w:t>; i iv. aktivnosti kod kojih dugotrajno odlaganje otpada može naštetiti okolišu. U opisu poslova dodatno će se tražiti da se mogu odabrati samo one aktivnosti koje su u skladu s relevantnim EU-ovim i nacionalnim propisima o okolišu</w:t>
      </w:r>
    </w:p>
    <w:p w14:paraId="484432A2"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Ulaganje će biti dovršeno do 30. lipnja 2025. </w:t>
      </w:r>
    </w:p>
    <w:p w14:paraId="7B574092" w14:textId="77777777" w:rsidR="009872B9" w:rsidRPr="009872B9" w:rsidRDefault="009872B9" w:rsidP="009872B9">
      <w:pPr>
        <w:keepNext/>
        <w:numPr>
          <w:ilvl w:val="2"/>
          <w:numId w:val="0"/>
        </w:numPr>
        <w:spacing w:before="240" w:after="0"/>
        <w:ind w:left="851"/>
        <w:jc w:val="both"/>
        <w:outlineLvl w:val="2"/>
        <w:rPr>
          <w:rFonts w:ascii="Times New Roman" w:eastAsia="SimSun" w:hAnsi="Times New Roman" w:cs="Times New Roman"/>
          <w:bCs/>
          <w:noProof/>
          <w:sz w:val="24"/>
          <w:u w:val="single"/>
        </w:rPr>
      </w:pPr>
      <w:r>
        <w:rPr>
          <w:rFonts w:ascii="Times New Roman" w:hAnsi="Times New Roman"/>
          <w:noProof/>
          <w:sz w:val="24"/>
          <w:u w:val="single"/>
        </w:rPr>
        <w:t>Ulaganje C3.2. R1-I2 – Jačanje institucionalnih kapaciteta sveučilišta i znanstvenih instituta za inovacije</w:t>
      </w:r>
    </w:p>
    <w:p w14:paraId="5D552B6E"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smanjiti rascjepkanost znanstvenog sustava izgradnjom infrastrukture kako bi se omogućila konsolidacija sveučilišta i znanstvenih ustanova. Sredstva za znanstveno-istraživačku infrastrukturu dodijelit će se samo onim ustanovama koje uvedu nove programske sporazume, kako je navedeno u ulaganju C3.2 R1-I1. </w:t>
      </w:r>
    </w:p>
    <w:p w14:paraId="277007AF"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31. prosinca 2025.</w:t>
      </w:r>
    </w:p>
    <w:p w14:paraId="0FE38D8F" w14:textId="77777777" w:rsidR="009872B9" w:rsidRPr="009872B9" w:rsidRDefault="009872B9" w:rsidP="009872B9">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Reforma C3.2. R2 – Stvaranje okvira za privlačenje studenata i istraživača u područjima STEM-a i IKT-a</w:t>
      </w:r>
    </w:p>
    <w:p w14:paraId="27BA5748"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uvesti novi poticajni okvir za napredovanje i razvoj karijere istraživača u područjima STEM-a i IKT-a radi povećanja broja i kvalitete istraživača i stručnjaka u znanstvenom i poslovnom sektoru te potencijala za inovacije. Očekuje se da će reforma dugoročno omogućiti „prelijevanje” ljudskog kapitala iz znanstvenih institucija u gospodarstvo kroz prijenos specijaliziranih znanja, naprednih tehnologija, suradnju akademskog i poslovnog sektora putem tehnoloških platformi i razvoj visokotehnoloških </w:t>
      </w:r>
      <w:r>
        <w:rPr>
          <w:rFonts w:ascii="Times New Roman" w:hAnsi="Times New Roman"/>
          <w:i/>
          <w:noProof/>
          <w:sz w:val="24"/>
        </w:rPr>
        <w:t>start-up</w:t>
      </w:r>
      <w:r>
        <w:rPr>
          <w:rFonts w:ascii="Times New Roman" w:hAnsi="Times New Roman"/>
          <w:noProof/>
          <w:sz w:val="24"/>
        </w:rPr>
        <w:t xml:space="preserve"> i </w:t>
      </w:r>
      <w:r>
        <w:rPr>
          <w:rFonts w:ascii="Times New Roman" w:hAnsi="Times New Roman"/>
          <w:i/>
          <w:noProof/>
          <w:sz w:val="24"/>
        </w:rPr>
        <w:t>spin-off</w:t>
      </w:r>
      <w:r>
        <w:rPr>
          <w:rFonts w:ascii="Times New Roman" w:hAnsi="Times New Roman"/>
          <w:noProof/>
          <w:sz w:val="24"/>
        </w:rPr>
        <w:t xml:space="preserve"> poduzeća te otvorene istraživačko-tehnološke infrastrukture.</w:t>
      </w:r>
    </w:p>
    <w:p w14:paraId="32B31EB4"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Povećat će se privlačnost znanstvenih karijera primjenom jasne, transparentne i na zaslugama utemeljene politike zapošljavanja u ključnim područjima znanstvenog istraživanja. Znanstvena karijera u područjima STEM-a i IKT-a promovirat će se od najranije razine obrazovanja. Izmijenit će se zakonodavni okvir radi rješavanja nekonkurentnog, administrativno opterećenog sustava zapošljavanja i napredovanja u znanstveno-istraživačkom sustavu Hrvatske. </w:t>
      </w:r>
    </w:p>
    <w:p w14:paraId="1CADA60D"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Reforma će biti dovršena do 30. rujna 2022. </w:t>
      </w:r>
    </w:p>
    <w:p w14:paraId="4CC7FF36" w14:textId="77777777" w:rsidR="009872B9" w:rsidRPr="009872B9" w:rsidRDefault="009872B9" w:rsidP="009872B9">
      <w:pPr>
        <w:keepNext/>
        <w:numPr>
          <w:ilvl w:val="2"/>
          <w:numId w:val="0"/>
        </w:numPr>
        <w:spacing w:before="240" w:after="0"/>
        <w:ind w:left="851"/>
        <w:jc w:val="both"/>
        <w:outlineLvl w:val="2"/>
        <w:rPr>
          <w:rFonts w:ascii="Times New Roman" w:eastAsia="SimSun" w:hAnsi="Times New Roman" w:cs="Times New Roman"/>
          <w:bCs/>
          <w:noProof/>
          <w:sz w:val="24"/>
          <w:u w:val="single"/>
        </w:rPr>
      </w:pPr>
      <w:r>
        <w:rPr>
          <w:rFonts w:ascii="Times New Roman" w:hAnsi="Times New Roman"/>
          <w:noProof/>
          <w:sz w:val="24"/>
          <w:u w:val="single"/>
        </w:rPr>
        <w:t>Ulaganje C3.2. R2-I1 – Razvoj poticajnog modela za napredovanje u karijeri istraživača te provođenje vrhunskih znanstvenih istraživanja u područjima STEM-a i IKT-a</w:t>
      </w:r>
    </w:p>
    <w:p w14:paraId="2F96A731"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razviti i uvesti nov poticajni okvir i sustav poticaja za razvoj karijera istraživača. Ulaganje uključuje:</w:t>
      </w:r>
    </w:p>
    <w:p w14:paraId="4198BDD8"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uspostavu novog okvira za financiranje istraživačkih programa za podržavanje napredovanja i razvoja karijere istraživača, na temelju detaljne analize i preporuka stručne studije. Okvir će biti usmjeren na nagrađivanje izvrsnosti istraživanja, suradnju s industrijom i međunarodnu suradnju, </w:t>
      </w:r>
    </w:p>
    <w:p w14:paraId="1BB7E668"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provedbu novog okvira financiranja istraživačkih programa radi jačanja, privlačenja i zadržavanja ljudskih kapaciteta, jačanja vještina za područja STEM-a i IKT-a, poticanja mobilnosti prema međunarodnim ustanovama i industriji i iz njih, poticanja novoosnovanih poduzeća, uspostave samostalnih istraživačkih karijera znanstvenika u međunarodno konkurentnim i ciljanim istraživanjima na visokim razinama tehnološke spremnosti. Okvir uključuje bespovratna sredstva za: i. dodjelu stipendija za STEM i IKT; ii. program mladih istraživača; iii. program uspostave samostalne karijere; iv. program mobilnosti; v. start-up/spin off poduzeća mladih istraživača; i vi. program stažiranja u gospodarstvu.</w:t>
      </w:r>
    </w:p>
    <w:p w14:paraId="790EDC93"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Održivost programa financiranja nakon 2026. osigurat će se sredstvima iz državnog proračuna, zahvaljujući očekivanim uštedama od provedbe programskih sporazuma za sveučilišta i institute te očekivanim povećanjem bespovratnih sredstava za istraživanja koja se znanstvenoj zajednici dodjeljuju iz fondova EU-a. </w:t>
      </w:r>
    </w:p>
    <w:p w14:paraId="4A30E777" w14:textId="77777777" w:rsidR="009872B9" w:rsidRPr="009872B9" w:rsidRDefault="009872B9" w:rsidP="009872B9">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Kako bi se osigurala usklađenost mjere s Tehničkim smjernicama za primjenu načela nenanošenja bitne štete (2021/C58/01), iz kriterija prihvatljivosti navedenih u opisu poslova budućih poziva na podnošenje projekata bit će isključene sljedeće aktivnosti: i. aktivnosti koje se odnose na fosilna goriva, uključujući daljnju upotrebu</w:t>
      </w:r>
      <w:r w:rsidRPr="009872B9">
        <w:rPr>
          <w:rFonts w:ascii="Times New Roman" w:eastAsia="Calibri" w:hAnsi="Times New Roman" w:cs="Times New Roman"/>
          <w:noProof/>
          <w:sz w:val="24"/>
          <w:vertAlign w:val="superscript"/>
          <w:lang w:val="en-IE"/>
        </w:rPr>
        <w:footnoteReference w:id="24"/>
      </w:r>
      <w:r>
        <w:rPr>
          <w:rFonts w:ascii="Times New Roman" w:hAnsi="Times New Roman"/>
          <w:noProof/>
          <w:sz w:val="24"/>
        </w:rPr>
        <w:t>; ii. aktivnosti u okviru EU-ova sustava za trgovanje emisijama (ETS) kojima se postižu predviđene emisije stakleničkih plinova koje nisu znatno niže od relevantnih referentnih vrijednosti</w:t>
      </w:r>
      <w:r w:rsidRPr="009872B9">
        <w:rPr>
          <w:rFonts w:ascii="Times New Roman" w:eastAsia="Calibri" w:hAnsi="Times New Roman" w:cs="Times New Roman"/>
          <w:noProof/>
          <w:sz w:val="24"/>
          <w:vertAlign w:val="superscript"/>
          <w:lang w:val="en-IE"/>
        </w:rPr>
        <w:footnoteReference w:id="25"/>
      </w:r>
      <w:r>
        <w:rPr>
          <w:rFonts w:ascii="Times New Roman" w:hAnsi="Times New Roman"/>
          <w:noProof/>
          <w:sz w:val="24"/>
        </w:rPr>
        <w:t>; iii. aktivnosti povezane s odlaganjem otpada na odlagališta otpada, spalionice</w:t>
      </w:r>
      <w:r w:rsidRPr="009872B9">
        <w:rPr>
          <w:rFonts w:ascii="Times New Roman" w:eastAsia="Calibri" w:hAnsi="Times New Roman" w:cs="Times New Roman"/>
          <w:noProof/>
          <w:sz w:val="24"/>
          <w:vertAlign w:val="superscript"/>
          <w:lang w:val="en-IE"/>
        </w:rPr>
        <w:footnoteReference w:id="26"/>
      </w:r>
      <w:r>
        <w:rPr>
          <w:rFonts w:ascii="Times New Roman" w:hAnsi="Times New Roman"/>
          <w:noProof/>
          <w:sz w:val="24"/>
        </w:rPr>
        <w:t xml:space="preserve"> i postrojenja za mehaničku biološku obradu</w:t>
      </w:r>
      <w:r w:rsidRPr="009872B9">
        <w:rPr>
          <w:rFonts w:ascii="Times New Roman" w:eastAsia="Calibri" w:hAnsi="Times New Roman" w:cs="Times New Roman"/>
          <w:noProof/>
          <w:sz w:val="24"/>
          <w:vertAlign w:val="superscript"/>
          <w:lang w:val="en-IE"/>
        </w:rPr>
        <w:footnoteReference w:id="27"/>
      </w:r>
      <w:r>
        <w:rPr>
          <w:rFonts w:ascii="Times New Roman" w:hAnsi="Times New Roman"/>
          <w:noProof/>
          <w:sz w:val="24"/>
        </w:rPr>
        <w:t>; i iv. aktivnosti kod kojih dugotrajno odlaganje otpada može naštetiti okolišu. U opisu poslova dodatno će se tražiti da se mogu odabrati samo one aktivnosti koje su u skladu s relevantnim EU-ovim i nacionalnim propisima o okolišu</w:t>
      </w:r>
    </w:p>
    <w:p w14:paraId="512CA801"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izvršeno do 30. ožujka 2025.</w:t>
      </w:r>
    </w:p>
    <w:p w14:paraId="39361E28" w14:textId="77777777" w:rsidR="009872B9" w:rsidRPr="009872B9" w:rsidRDefault="009872B9" w:rsidP="009872B9">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Ulaganje C3.2. R2-I2 – Ulaganje u istraživačko-tehnološku infrastrukturu u područjima STEM-a i IKT-a</w:t>
      </w:r>
    </w:p>
    <w:p w14:paraId="6C2FBEAB"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podržati proces digitalne tranzicije ulaganjima u ključne projekte tehnološke infrastrukture za primijenjena i ciljana istraživanja, omogućiti mladim istraživačima razvoj karijera u suradnji s poslovnim sektorom te iskusnim istraživačima platforme za suradnju na inovacijskim aktivnostima.</w:t>
      </w:r>
    </w:p>
    <w:p w14:paraId="7EB293AA"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 okviru ove mjere uspostavit će se i opremiti znanstveno-tehnološka i inovacijska infrastruktura od strateške važnosti i velikog istraživačkog potencijala za područja STEM-a i IKT-a, čime će se ojačati ljudski kapacitet za vrhunska znanstvena istraživanja i suradnju s poslovnim sektorom. Infrastruktura će se temeljiti na načelima otvorenih inovacija i izravno poticati područja čistih tehnologija i zelenu i digitalnu tranziciju.</w:t>
      </w:r>
    </w:p>
    <w:p w14:paraId="23D7D02E"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će biti dovršeno do 30. lipnja 2026.</w:t>
      </w:r>
    </w:p>
    <w:p w14:paraId="295A2C16" w14:textId="77777777" w:rsidR="009872B9" w:rsidRPr="009872B9" w:rsidRDefault="009872B9" w:rsidP="009872B9">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 xml:space="preserve">Reforma C3.2. R3 – Poboljšanje učinkovitosti javnih ulaganja u području istraživanja, razvoja i inovacija </w:t>
      </w:r>
    </w:p>
    <w:p w14:paraId="035A0463"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primijeniti funkcionalniji i učinkovitiji model upravljanja za konkurentno istraživanje i uvođenje programa razvoja i inovacija kojima će se omogućiti brži postupak odabira projekata temeljem zasluga. </w:t>
      </w:r>
    </w:p>
    <w:p w14:paraId="2F670CE1"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uključuje donošenje novog Zakona o Hrvatskoj zakladi za znanost radi jačanja kapaciteta Hrvatske zaklade za znanost i smanjenja broja ustanova trenutno uključenih u upravljanje i provedbu programa financiranja istraživanja i inovacija. Novim pravnim okvirom omogućit će se transformacija i jačanje kapaciteta Zaklade u tijelo koje će, uz jasno dogovorene i definirane nadležnosti u okviru međuinstitucionalne koordinacije unutar Nacionalnog inovacijskog vijeća, omogućiti pojednostavnjen i sustavan pristup politici upravljanja projektnim financiranjem.</w:t>
      </w:r>
    </w:p>
    <w:p w14:paraId="1F65CF15"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Reforma će biti dovršena do 30. rujna 2022. </w:t>
      </w:r>
    </w:p>
    <w:p w14:paraId="1FC62D13" w14:textId="77777777" w:rsidR="009872B9" w:rsidRPr="009872B9" w:rsidRDefault="009872B9" w:rsidP="009872B9">
      <w:pPr>
        <w:keepNext/>
        <w:numPr>
          <w:ilvl w:val="2"/>
          <w:numId w:val="0"/>
        </w:numPr>
        <w:spacing w:before="240" w:after="0"/>
        <w:ind w:left="851"/>
        <w:jc w:val="both"/>
        <w:outlineLvl w:val="2"/>
        <w:rPr>
          <w:rFonts w:ascii="Times New Roman" w:eastAsia="SimSun" w:hAnsi="Times New Roman" w:cs="Times New Roman"/>
          <w:noProof/>
          <w:sz w:val="24"/>
          <w:u w:val="single"/>
        </w:rPr>
      </w:pPr>
      <w:r>
        <w:rPr>
          <w:rFonts w:ascii="Times New Roman" w:hAnsi="Times New Roman"/>
          <w:noProof/>
          <w:sz w:val="24"/>
          <w:u w:val="single"/>
        </w:rPr>
        <w:t>Ulaganje C3.2. R3-I1 – Uvođenje funkcionalnijeg programskog okvira projektnog financiranja istraživanja, razvoja i inovacija</w:t>
      </w:r>
    </w:p>
    <w:p w14:paraId="10BC0095"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ove mjere poboljšati postojeći sustav financiranja istraživanja, razvoja i inovacija i podupirati razvoj vrhunskih istraživanja i proizvoda. Ulaganje uključuje:</w:t>
      </w:r>
    </w:p>
    <w:p w14:paraId="176EFCF8"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uspostavu novog okvira za provedbu politika u području istraživanja, razvoja i inovacija osmišljavanjem novih programa financiranja za potporu istraživanju i razvoju te poboljšanjem kapaciteta Hrvatske zaklade za znanost, na temelju detaljnih analiza i studija vanjskih stručnjaka,</w:t>
      </w:r>
    </w:p>
    <w:p w14:paraId="17EB6959" w14:textId="77777777" w:rsidR="009872B9" w:rsidRPr="009872B9" w:rsidRDefault="009872B9" w:rsidP="009872B9">
      <w:pPr>
        <w:numPr>
          <w:ilvl w:val="0"/>
          <w:numId w:val="24"/>
        </w:numPr>
        <w:tabs>
          <w:tab w:val="left" w:pos="426"/>
        </w:tabs>
        <w:spacing w:after="20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provedbu programa financiranja (istraživačko-inovacijski projekti) u sklopu novog okvira, u pilot-fazi s dugoročnim ciljem uvođenja novog načina razmišljanja u planiranje i provedbu politika i programa u području istraživanja, razvoja i inovacija, bez obzira na izvor financiranja. </w:t>
      </w:r>
    </w:p>
    <w:p w14:paraId="3D353819"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Održivost novog programskog okvira nakon 2026. osigurat će se sredstvima iz državnog proračuna, uzimajući u obzir i komplementarnost s programima financiranima iz ESIF-a.</w:t>
      </w:r>
    </w:p>
    <w:p w14:paraId="3DB5FCD6"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Kako bi se osigurala usklađenost mjere s Tehničkim smjernicama za primjenu načela nenanošenja bitne štete (2021/C58/01), iz kriterija prihvatljivosti navedenih u opisu poslova budućih poziva na podnošenje projekata bit će isključene sljedeće aktivnosti: i. aktivnosti koje se odnose na fosilna goriva, uključujući daljnju upotrebu</w:t>
      </w:r>
      <w:r w:rsidRPr="009872B9">
        <w:rPr>
          <w:rFonts w:ascii="Times New Roman" w:eastAsia="Calibri" w:hAnsi="Times New Roman" w:cs="Times New Roman"/>
          <w:noProof/>
          <w:sz w:val="24"/>
          <w:lang w:val="en-GB"/>
        </w:rPr>
        <w:footnoteReference w:id="28"/>
      </w:r>
      <w:r>
        <w:rPr>
          <w:rFonts w:ascii="Times New Roman" w:hAnsi="Times New Roman"/>
          <w:noProof/>
          <w:sz w:val="24"/>
        </w:rPr>
        <w:t>; ii. aktivnosti u okviru EU-ova sustava za trgovanje emisijama (ETS) kojima se postižu predviđene emisije stakleničkih plinova koje nisu znatno niže od relevantnih referentnih vrijednosti</w:t>
      </w:r>
      <w:r w:rsidRPr="009872B9">
        <w:rPr>
          <w:rFonts w:ascii="Times New Roman" w:eastAsia="Calibri" w:hAnsi="Times New Roman" w:cs="Times New Roman"/>
          <w:noProof/>
          <w:sz w:val="24"/>
          <w:lang w:val="en-GB"/>
        </w:rPr>
        <w:footnoteReference w:id="29"/>
      </w:r>
      <w:r>
        <w:rPr>
          <w:rFonts w:ascii="Times New Roman" w:hAnsi="Times New Roman"/>
          <w:noProof/>
          <w:sz w:val="24"/>
        </w:rPr>
        <w:t>; iii. aktivnosti povezane s odlaganjem otpada na odlagališta otpada, spalionice</w:t>
      </w:r>
      <w:r w:rsidRPr="009872B9">
        <w:rPr>
          <w:rFonts w:ascii="Times New Roman" w:eastAsia="Calibri" w:hAnsi="Times New Roman" w:cs="Times New Roman"/>
          <w:noProof/>
          <w:sz w:val="24"/>
          <w:lang w:val="en-GB"/>
        </w:rPr>
        <w:footnoteReference w:id="30"/>
      </w:r>
      <w:r>
        <w:rPr>
          <w:rFonts w:ascii="Times New Roman" w:hAnsi="Times New Roman"/>
          <w:noProof/>
          <w:sz w:val="24"/>
        </w:rPr>
        <w:t xml:space="preserve"> i postrojenja za mehaničku biološku obradu</w:t>
      </w:r>
      <w:r w:rsidRPr="009872B9">
        <w:rPr>
          <w:rFonts w:ascii="Times New Roman" w:eastAsia="Calibri" w:hAnsi="Times New Roman" w:cs="Times New Roman"/>
          <w:noProof/>
          <w:sz w:val="24"/>
          <w:lang w:val="en-GB"/>
        </w:rPr>
        <w:footnoteReference w:id="31"/>
      </w:r>
      <w:r>
        <w:rPr>
          <w:rFonts w:ascii="Times New Roman" w:hAnsi="Times New Roman"/>
          <w:noProof/>
          <w:sz w:val="24"/>
        </w:rPr>
        <w:t>; i iv. aktivnosti kod kojih dugotrajno odlaganje otpada može naštetiti okolišu. U opisu poslova dodatno će se tražiti da se mogu odabrati samo one aktivnosti koje su u skladu s relevantnim EU-ovim i nacionalnim propisima o okolišu</w:t>
      </w:r>
    </w:p>
    <w:p w14:paraId="09B16AD9" w14:textId="77777777" w:rsidR="009872B9" w:rsidRPr="009872B9" w:rsidRDefault="009872B9" w:rsidP="009872B9">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Ulaganje će biti dovršeno do 31. prosinca 2025. </w:t>
      </w:r>
    </w:p>
    <w:p w14:paraId="461AEA3C" w14:textId="05758A95" w:rsidR="009872B9" w:rsidRDefault="009872B9" w:rsidP="009872B9">
      <w:pPr>
        <w:spacing w:before="120" w:after="120" w:line="240" w:lineRule="auto"/>
        <w:jc w:val="both"/>
        <w:rPr>
          <w:rFonts w:ascii="Times New Roman" w:eastAsia="Calibri" w:hAnsi="Times New Roman" w:cs="Times New Roman"/>
          <w:noProof/>
          <w:sz w:val="24"/>
          <w:lang w:val="en-GB"/>
        </w:rPr>
        <w:sectPr w:rsidR="009872B9" w:rsidSect="00BD1A7F">
          <w:headerReference w:type="even" r:id="rId294"/>
          <w:headerReference w:type="default" r:id="rId295"/>
          <w:footerReference w:type="even" r:id="rId296"/>
          <w:footerReference w:type="default" r:id="rId297"/>
          <w:headerReference w:type="first" r:id="rId298"/>
          <w:footerReference w:type="first" r:id="rId299"/>
          <w:pgSz w:w="12240" w:h="15840"/>
          <w:pgMar w:top="1440" w:right="1440" w:bottom="1440" w:left="1440" w:header="708" w:footer="708" w:gutter="0"/>
          <w:cols w:space="708"/>
          <w:docGrid w:linePitch="360"/>
        </w:sectPr>
      </w:pPr>
    </w:p>
    <w:p w14:paraId="6951F241" w14:textId="77777777" w:rsidR="009872B9" w:rsidRDefault="009872B9" w:rsidP="00C845C4">
      <w:pPr>
        <w:keepNext/>
        <w:pageBreakBefore/>
        <w:tabs>
          <w:tab w:val="num" w:pos="850"/>
        </w:tabs>
        <w:spacing w:before="40" w:after="0"/>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u w:val="single"/>
        </w:rPr>
        <w:t xml:space="preserve">Q.2. </w:t>
      </w:r>
      <w:r>
        <w:rPr>
          <w:rFonts w:ascii="Times New Roman" w:hAnsi="Times New Roman"/>
          <w:b/>
          <w:noProof/>
          <w:sz w:val="24"/>
          <w:u w:val="single"/>
        </w:rPr>
        <w:tab/>
        <w:t>Ključne etape, ciljne vrijednosti, pokazatelji i vremenski raspored za praćenje i provedbu programa bespovratne financijske potpore</w:t>
      </w:r>
    </w:p>
    <w:p w14:paraId="07C79ED4" w14:textId="77777777" w:rsidR="009872B9" w:rsidRDefault="009872B9" w:rsidP="009872B9">
      <w:pPr>
        <w:keepNext/>
        <w:tabs>
          <w:tab w:val="num" w:pos="850"/>
        </w:tabs>
        <w:spacing w:before="40" w:after="0"/>
        <w:ind w:left="851"/>
        <w:jc w:val="both"/>
        <w:outlineLvl w:val="1"/>
        <w:rPr>
          <w:rFonts w:ascii="Times New Roman" w:eastAsiaTheme="minorEastAsia" w:hAnsi="Times New Roman" w:cs="Times New Roman"/>
          <w:b/>
          <w:noProof/>
          <w:sz w:val="24"/>
          <w:szCs w:val="24"/>
          <w:u w:val="single"/>
        </w:rPr>
      </w:pPr>
    </w:p>
    <w:tbl>
      <w:tblPr>
        <w:tblW w:w="14844" w:type="dxa"/>
        <w:jc w:val="center"/>
        <w:tblCellMar>
          <w:top w:w="28" w:type="dxa"/>
          <w:left w:w="28" w:type="dxa"/>
          <w:bottom w:w="28" w:type="dxa"/>
          <w:right w:w="28" w:type="dxa"/>
        </w:tblCellMar>
        <w:tblLook w:val="04A0" w:firstRow="1" w:lastRow="0" w:firstColumn="1" w:lastColumn="0" w:noHBand="0" w:noVBand="1"/>
      </w:tblPr>
      <w:tblGrid>
        <w:gridCol w:w="737"/>
        <w:gridCol w:w="850"/>
        <w:gridCol w:w="871"/>
        <w:gridCol w:w="1979"/>
        <w:gridCol w:w="1957"/>
        <w:gridCol w:w="1096"/>
        <w:gridCol w:w="836"/>
        <w:gridCol w:w="970"/>
        <w:gridCol w:w="613"/>
        <w:gridCol w:w="992"/>
        <w:gridCol w:w="3979"/>
      </w:tblGrid>
      <w:tr w:rsidR="009872B9" w14:paraId="52F284AD" w14:textId="77777777" w:rsidTr="00E25E44">
        <w:trPr>
          <w:trHeight w:val="494"/>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024DE1F"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Broj</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169FA17"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9AC325B"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Ključna etapa / ciljna vrijednost</w:t>
            </w:r>
          </w:p>
        </w:tc>
        <w:tc>
          <w:tcPr>
            <w:tcW w:w="1979"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2E14730C"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Naziv</w:t>
            </w:r>
          </w:p>
        </w:tc>
        <w:tc>
          <w:tcPr>
            <w:tcW w:w="195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18E70B8"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887" w:type="dxa"/>
            <w:gridSpan w:val="3"/>
            <w:tcBorders>
              <w:top w:val="single" w:sz="4" w:space="0" w:color="auto"/>
              <w:left w:val="nil"/>
              <w:bottom w:val="single" w:sz="4" w:space="0" w:color="auto"/>
              <w:right w:val="single" w:sz="4" w:space="0" w:color="auto"/>
            </w:tcBorders>
            <w:shd w:val="clear" w:color="auto" w:fill="BDD7EE"/>
            <w:vAlign w:val="center"/>
            <w:hideMark/>
          </w:tcPr>
          <w:p w14:paraId="3087291F"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605" w:type="dxa"/>
            <w:gridSpan w:val="2"/>
            <w:tcBorders>
              <w:top w:val="single" w:sz="4" w:space="0" w:color="auto"/>
              <w:left w:val="nil"/>
              <w:bottom w:val="single" w:sz="4" w:space="0" w:color="auto"/>
              <w:right w:val="single" w:sz="4" w:space="0" w:color="auto"/>
            </w:tcBorders>
            <w:shd w:val="clear" w:color="auto" w:fill="BDD7EE"/>
            <w:vAlign w:val="center"/>
            <w:hideMark/>
          </w:tcPr>
          <w:p w14:paraId="4C4161C7"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Vrijeme</w:t>
            </w:r>
          </w:p>
        </w:tc>
        <w:tc>
          <w:tcPr>
            <w:tcW w:w="397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50EF21"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Opis svake ključne etape i ciljne vrijednosti</w:t>
            </w:r>
          </w:p>
        </w:tc>
      </w:tr>
      <w:tr w:rsidR="009872B9" w14:paraId="014A7404" w14:textId="77777777" w:rsidTr="00E25E44">
        <w:trPr>
          <w:trHeight w:val="502"/>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14:paraId="3CD8C9D3" w14:textId="77777777" w:rsidR="009872B9" w:rsidRDefault="009872B9" w:rsidP="0001477B">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14:paraId="63C3807D" w14:textId="77777777" w:rsidR="009872B9" w:rsidRDefault="009872B9" w:rsidP="0001477B">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14:paraId="5E251745" w14:textId="77777777" w:rsidR="009872B9" w:rsidRDefault="009872B9" w:rsidP="0001477B">
            <w:pPr>
              <w:spacing w:after="0"/>
              <w:jc w:val="center"/>
              <w:rPr>
                <w:rFonts w:ascii="Times New Roman" w:eastAsia="Times New Roman" w:hAnsi="Times New Roman" w:cs="Times New Roman"/>
                <w:b/>
                <w:noProof/>
                <w:lang w:eastAsia="en-GB"/>
              </w:rPr>
            </w:pPr>
          </w:p>
        </w:tc>
        <w:tc>
          <w:tcPr>
            <w:tcW w:w="1979" w:type="dxa"/>
            <w:vMerge/>
            <w:tcBorders>
              <w:top w:val="single" w:sz="4" w:space="0" w:color="auto"/>
              <w:left w:val="nil"/>
              <w:bottom w:val="single" w:sz="4" w:space="0" w:color="000000"/>
              <w:right w:val="single" w:sz="4" w:space="0" w:color="auto"/>
            </w:tcBorders>
            <w:hideMark/>
          </w:tcPr>
          <w:p w14:paraId="4FFAA66E" w14:textId="77777777" w:rsidR="009872B9" w:rsidRDefault="009872B9" w:rsidP="0001477B">
            <w:pPr>
              <w:spacing w:after="0"/>
              <w:rPr>
                <w:rFonts w:ascii="Times New Roman" w:eastAsia="Times New Roman" w:hAnsi="Times New Roman" w:cs="Times New Roman"/>
                <w:b/>
                <w:noProof/>
                <w:lang w:eastAsia="en-GB"/>
              </w:rPr>
            </w:pPr>
          </w:p>
        </w:tc>
        <w:tc>
          <w:tcPr>
            <w:tcW w:w="1957" w:type="dxa"/>
            <w:vMerge/>
            <w:tcBorders>
              <w:top w:val="single" w:sz="4" w:space="0" w:color="auto"/>
              <w:left w:val="single" w:sz="4" w:space="0" w:color="auto"/>
              <w:bottom w:val="single" w:sz="4" w:space="0" w:color="000000"/>
              <w:right w:val="single" w:sz="4" w:space="0" w:color="auto"/>
            </w:tcBorders>
            <w:hideMark/>
          </w:tcPr>
          <w:p w14:paraId="5DCFA72C" w14:textId="77777777" w:rsidR="009872B9" w:rsidRDefault="009872B9" w:rsidP="0001477B">
            <w:pPr>
              <w:spacing w:after="0"/>
              <w:rPr>
                <w:rFonts w:ascii="Times New Roman" w:eastAsia="Times New Roman" w:hAnsi="Times New Roman" w:cs="Times New Roman"/>
                <w:b/>
                <w:noProof/>
                <w:lang w:eastAsia="en-GB"/>
              </w:rPr>
            </w:pPr>
          </w:p>
        </w:tc>
        <w:tc>
          <w:tcPr>
            <w:tcW w:w="1096" w:type="dxa"/>
            <w:tcBorders>
              <w:top w:val="nil"/>
              <w:left w:val="nil"/>
              <w:bottom w:val="single" w:sz="4" w:space="0" w:color="auto"/>
              <w:right w:val="single" w:sz="4" w:space="0" w:color="auto"/>
            </w:tcBorders>
            <w:shd w:val="clear" w:color="auto" w:fill="BDD7EE"/>
            <w:vAlign w:val="center"/>
            <w:hideMark/>
          </w:tcPr>
          <w:p w14:paraId="024D1B54"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Jedinica</w:t>
            </w:r>
          </w:p>
        </w:tc>
        <w:tc>
          <w:tcPr>
            <w:tcW w:w="821" w:type="dxa"/>
            <w:tcBorders>
              <w:top w:val="nil"/>
              <w:left w:val="nil"/>
              <w:bottom w:val="single" w:sz="4" w:space="0" w:color="auto"/>
              <w:right w:val="single" w:sz="4" w:space="0" w:color="auto"/>
            </w:tcBorders>
            <w:shd w:val="clear" w:color="auto" w:fill="BDD7EE"/>
            <w:vAlign w:val="center"/>
            <w:hideMark/>
          </w:tcPr>
          <w:p w14:paraId="631E1EE9"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Osnovna vrijednost</w:t>
            </w:r>
          </w:p>
        </w:tc>
        <w:tc>
          <w:tcPr>
            <w:tcW w:w="970" w:type="dxa"/>
            <w:tcBorders>
              <w:top w:val="nil"/>
              <w:left w:val="nil"/>
              <w:bottom w:val="single" w:sz="4" w:space="0" w:color="auto"/>
              <w:right w:val="single" w:sz="4" w:space="0" w:color="auto"/>
            </w:tcBorders>
            <w:shd w:val="clear" w:color="auto" w:fill="BDD7EE"/>
            <w:vAlign w:val="center"/>
            <w:hideMark/>
          </w:tcPr>
          <w:p w14:paraId="1594AFBC"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Cilj</w:t>
            </w:r>
          </w:p>
        </w:tc>
        <w:tc>
          <w:tcPr>
            <w:tcW w:w="613" w:type="dxa"/>
            <w:tcBorders>
              <w:top w:val="nil"/>
              <w:left w:val="nil"/>
              <w:bottom w:val="single" w:sz="4" w:space="0" w:color="auto"/>
              <w:right w:val="single" w:sz="4" w:space="0" w:color="auto"/>
            </w:tcBorders>
            <w:shd w:val="clear" w:color="auto" w:fill="BDD7EE"/>
            <w:vAlign w:val="center"/>
            <w:hideMark/>
          </w:tcPr>
          <w:p w14:paraId="042676AC"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Q</w:t>
            </w:r>
          </w:p>
        </w:tc>
        <w:tc>
          <w:tcPr>
            <w:tcW w:w="992" w:type="dxa"/>
            <w:tcBorders>
              <w:top w:val="nil"/>
              <w:left w:val="nil"/>
              <w:bottom w:val="single" w:sz="4" w:space="0" w:color="auto"/>
              <w:right w:val="single" w:sz="4" w:space="0" w:color="auto"/>
            </w:tcBorders>
            <w:shd w:val="clear" w:color="auto" w:fill="BDD7EE"/>
            <w:vAlign w:val="center"/>
            <w:hideMark/>
          </w:tcPr>
          <w:p w14:paraId="52A360E0" w14:textId="77777777" w:rsidR="009872B9" w:rsidRDefault="009872B9" w:rsidP="0001477B">
            <w:pPr>
              <w:spacing w:after="0"/>
              <w:jc w:val="center"/>
              <w:rPr>
                <w:rFonts w:ascii="Times New Roman" w:eastAsia="Times New Roman" w:hAnsi="Times New Roman" w:cs="Times New Roman"/>
                <w:b/>
                <w:noProof/>
                <w:sz w:val="18"/>
                <w:szCs w:val="18"/>
              </w:rPr>
            </w:pPr>
            <w:r>
              <w:rPr>
                <w:rFonts w:ascii="Times New Roman" w:hAnsi="Times New Roman"/>
                <w:b/>
                <w:noProof/>
                <w:sz w:val="18"/>
              </w:rPr>
              <w:t>Godina</w:t>
            </w:r>
          </w:p>
        </w:tc>
        <w:tc>
          <w:tcPr>
            <w:tcW w:w="3979" w:type="dxa"/>
            <w:vMerge/>
            <w:tcBorders>
              <w:top w:val="single" w:sz="4" w:space="0" w:color="auto"/>
              <w:left w:val="single" w:sz="4" w:space="0" w:color="auto"/>
              <w:bottom w:val="single" w:sz="4" w:space="0" w:color="auto"/>
              <w:right w:val="single" w:sz="4" w:space="0" w:color="auto"/>
            </w:tcBorders>
            <w:hideMark/>
          </w:tcPr>
          <w:p w14:paraId="60C85AA6" w14:textId="77777777" w:rsidR="009872B9" w:rsidRDefault="009872B9" w:rsidP="0001477B">
            <w:pPr>
              <w:spacing w:after="0"/>
              <w:rPr>
                <w:rFonts w:ascii="Times New Roman" w:eastAsia="Times New Roman" w:hAnsi="Times New Roman" w:cs="Times New Roman"/>
                <w:b/>
                <w:noProof/>
                <w:lang w:eastAsia="en-GB"/>
              </w:rPr>
            </w:pPr>
          </w:p>
        </w:tc>
      </w:tr>
      <w:tr w:rsidR="009872B9" w14:paraId="0E9367E5"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20516B89" w14:textId="77777777" w:rsidR="009872B9" w:rsidRDefault="009872B9" w:rsidP="0001477B">
            <w:pPr>
              <w:spacing w:after="0"/>
              <w:jc w:val="center"/>
              <w:rPr>
                <w:rFonts w:ascii="Times New Roman" w:hAnsi="Times New Roman" w:cs="Times New Roman"/>
                <w:noProof/>
                <w:sz w:val="20"/>
                <w:szCs w:val="20"/>
              </w:rPr>
            </w:pPr>
            <w:r>
              <w:rPr>
                <w:noProof/>
                <w:color w:val="000000"/>
                <w:sz w:val="20"/>
              </w:rPr>
              <w:t>275</w:t>
            </w:r>
          </w:p>
        </w:tc>
        <w:tc>
          <w:tcPr>
            <w:tcW w:w="850" w:type="dxa"/>
            <w:tcBorders>
              <w:top w:val="nil"/>
              <w:left w:val="nil"/>
              <w:bottom w:val="single" w:sz="4" w:space="0" w:color="auto"/>
              <w:right w:val="single" w:sz="4" w:space="0" w:color="auto"/>
            </w:tcBorders>
            <w:shd w:val="clear" w:color="auto" w:fill="C6EFCE"/>
            <w:noWrap/>
          </w:tcPr>
          <w:p w14:paraId="6E973571" w14:textId="77777777" w:rsidR="009872B9" w:rsidRDefault="009872B9" w:rsidP="0001477B">
            <w:pPr>
              <w:jc w:val="center"/>
              <w:rPr>
                <w:rFonts w:ascii="Times New Roman" w:hAnsi="Times New Roman" w:cs="Times New Roman"/>
                <w:noProof/>
                <w:sz w:val="20"/>
                <w:szCs w:val="20"/>
              </w:rPr>
            </w:pPr>
            <w:r>
              <w:rPr>
                <w:noProof/>
                <w:color w:val="000000"/>
                <w:sz w:val="20"/>
              </w:rPr>
              <w:t>C3.2. R1</w:t>
            </w:r>
          </w:p>
        </w:tc>
        <w:tc>
          <w:tcPr>
            <w:tcW w:w="850" w:type="dxa"/>
            <w:tcBorders>
              <w:top w:val="nil"/>
              <w:left w:val="nil"/>
              <w:bottom w:val="single" w:sz="4" w:space="0" w:color="auto"/>
              <w:right w:val="single" w:sz="4" w:space="0" w:color="auto"/>
            </w:tcBorders>
            <w:shd w:val="clear" w:color="auto" w:fill="C6EFCE"/>
            <w:noWrap/>
          </w:tcPr>
          <w:p w14:paraId="39EA311E" w14:textId="77777777" w:rsidR="009872B9" w:rsidRDefault="009872B9" w:rsidP="0001477B">
            <w:pPr>
              <w:jc w:val="center"/>
              <w:rPr>
                <w:rFonts w:ascii="Times New Roman" w:hAnsi="Times New Roman" w:cs="Times New Roman"/>
                <w:noProof/>
                <w:sz w:val="20"/>
                <w:szCs w:val="20"/>
              </w:rPr>
            </w:pPr>
            <w:r>
              <w:rPr>
                <w:noProof/>
                <w:color w:val="000000"/>
                <w:sz w:val="20"/>
              </w:rPr>
              <w:t>Ključna etapa</w:t>
            </w:r>
          </w:p>
        </w:tc>
        <w:tc>
          <w:tcPr>
            <w:tcW w:w="1979" w:type="dxa"/>
            <w:tcBorders>
              <w:top w:val="nil"/>
              <w:left w:val="nil"/>
              <w:bottom w:val="single" w:sz="4" w:space="0" w:color="auto"/>
              <w:right w:val="single" w:sz="4" w:space="0" w:color="auto"/>
            </w:tcBorders>
            <w:shd w:val="clear" w:color="auto" w:fill="C6EFCE"/>
            <w:noWrap/>
          </w:tcPr>
          <w:p w14:paraId="686B0DE8" w14:textId="77777777" w:rsidR="009872B9" w:rsidRDefault="009872B9" w:rsidP="0001477B">
            <w:pPr>
              <w:rPr>
                <w:rFonts w:ascii="Times New Roman" w:hAnsi="Times New Roman" w:cs="Times New Roman"/>
                <w:noProof/>
                <w:sz w:val="20"/>
                <w:szCs w:val="20"/>
              </w:rPr>
            </w:pPr>
            <w:r>
              <w:rPr>
                <w:noProof/>
                <w:color w:val="000000"/>
                <w:sz w:val="20"/>
              </w:rPr>
              <w:t>Novi Zakon o znanstvenoj djelatnosti i visokom obrazovanju</w:t>
            </w:r>
          </w:p>
        </w:tc>
        <w:tc>
          <w:tcPr>
            <w:tcW w:w="1957" w:type="dxa"/>
            <w:tcBorders>
              <w:top w:val="nil"/>
              <w:left w:val="nil"/>
              <w:bottom w:val="single" w:sz="4" w:space="0" w:color="auto"/>
              <w:right w:val="single" w:sz="4" w:space="0" w:color="auto"/>
            </w:tcBorders>
            <w:shd w:val="clear" w:color="auto" w:fill="C6EFCE"/>
            <w:noWrap/>
          </w:tcPr>
          <w:p w14:paraId="6E017E75" w14:textId="77777777" w:rsidR="009872B9" w:rsidRDefault="009872B9" w:rsidP="0001477B">
            <w:pPr>
              <w:rPr>
                <w:rFonts w:ascii="Times New Roman" w:hAnsi="Times New Roman" w:cs="Times New Roman"/>
                <w:noProof/>
                <w:sz w:val="20"/>
                <w:szCs w:val="20"/>
              </w:rPr>
            </w:pPr>
            <w:r>
              <w:rPr>
                <w:noProof/>
                <w:color w:val="000000"/>
                <w:sz w:val="20"/>
              </w:rPr>
              <w:t xml:space="preserve">Stupanje na snagu novog Zakona o znanstvenoj djelatnosti i visokom obrazovanju </w:t>
            </w:r>
          </w:p>
        </w:tc>
        <w:tc>
          <w:tcPr>
            <w:tcW w:w="1096" w:type="dxa"/>
            <w:tcBorders>
              <w:top w:val="nil"/>
              <w:left w:val="nil"/>
              <w:bottom w:val="single" w:sz="4" w:space="0" w:color="auto"/>
              <w:right w:val="single" w:sz="4" w:space="0" w:color="auto"/>
            </w:tcBorders>
            <w:shd w:val="clear" w:color="auto" w:fill="C6EFCE"/>
            <w:noWrap/>
          </w:tcPr>
          <w:p w14:paraId="4A5D2E0A"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821" w:type="dxa"/>
            <w:tcBorders>
              <w:top w:val="nil"/>
              <w:left w:val="nil"/>
              <w:bottom w:val="single" w:sz="4" w:space="0" w:color="auto"/>
              <w:right w:val="single" w:sz="4" w:space="0" w:color="auto"/>
            </w:tcBorders>
            <w:shd w:val="clear" w:color="auto" w:fill="C6EFCE"/>
            <w:noWrap/>
          </w:tcPr>
          <w:p w14:paraId="73BBFFE2"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970" w:type="dxa"/>
            <w:tcBorders>
              <w:top w:val="nil"/>
              <w:left w:val="nil"/>
              <w:bottom w:val="single" w:sz="4" w:space="0" w:color="auto"/>
              <w:right w:val="single" w:sz="4" w:space="0" w:color="auto"/>
            </w:tcBorders>
            <w:shd w:val="clear" w:color="auto" w:fill="C6EFCE"/>
            <w:noWrap/>
          </w:tcPr>
          <w:p w14:paraId="0E548188"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613" w:type="dxa"/>
            <w:tcBorders>
              <w:top w:val="nil"/>
              <w:left w:val="nil"/>
              <w:bottom w:val="single" w:sz="4" w:space="0" w:color="auto"/>
              <w:right w:val="single" w:sz="4" w:space="0" w:color="auto"/>
            </w:tcBorders>
            <w:shd w:val="clear" w:color="auto" w:fill="C6EFCE"/>
            <w:noWrap/>
          </w:tcPr>
          <w:p w14:paraId="5AF9FEC5" w14:textId="77777777" w:rsidR="009872B9" w:rsidRDefault="009872B9" w:rsidP="0001477B">
            <w:pPr>
              <w:jc w:val="center"/>
              <w:rPr>
                <w:rFonts w:ascii="Times New Roman" w:hAnsi="Times New Roman" w:cs="Times New Roman"/>
                <w:noProof/>
                <w:sz w:val="20"/>
                <w:szCs w:val="20"/>
              </w:rPr>
            </w:pPr>
            <w:r>
              <w:rPr>
                <w:noProof/>
                <w:color w:val="000000"/>
                <w:sz w:val="20"/>
              </w:rPr>
              <w:t>3.</w:t>
            </w:r>
          </w:p>
        </w:tc>
        <w:tc>
          <w:tcPr>
            <w:tcW w:w="992" w:type="dxa"/>
            <w:tcBorders>
              <w:top w:val="nil"/>
              <w:left w:val="nil"/>
              <w:bottom w:val="single" w:sz="4" w:space="0" w:color="auto"/>
              <w:right w:val="single" w:sz="4" w:space="0" w:color="auto"/>
            </w:tcBorders>
            <w:shd w:val="clear" w:color="auto" w:fill="C6EFCE"/>
            <w:noWrap/>
          </w:tcPr>
          <w:p w14:paraId="43AFA688" w14:textId="77777777" w:rsidR="009872B9" w:rsidRDefault="009872B9" w:rsidP="0001477B">
            <w:pPr>
              <w:jc w:val="center"/>
              <w:rPr>
                <w:rFonts w:ascii="Times New Roman" w:hAnsi="Times New Roman" w:cs="Times New Roman"/>
                <w:noProof/>
                <w:sz w:val="20"/>
                <w:szCs w:val="20"/>
              </w:rPr>
            </w:pPr>
            <w:r>
              <w:rPr>
                <w:noProof/>
                <w:color w:val="000000"/>
                <w:sz w:val="20"/>
              </w:rPr>
              <w:t>2022.</w:t>
            </w:r>
          </w:p>
        </w:tc>
        <w:tc>
          <w:tcPr>
            <w:tcW w:w="3979" w:type="dxa"/>
            <w:tcBorders>
              <w:top w:val="nil"/>
              <w:left w:val="nil"/>
              <w:bottom w:val="single" w:sz="4" w:space="0" w:color="auto"/>
              <w:right w:val="single" w:sz="4" w:space="0" w:color="auto"/>
            </w:tcBorders>
            <w:shd w:val="clear" w:color="auto" w:fill="C6EFCE"/>
            <w:noWrap/>
          </w:tcPr>
          <w:p w14:paraId="44947683" w14:textId="77777777" w:rsidR="009872B9" w:rsidRDefault="009872B9" w:rsidP="0001477B">
            <w:pPr>
              <w:rPr>
                <w:rFonts w:ascii="Times New Roman" w:hAnsi="Times New Roman" w:cs="Times New Roman"/>
                <w:noProof/>
                <w:sz w:val="20"/>
                <w:szCs w:val="20"/>
              </w:rPr>
            </w:pPr>
            <w:r>
              <w:rPr>
                <w:noProof/>
                <w:color w:val="000000"/>
                <w:sz w:val="20"/>
              </w:rPr>
              <w:t>Novim zakonodavnim propisom stvorit će se pravni i financijski preduvjeti za organizacijsku i funkcionalnu reformu javnih sveučilišta i znanstvenih ustanova te financiranje namijenjeno ostvarenju institucijskih razvojnih ciljeva.</w:t>
            </w:r>
          </w:p>
        </w:tc>
      </w:tr>
      <w:tr w:rsidR="009872B9" w14:paraId="3A3B8EC2"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80569AC" w14:textId="77777777" w:rsidR="009872B9" w:rsidRDefault="009872B9" w:rsidP="0001477B">
            <w:pPr>
              <w:jc w:val="center"/>
              <w:rPr>
                <w:rFonts w:ascii="Times New Roman" w:hAnsi="Times New Roman" w:cs="Times New Roman"/>
                <w:noProof/>
                <w:sz w:val="20"/>
                <w:szCs w:val="20"/>
              </w:rPr>
            </w:pPr>
            <w:r>
              <w:rPr>
                <w:noProof/>
                <w:color w:val="000000"/>
                <w:sz w:val="20"/>
              </w:rPr>
              <w:t>276</w:t>
            </w:r>
          </w:p>
        </w:tc>
        <w:tc>
          <w:tcPr>
            <w:tcW w:w="850" w:type="dxa"/>
            <w:tcBorders>
              <w:top w:val="single" w:sz="4" w:space="0" w:color="auto"/>
              <w:left w:val="nil"/>
              <w:bottom w:val="single" w:sz="4" w:space="0" w:color="auto"/>
              <w:right w:val="single" w:sz="4" w:space="0" w:color="auto"/>
            </w:tcBorders>
            <w:shd w:val="clear" w:color="auto" w:fill="C6EFCE"/>
            <w:noWrap/>
          </w:tcPr>
          <w:p w14:paraId="12B3CF24" w14:textId="77777777" w:rsidR="009872B9" w:rsidRDefault="009872B9" w:rsidP="0001477B">
            <w:pPr>
              <w:jc w:val="center"/>
              <w:rPr>
                <w:rFonts w:ascii="Times New Roman" w:hAnsi="Times New Roman" w:cs="Times New Roman"/>
                <w:noProof/>
                <w:sz w:val="20"/>
                <w:szCs w:val="20"/>
              </w:rPr>
            </w:pPr>
            <w:r>
              <w:rPr>
                <w:noProof/>
                <w:color w:val="000000"/>
                <w:sz w:val="20"/>
              </w:rPr>
              <w:t>C3.2. R1-I1</w:t>
            </w:r>
          </w:p>
        </w:tc>
        <w:tc>
          <w:tcPr>
            <w:tcW w:w="850" w:type="dxa"/>
            <w:tcBorders>
              <w:top w:val="single" w:sz="4" w:space="0" w:color="auto"/>
              <w:left w:val="nil"/>
              <w:bottom w:val="single" w:sz="4" w:space="0" w:color="auto"/>
              <w:right w:val="single" w:sz="4" w:space="0" w:color="auto"/>
            </w:tcBorders>
            <w:shd w:val="clear" w:color="auto" w:fill="C6EFCE"/>
            <w:noWrap/>
          </w:tcPr>
          <w:p w14:paraId="171E61E3"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single" w:sz="4" w:space="0" w:color="auto"/>
              <w:left w:val="nil"/>
              <w:bottom w:val="single" w:sz="4" w:space="0" w:color="auto"/>
              <w:right w:val="single" w:sz="4" w:space="0" w:color="auto"/>
            </w:tcBorders>
            <w:shd w:val="clear" w:color="auto" w:fill="C6EFCE"/>
            <w:noWrap/>
          </w:tcPr>
          <w:p w14:paraId="039DF1B9" w14:textId="77777777" w:rsidR="009872B9" w:rsidRDefault="009872B9" w:rsidP="0001477B">
            <w:pPr>
              <w:rPr>
                <w:rFonts w:ascii="Times New Roman" w:hAnsi="Times New Roman" w:cs="Times New Roman"/>
                <w:noProof/>
                <w:sz w:val="20"/>
                <w:szCs w:val="20"/>
              </w:rPr>
            </w:pPr>
            <w:r>
              <w:rPr>
                <w:noProof/>
                <w:color w:val="000000"/>
                <w:sz w:val="20"/>
              </w:rPr>
              <w:t xml:space="preserve">Sredstva dodijeljena istraživačkim projektima na temelju internih poziva istraživačkih organizacija tijekom prvog dvogodišnjeg ciklusa provedbe programskih sporazuma </w:t>
            </w:r>
          </w:p>
        </w:tc>
        <w:tc>
          <w:tcPr>
            <w:tcW w:w="1957" w:type="dxa"/>
            <w:tcBorders>
              <w:top w:val="single" w:sz="4" w:space="0" w:color="auto"/>
              <w:left w:val="nil"/>
              <w:bottom w:val="single" w:sz="4" w:space="0" w:color="auto"/>
              <w:right w:val="single" w:sz="4" w:space="0" w:color="auto"/>
            </w:tcBorders>
            <w:shd w:val="clear" w:color="auto" w:fill="C6EFCE"/>
            <w:noWrap/>
          </w:tcPr>
          <w:p w14:paraId="5D4EF8C8" w14:textId="77777777" w:rsidR="009872B9" w:rsidRDefault="009872B9" w:rsidP="0001477B">
            <w:pPr>
              <w:spacing w:after="240"/>
              <w:rPr>
                <w:rFonts w:ascii="Times New Roman" w:hAnsi="Times New Roman" w:cs="Times New Roman"/>
                <w:noProof/>
                <w:sz w:val="20"/>
                <w:szCs w:val="20"/>
              </w:rPr>
            </w:pPr>
            <w:r>
              <w:rPr>
                <w:noProof/>
                <w:color w:val="000000"/>
                <w:sz w:val="20"/>
              </w:rPr>
              <w:t> </w:t>
            </w:r>
          </w:p>
        </w:tc>
        <w:tc>
          <w:tcPr>
            <w:tcW w:w="1096" w:type="dxa"/>
            <w:tcBorders>
              <w:top w:val="single" w:sz="4" w:space="0" w:color="auto"/>
              <w:left w:val="nil"/>
              <w:bottom w:val="single" w:sz="4" w:space="0" w:color="auto"/>
              <w:right w:val="single" w:sz="4" w:space="0" w:color="auto"/>
            </w:tcBorders>
            <w:shd w:val="clear" w:color="auto" w:fill="C6EFCE"/>
            <w:noWrap/>
          </w:tcPr>
          <w:p w14:paraId="39AB01CC" w14:textId="77777777" w:rsidR="009872B9" w:rsidRDefault="009872B9" w:rsidP="0001477B">
            <w:pPr>
              <w:spacing w:after="0"/>
              <w:jc w:val="center"/>
              <w:rPr>
                <w:rFonts w:ascii="Times New Roman" w:hAnsi="Times New Roman" w:cs="Times New Roman"/>
                <w:noProof/>
                <w:sz w:val="20"/>
                <w:szCs w:val="20"/>
              </w:rPr>
            </w:pPr>
            <w:r>
              <w:rPr>
                <w:noProof/>
                <w:color w:val="000000"/>
                <w:sz w:val="20"/>
              </w:rPr>
              <w:t>Broj (iznos)</w:t>
            </w:r>
          </w:p>
        </w:tc>
        <w:tc>
          <w:tcPr>
            <w:tcW w:w="821" w:type="dxa"/>
            <w:tcBorders>
              <w:top w:val="single" w:sz="4" w:space="0" w:color="auto"/>
              <w:left w:val="nil"/>
              <w:bottom w:val="single" w:sz="4" w:space="0" w:color="auto"/>
              <w:right w:val="single" w:sz="4" w:space="0" w:color="auto"/>
            </w:tcBorders>
            <w:shd w:val="clear" w:color="auto" w:fill="C6EFCE"/>
            <w:noWrap/>
          </w:tcPr>
          <w:p w14:paraId="7070D396"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970" w:type="dxa"/>
            <w:tcBorders>
              <w:top w:val="single" w:sz="4" w:space="0" w:color="auto"/>
              <w:left w:val="nil"/>
              <w:bottom w:val="single" w:sz="4" w:space="0" w:color="auto"/>
              <w:right w:val="single" w:sz="4" w:space="0" w:color="auto"/>
            </w:tcBorders>
            <w:shd w:val="clear" w:color="auto" w:fill="C6EFCE"/>
            <w:noWrap/>
          </w:tcPr>
          <w:p w14:paraId="33721196" w14:textId="77777777" w:rsidR="009872B9" w:rsidRDefault="009872B9" w:rsidP="0001477B">
            <w:pPr>
              <w:jc w:val="center"/>
              <w:rPr>
                <w:rFonts w:ascii="Times New Roman" w:hAnsi="Times New Roman" w:cs="Times New Roman"/>
                <w:noProof/>
                <w:sz w:val="20"/>
                <w:szCs w:val="20"/>
              </w:rPr>
            </w:pPr>
            <w:r>
              <w:rPr>
                <w:noProof/>
                <w:color w:val="000000"/>
                <w:sz w:val="20"/>
              </w:rPr>
              <w:t>17 619 079</w:t>
            </w:r>
          </w:p>
        </w:tc>
        <w:tc>
          <w:tcPr>
            <w:tcW w:w="613" w:type="dxa"/>
            <w:tcBorders>
              <w:top w:val="single" w:sz="4" w:space="0" w:color="auto"/>
              <w:left w:val="nil"/>
              <w:bottom w:val="single" w:sz="4" w:space="0" w:color="auto"/>
              <w:right w:val="single" w:sz="4" w:space="0" w:color="auto"/>
            </w:tcBorders>
            <w:shd w:val="clear" w:color="auto" w:fill="C6EFCE"/>
            <w:noWrap/>
          </w:tcPr>
          <w:p w14:paraId="3A197724" w14:textId="77777777" w:rsidR="009872B9" w:rsidRDefault="009872B9" w:rsidP="0001477B">
            <w:pPr>
              <w:jc w:val="center"/>
              <w:rPr>
                <w:rFonts w:ascii="Times New Roman" w:hAnsi="Times New Roman" w:cs="Times New Roman"/>
                <w:noProof/>
                <w:sz w:val="20"/>
                <w:szCs w:val="20"/>
              </w:rPr>
            </w:pPr>
            <w:r>
              <w:rPr>
                <w:noProof/>
                <w:color w:val="000000"/>
                <w:sz w:val="20"/>
              </w:rPr>
              <w:t>1.</w:t>
            </w:r>
          </w:p>
        </w:tc>
        <w:tc>
          <w:tcPr>
            <w:tcW w:w="992" w:type="dxa"/>
            <w:tcBorders>
              <w:top w:val="single" w:sz="4" w:space="0" w:color="auto"/>
              <w:left w:val="nil"/>
              <w:bottom w:val="single" w:sz="4" w:space="0" w:color="auto"/>
              <w:right w:val="single" w:sz="4" w:space="0" w:color="auto"/>
            </w:tcBorders>
            <w:shd w:val="clear" w:color="auto" w:fill="C6EFCE"/>
            <w:noWrap/>
          </w:tcPr>
          <w:p w14:paraId="7DFC7D23" w14:textId="77777777" w:rsidR="009872B9" w:rsidRDefault="009872B9" w:rsidP="0001477B">
            <w:pPr>
              <w:jc w:val="center"/>
              <w:rPr>
                <w:rFonts w:ascii="Times New Roman" w:hAnsi="Times New Roman" w:cs="Times New Roman"/>
                <w:noProof/>
                <w:sz w:val="20"/>
                <w:szCs w:val="20"/>
              </w:rPr>
            </w:pPr>
            <w:r>
              <w:rPr>
                <w:noProof/>
                <w:color w:val="000000"/>
                <w:sz w:val="20"/>
              </w:rPr>
              <w:t>2023.</w:t>
            </w:r>
          </w:p>
        </w:tc>
        <w:tc>
          <w:tcPr>
            <w:tcW w:w="3979" w:type="dxa"/>
            <w:tcBorders>
              <w:top w:val="single" w:sz="4" w:space="0" w:color="auto"/>
              <w:left w:val="nil"/>
              <w:bottom w:val="single" w:sz="4" w:space="0" w:color="auto"/>
              <w:right w:val="single" w:sz="4" w:space="0" w:color="auto"/>
            </w:tcBorders>
            <w:shd w:val="clear" w:color="auto" w:fill="C6EFCE"/>
            <w:noWrap/>
          </w:tcPr>
          <w:p w14:paraId="5A59987B" w14:textId="77777777" w:rsidR="009872B9" w:rsidRDefault="009872B9" w:rsidP="0001477B">
            <w:pPr>
              <w:rPr>
                <w:rFonts w:ascii="Times New Roman" w:hAnsi="Times New Roman" w:cs="Times New Roman"/>
                <w:noProof/>
                <w:sz w:val="20"/>
                <w:szCs w:val="20"/>
              </w:rPr>
            </w:pPr>
            <w:r>
              <w:rPr>
                <w:noProof/>
                <w:color w:val="000000"/>
                <w:sz w:val="20"/>
              </w:rPr>
              <w:t>Iznos od 17 619 079 EUR dodijelit će se istraživačkim projektima koje provode sveučilišta i istraživački instituti koji su potpisali programske sporazume. Projektima se podupiru izravne znanstvene i istraživačke aktivnosti (istraživački projekti) i temelje se na objavljenim specifikacijama natječaja čiji opis poslova uključuje kriterije prihvatljivosti kojima se osigurava da su odabrani projekti u skladu s Tehničkim smjernicama za primjenu načela nenanošenja bitne štete (2021/C58/01) primjenom popisa neprihvatljivih aktivnosti i ulaganja i zahtjeva u pogledu usklađenosti s relevantnim EU-ovim i nacionalnim propisima o okolišu.</w:t>
            </w:r>
          </w:p>
        </w:tc>
      </w:tr>
      <w:tr w:rsidR="009872B9" w14:paraId="65B0C9BD"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9E08DC8" w14:textId="77777777" w:rsidR="009872B9" w:rsidRDefault="009872B9" w:rsidP="0001477B">
            <w:pPr>
              <w:jc w:val="center"/>
              <w:rPr>
                <w:rFonts w:ascii="Times New Roman" w:hAnsi="Times New Roman" w:cs="Times New Roman"/>
                <w:noProof/>
                <w:sz w:val="20"/>
                <w:szCs w:val="20"/>
              </w:rPr>
            </w:pPr>
            <w:r>
              <w:rPr>
                <w:noProof/>
                <w:color w:val="000000"/>
                <w:sz w:val="20"/>
              </w:rPr>
              <w:t>277</w:t>
            </w:r>
          </w:p>
        </w:tc>
        <w:tc>
          <w:tcPr>
            <w:tcW w:w="850" w:type="dxa"/>
            <w:tcBorders>
              <w:top w:val="single" w:sz="4" w:space="0" w:color="auto"/>
              <w:left w:val="nil"/>
              <w:bottom w:val="single" w:sz="4" w:space="0" w:color="auto"/>
              <w:right w:val="single" w:sz="4" w:space="0" w:color="auto"/>
            </w:tcBorders>
            <w:shd w:val="clear" w:color="auto" w:fill="C6EFCE"/>
            <w:noWrap/>
          </w:tcPr>
          <w:p w14:paraId="56ABFB4F" w14:textId="77777777" w:rsidR="009872B9" w:rsidRDefault="009872B9" w:rsidP="0001477B">
            <w:pPr>
              <w:jc w:val="center"/>
              <w:rPr>
                <w:rFonts w:ascii="Times New Roman" w:hAnsi="Times New Roman" w:cs="Times New Roman"/>
                <w:noProof/>
                <w:sz w:val="20"/>
                <w:szCs w:val="20"/>
              </w:rPr>
            </w:pPr>
            <w:r>
              <w:rPr>
                <w:noProof/>
                <w:color w:val="000000"/>
                <w:sz w:val="20"/>
              </w:rPr>
              <w:t>C3.2. R1-I1</w:t>
            </w:r>
          </w:p>
        </w:tc>
        <w:tc>
          <w:tcPr>
            <w:tcW w:w="850" w:type="dxa"/>
            <w:tcBorders>
              <w:top w:val="single" w:sz="4" w:space="0" w:color="auto"/>
              <w:left w:val="nil"/>
              <w:bottom w:val="single" w:sz="4" w:space="0" w:color="auto"/>
              <w:right w:val="single" w:sz="4" w:space="0" w:color="auto"/>
            </w:tcBorders>
            <w:shd w:val="clear" w:color="auto" w:fill="C6EFCE"/>
            <w:noWrap/>
          </w:tcPr>
          <w:p w14:paraId="1ED4F4BF"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single" w:sz="4" w:space="0" w:color="auto"/>
              <w:left w:val="nil"/>
              <w:bottom w:val="single" w:sz="4" w:space="0" w:color="auto"/>
              <w:right w:val="single" w:sz="4" w:space="0" w:color="auto"/>
            </w:tcBorders>
            <w:shd w:val="clear" w:color="auto" w:fill="C6EFCE"/>
            <w:noWrap/>
          </w:tcPr>
          <w:p w14:paraId="6ABDFE34" w14:textId="77777777" w:rsidR="009872B9" w:rsidRDefault="009872B9" w:rsidP="0001477B">
            <w:pPr>
              <w:rPr>
                <w:rFonts w:ascii="Times New Roman" w:hAnsi="Times New Roman" w:cs="Times New Roman"/>
                <w:noProof/>
                <w:sz w:val="20"/>
                <w:szCs w:val="20"/>
              </w:rPr>
            </w:pPr>
            <w:r>
              <w:rPr>
                <w:noProof/>
                <w:color w:val="000000"/>
                <w:sz w:val="20"/>
              </w:rPr>
              <w:t>Udio sveučilišta ili istraživačkih instituta koji su potpisali programske sporazume</w:t>
            </w:r>
          </w:p>
        </w:tc>
        <w:tc>
          <w:tcPr>
            <w:tcW w:w="1957" w:type="dxa"/>
            <w:tcBorders>
              <w:top w:val="single" w:sz="4" w:space="0" w:color="auto"/>
              <w:left w:val="nil"/>
              <w:bottom w:val="single" w:sz="4" w:space="0" w:color="auto"/>
              <w:right w:val="single" w:sz="4" w:space="0" w:color="auto"/>
            </w:tcBorders>
            <w:shd w:val="clear" w:color="auto" w:fill="C6EFCE"/>
            <w:noWrap/>
          </w:tcPr>
          <w:p w14:paraId="15CE0149" w14:textId="77777777" w:rsidR="009872B9" w:rsidRDefault="009872B9" w:rsidP="0001477B">
            <w:pPr>
              <w:rPr>
                <w:rFonts w:ascii="Times New Roman" w:hAnsi="Times New Roman" w:cs="Times New Roman"/>
                <w:noProof/>
                <w:sz w:val="20"/>
                <w:szCs w:val="20"/>
              </w:rPr>
            </w:pPr>
            <w:r>
              <w:rPr>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B1412AE" w14:textId="77777777" w:rsidR="009872B9" w:rsidRDefault="009872B9" w:rsidP="0001477B">
            <w:pPr>
              <w:jc w:val="center"/>
              <w:rPr>
                <w:rFonts w:ascii="Times New Roman" w:hAnsi="Times New Roman" w:cs="Times New Roman"/>
                <w:noProof/>
                <w:sz w:val="20"/>
                <w:szCs w:val="20"/>
              </w:rPr>
            </w:pPr>
            <w:r>
              <w:rPr>
                <w:noProof/>
                <w:color w:val="000000"/>
                <w:sz w:val="20"/>
              </w:rPr>
              <w:t>% (postotak)</w:t>
            </w:r>
          </w:p>
        </w:tc>
        <w:tc>
          <w:tcPr>
            <w:tcW w:w="821" w:type="dxa"/>
            <w:tcBorders>
              <w:top w:val="single" w:sz="4" w:space="0" w:color="auto"/>
              <w:left w:val="nil"/>
              <w:bottom w:val="single" w:sz="4" w:space="0" w:color="auto"/>
              <w:right w:val="single" w:sz="4" w:space="0" w:color="auto"/>
            </w:tcBorders>
            <w:shd w:val="clear" w:color="auto" w:fill="C6EFCE"/>
            <w:noWrap/>
          </w:tcPr>
          <w:p w14:paraId="6C1D69C9" w14:textId="77777777" w:rsidR="009872B9" w:rsidRDefault="009872B9" w:rsidP="0001477B">
            <w:pPr>
              <w:jc w:val="center"/>
              <w:rPr>
                <w:rFonts w:ascii="Times New Roman" w:hAnsi="Times New Roman" w:cs="Times New Roman"/>
                <w:noProof/>
                <w:sz w:val="20"/>
                <w:szCs w:val="20"/>
              </w:rPr>
            </w:pPr>
            <w:r>
              <w:rPr>
                <w:noProof/>
                <w:color w:val="000000"/>
                <w:sz w:val="20"/>
              </w:rPr>
              <w:t>0</w:t>
            </w:r>
          </w:p>
          <w:p w14:paraId="3F703649" w14:textId="77777777" w:rsidR="009872B9" w:rsidRDefault="009872B9" w:rsidP="0001477B">
            <w:pPr>
              <w:rPr>
                <w:rFonts w:ascii="Times New Roman" w:hAnsi="Times New Roman" w:cs="Times New Roman"/>
                <w:noProof/>
                <w:sz w:val="20"/>
                <w:szCs w:val="20"/>
              </w:rPr>
            </w:pPr>
          </w:p>
          <w:p w14:paraId="4EDF6882" w14:textId="77777777" w:rsidR="009872B9" w:rsidRDefault="009872B9" w:rsidP="0001477B">
            <w:pPr>
              <w:rPr>
                <w:rFonts w:ascii="Times New Roman" w:hAnsi="Times New Roman" w:cs="Times New Roman"/>
                <w:noProof/>
                <w:sz w:val="20"/>
                <w:szCs w:val="20"/>
              </w:rPr>
            </w:pPr>
          </w:p>
          <w:p w14:paraId="6BB922D5" w14:textId="77777777" w:rsidR="009872B9" w:rsidRDefault="009872B9" w:rsidP="0001477B">
            <w:pPr>
              <w:rPr>
                <w:rFonts w:ascii="Times New Roman" w:hAnsi="Times New Roman" w:cs="Times New Roman"/>
                <w:noProof/>
                <w:sz w:val="20"/>
                <w:szCs w:val="20"/>
              </w:rPr>
            </w:pPr>
          </w:p>
        </w:tc>
        <w:tc>
          <w:tcPr>
            <w:tcW w:w="970" w:type="dxa"/>
            <w:tcBorders>
              <w:top w:val="single" w:sz="4" w:space="0" w:color="auto"/>
              <w:left w:val="nil"/>
              <w:bottom w:val="single" w:sz="4" w:space="0" w:color="auto"/>
              <w:right w:val="single" w:sz="4" w:space="0" w:color="auto"/>
            </w:tcBorders>
            <w:shd w:val="clear" w:color="auto" w:fill="C6EFCE"/>
            <w:noWrap/>
          </w:tcPr>
          <w:p w14:paraId="387A3CE4" w14:textId="77777777" w:rsidR="009872B9" w:rsidRDefault="009872B9" w:rsidP="0001477B">
            <w:pPr>
              <w:jc w:val="center"/>
              <w:rPr>
                <w:rFonts w:ascii="Times New Roman" w:hAnsi="Times New Roman" w:cs="Times New Roman"/>
                <w:noProof/>
                <w:sz w:val="20"/>
                <w:szCs w:val="20"/>
              </w:rPr>
            </w:pPr>
            <w:r>
              <w:rPr>
                <w:noProof/>
                <w:color w:val="000000"/>
                <w:sz w:val="20"/>
              </w:rPr>
              <w:t>65</w:t>
            </w:r>
          </w:p>
        </w:tc>
        <w:tc>
          <w:tcPr>
            <w:tcW w:w="613" w:type="dxa"/>
            <w:tcBorders>
              <w:top w:val="single" w:sz="4" w:space="0" w:color="auto"/>
              <w:left w:val="nil"/>
              <w:bottom w:val="single" w:sz="4" w:space="0" w:color="auto"/>
              <w:right w:val="single" w:sz="4" w:space="0" w:color="auto"/>
            </w:tcBorders>
            <w:shd w:val="clear" w:color="auto" w:fill="C6EFCE"/>
            <w:noWrap/>
          </w:tcPr>
          <w:p w14:paraId="447EC5E1" w14:textId="77777777" w:rsidR="009872B9" w:rsidRDefault="009872B9" w:rsidP="0001477B">
            <w:pPr>
              <w:jc w:val="center"/>
              <w:rPr>
                <w:rFonts w:ascii="Times New Roman" w:hAnsi="Times New Roman" w:cs="Times New Roman"/>
                <w:noProof/>
                <w:sz w:val="20"/>
                <w:szCs w:val="20"/>
              </w:rPr>
            </w:pPr>
            <w:r>
              <w:rPr>
                <w:noProof/>
                <w:color w:val="000000"/>
                <w:sz w:val="20"/>
              </w:rPr>
              <w:t>3.</w:t>
            </w:r>
          </w:p>
        </w:tc>
        <w:tc>
          <w:tcPr>
            <w:tcW w:w="992" w:type="dxa"/>
            <w:tcBorders>
              <w:top w:val="single" w:sz="4" w:space="0" w:color="auto"/>
              <w:left w:val="nil"/>
              <w:bottom w:val="single" w:sz="4" w:space="0" w:color="auto"/>
              <w:right w:val="single" w:sz="4" w:space="0" w:color="auto"/>
            </w:tcBorders>
            <w:shd w:val="clear" w:color="auto" w:fill="C6EFCE"/>
            <w:noWrap/>
          </w:tcPr>
          <w:p w14:paraId="4E7A146A" w14:textId="77777777" w:rsidR="009872B9" w:rsidRDefault="009872B9" w:rsidP="0001477B">
            <w:pPr>
              <w:jc w:val="center"/>
              <w:rPr>
                <w:rFonts w:ascii="Times New Roman" w:hAnsi="Times New Roman" w:cs="Times New Roman"/>
                <w:noProof/>
                <w:sz w:val="20"/>
                <w:szCs w:val="20"/>
              </w:rPr>
            </w:pPr>
            <w:r>
              <w:rPr>
                <w:noProof/>
                <w:color w:val="000000"/>
                <w:sz w:val="20"/>
              </w:rPr>
              <w:t>2024.</w:t>
            </w:r>
          </w:p>
        </w:tc>
        <w:tc>
          <w:tcPr>
            <w:tcW w:w="3979" w:type="dxa"/>
            <w:tcBorders>
              <w:top w:val="single" w:sz="4" w:space="0" w:color="auto"/>
              <w:left w:val="nil"/>
              <w:bottom w:val="single" w:sz="4" w:space="0" w:color="auto"/>
              <w:right w:val="single" w:sz="4" w:space="0" w:color="auto"/>
            </w:tcBorders>
            <w:shd w:val="clear" w:color="auto" w:fill="C6EFCE"/>
            <w:noWrap/>
          </w:tcPr>
          <w:p w14:paraId="3C6E11E1" w14:textId="77777777" w:rsidR="009872B9" w:rsidRDefault="009872B9" w:rsidP="0001477B">
            <w:pPr>
              <w:rPr>
                <w:rFonts w:ascii="Times New Roman" w:hAnsi="Times New Roman" w:cs="Times New Roman"/>
                <w:noProof/>
                <w:sz w:val="20"/>
                <w:szCs w:val="20"/>
              </w:rPr>
            </w:pPr>
            <w:r>
              <w:rPr>
                <w:noProof/>
                <w:color w:val="000000"/>
                <w:sz w:val="20"/>
              </w:rPr>
              <w:t>Najmanje 65 % javnih sveučilišta i znanstvenih ustanova potpisalo je nove programske sporazume sukladno odredbama novog Zakona o znanstvenoj djelatnosti i visokom obrazovanju čime se uvodi sustav temeljen na uspješnosti postavljenih ciljeva za financiranje javnih znanstvenih organizacija</w:t>
            </w:r>
          </w:p>
        </w:tc>
      </w:tr>
      <w:tr w:rsidR="009872B9" w14:paraId="12333AAF"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A38522B" w14:textId="77777777" w:rsidR="009872B9" w:rsidRDefault="009872B9" w:rsidP="0001477B">
            <w:pPr>
              <w:jc w:val="center"/>
              <w:rPr>
                <w:rFonts w:ascii="Times New Roman" w:hAnsi="Times New Roman" w:cs="Times New Roman"/>
                <w:noProof/>
                <w:sz w:val="20"/>
                <w:szCs w:val="20"/>
              </w:rPr>
            </w:pPr>
            <w:r>
              <w:rPr>
                <w:noProof/>
                <w:color w:val="000000"/>
                <w:sz w:val="20"/>
              </w:rPr>
              <w:t>278</w:t>
            </w:r>
          </w:p>
        </w:tc>
        <w:tc>
          <w:tcPr>
            <w:tcW w:w="850" w:type="dxa"/>
            <w:tcBorders>
              <w:top w:val="single" w:sz="4" w:space="0" w:color="auto"/>
              <w:left w:val="nil"/>
              <w:bottom w:val="single" w:sz="4" w:space="0" w:color="auto"/>
              <w:right w:val="single" w:sz="4" w:space="0" w:color="auto"/>
            </w:tcBorders>
            <w:shd w:val="clear" w:color="auto" w:fill="C6EFCE"/>
            <w:noWrap/>
          </w:tcPr>
          <w:p w14:paraId="6DB514C9" w14:textId="77777777" w:rsidR="009872B9" w:rsidRDefault="009872B9" w:rsidP="0001477B">
            <w:pPr>
              <w:jc w:val="center"/>
              <w:rPr>
                <w:rFonts w:ascii="Times New Roman" w:hAnsi="Times New Roman" w:cs="Times New Roman"/>
                <w:noProof/>
                <w:sz w:val="20"/>
                <w:szCs w:val="20"/>
              </w:rPr>
            </w:pPr>
            <w:r>
              <w:rPr>
                <w:noProof/>
                <w:color w:val="000000"/>
                <w:sz w:val="20"/>
              </w:rPr>
              <w:t>C3.2. R1-I1</w:t>
            </w:r>
          </w:p>
        </w:tc>
        <w:tc>
          <w:tcPr>
            <w:tcW w:w="850" w:type="dxa"/>
            <w:tcBorders>
              <w:top w:val="single" w:sz="4" w:space="0" w:color="auto"/>
              <w:left w:val="nil"/>
              <w:bottom w:val="single" w:sz="4" w:space="0" w:color="auto"/>
              <w:right w:val="single" w:sz="4" w:space="0" w:color="auto"/>
            </w:tcBorders>
            <w:shd w:val="clear" w:color="auto" w:fill="C6EFCE"/>
            <w:noWrap/>
          </w:tcPr>
          <w:p w14:paraId="56EB42B4"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single" w:sz="4" w:space="0" w:color="auto"/>
              <w:left w:val="nil"/>
              <w:bottom w:val="single" w:sz="4" w:space="0" w:color="auto"/>
              <w:right w:val="single" w:sz="4" w:space="0" w:color="auto"/>
            </w:tcBorders>
            <w:shd w:val="clear" w:color="auto" w:fill="C6EFCE"/>
            <w:noWrap/>
          </w:tcPr>
          <w:p w14:paraId="1A6ACB95" w14:textId="77777777" w:rsidR="009872B9" w:rsidRDefault="009872B9" w:rsidP="0001477B">
            <w:pPr>
              <w:rPr>
                <w:rFonts w:ascii="Times New Roman" w:hAnsi="Times New Roman" w:cs="Times New Roman"/>
                <w:noProof/>
                <w:sz w:val="20"/>
                <w:szCs w:val="20"/>
              </w:rPr>
            </w:pPr>
            <w:r>
              <w:rPr>
                <w:noProof/>
                <w:color w:val="000000"/>
                <w:sz w:val="20"/>
              </w:rPr>
              <w:t>Završeni istraživački projekti u području zelenog istraživanja od strane znanstvenih organizacija koje su potpisale nove programske sporazume</w:t>
            </w:r>
          </w:p>
        </w:tc>
        <w:tc>
          <w:tcPr>
            <w:tcW w:w="1957" w:type="dxa"/>
            <w:tcBorders>
              <w:top w:val="single" w:sz="4" w:space="0" w:color="auto"/>
              <w:left w:val="nil"/>
              <w:bottom w:val="single" w:sz="4" w:space="0" w:color="auto"/>
              <w:right w:val="single" w:sz="4" w:space="0" w:color="auto"/>
            </w:tcBorders>
            <w:shd w:val="clear" w:color="auto" w:fill="C6EFCE"/>
            <w:noWrap/>
          </w:tcPr>
          <w:p w14:paraId="0E10E4F4" w14:textId="77777777" w:rsidR="009872B9" w:rsidRDefault="009872B9" w:rsidP="0001477B">
            <w:pPr>
              <w:rPr>
                <w:rFonts w:ascii="Times New Roman" w:hAnsi="Times New Roman" w:cs="Times New Roman"/>
                <w:noProof/>
                <w:sz w:val="20"/>
                <w:szCs w:val="20"/>
              </w:rPr>
            </w:pPr>
            <w:r>
              <w:rPr>
                <w:noProof/>
                <w:color w:val="000000"/>
                <w:sz w:val="20"/>
              </w:rPr>
              <w:t> </w:t>
            </w:r>
          </w:p>
        </w:tc>
        <w:tc>
          <w:tcPr>
            <w:tcW w:w="1096" w:type="dxa"/>
            <w:tcBorders>
              <w:top w:val="single" w:sz="4" w:space="0" w:color="auto"/>
              <w:left w:val="nil"/>
              <w:bottom w:val="single" w:sz="4" w:space="0" w:color="auto"/>
              <w:right w:val="single" w:sz="4" w:space="0" w:color="auto"/>
            </w:tcBorders>
            <w:shd w:val="clear" w:color="auto" w:fill="C6EFCE"/>
            <w:noWrap/>
          </w:tcPr>
          <w:p w14:paraId="392C259B" w14:textId="77777777" w:rsidR="009872B9" w:rsidRDefault="009872B9" w:rsidP="0001477B">
            <w:pPr>
              <w:jc w:val="center"/>
              <w:rPr>
                <w:rFonts w:ascii="Times New Roman" w:hAnsi="Times New Roman" w:cs="Times New Roman"/>
                <w:noProof/>
                <w:sz w:val="20"/>
                <w:szCs w:val="20"/>
              </w:rPr>
            </w:pPr>
            <w:r>
              <w:rPr>
                <w:noProof/>
                <w:color w:val="000000"/>
                <w:sz w:val="20"/>
              </w:rPr>
              <w:t>Broj</w:t>
            </w:r>
            <w:r>
              <w:rPr>
                <w:noProof/>
                <w:color w:val="000000"/>
                <w:sz w:val="20"/>
              </w:rPr>
              <w:br/>
            </w:r>
            <w:r>
              <w:rPr>
                <w:noProof/>
                <w:color w:val="000000"/>
                <w:sz w:val="20"/>
              </w:rPr>
              <w:br/>
            </w:r>
            <w:r>
              <w:rPr>
                <w:noProof/>
                <w:color w:val="000000"/>
                <w:sz w:val="20"/>
              </w:rPr>
              <w:br/>
            </w:r>
          </w:p>
        </w:tc>
        <w:tc>
          <w:tcPr>
            <w:tcW w:w="821" w:type="dxa"/>
            <w:tcBorders>
              <w:top w:val="single" w:sz="4" w:space="0" w:color="auto"/>
              <w:left w:val="nil"/>
              <w:bottom w:val="single" w:sz="4" w:space="0" w:color="auto"/>
              <w:right w:val="single" w:sz="4" w:space="0" w:color="auto"/>
            </w:tcBorders>
            <w:shd w:val="clear" w:color="auto" w:fill="C6EFCE"/>
            <w:noWrap/>
          </w:tcPr>
          <w:p w14:paraId="6DAB714A" w14:textId="77777777" w:rsidR="009872B9" w:rsidRDefault="009872B9" w:rsidP="0001477B">
            <w:pPr>
              <w:jc w:val="center"/>
              <w:rPr>
                <w:rFonts w:ascii="Times New Roman" w:hAnsi="Times New Roman" w:cs="Times New Roman"/>
                <w:noProof/>
                <w:sz w:val="20"/>
                <w:szCs w:val="20"/>
              </w:rPr>
            </w:pPr>
            <w:r>
              <w:rPr>
                <w:noProof/>
                <w:color w:val="000000"/>
                <w:sz w:val="20"/>
              </w:rPr>
              <w:t>0</w:t>
            </w:r>
          </w:p>
        </w:tc>
        <w:tc>
          <w:tcPr>
            <w:tcW w:w="970" w:type="dxa"/>
            <w:tcBorders>
              <w:top w:val="single" w:sz="4" w:space="0" w:color="auto"/>
              <w:left w:val="nil"/>
              <w:bottom w:val="single" w:sz="4" w:space="0" w:color="auto"/>
              <w:right w:val="single" w:sz="4" w:space="0" w:color="auto"/>
            </w:tcBorders>
            <w:shd w:val="clear" w:color="auto" w:fill="C6EFCE"/>
            <w:noWrap/>
          </w:tcPr>
          <w:p w14:paraId="652616BF" w14:textId="77777777" w:rsidR="009872B9" w:rsidRDefault="009872B9" w:rsidP="0001477B">
            <w:pPr>
              <w:jc w:val="center"/>
              <w:rPr>
                <w:rFonts w:ascii="Times New Roman" w:hAnsi="Times New Roman" w:cs="Times New Roman"/>
                <w:noProof/>
                <w:sz w:val="20"/>
                <w:szCs w:val="20"/>
              </w:rPr>
            </w:pPr>
            <w:r>
              <w:rPr>
                <w:noProof/>
                <w:color w:val="000000"/>
                <w:sz w:val="20"/>
              </w:rPr>
              <w:t>4</w:t>
            </w:r>
          </w:p>
        </w:tc>
        <w:tc>
          <w:tcPr>
            <w:tcW w:w="613" w:type="dxa"/>
            <w:tcBorders>
              <w:top w:val="single" w:sz="4" w:space="0" w:color="auto"/>
              <w:left w:val="nil"/>
              <w:bottom w:val="single" w:sz="4" w:space="0" w:color="auto"/>
              <w:right w:val="single" w:sz="4" w:space="0" w:color="auto"/>
            </w:tcBorders>
            <w:shd w:val="clear" w:color="auto" w:fill="C6EFCE"/>
            <w:noWrap/>
          </w:tcPr>
          <w:p w14:paraId="014388C3" w14:textId="77777777" w:rsidR="009872B9" w:rsidRDefault="009872B9" w:rsidP="0001477B">
            <w:pPr>
              <w:jc w:val="center"/>
              <w:rPr>
                <w:rFonts w:ascii="Times New Roman" w:hAnsi="Times New Roman" w:cs="Times New Roman"/>
                <w:noProof/>
                <w:sz w:val="20"/>
                <w:szCs w:val="20"/>
              </w:rPr>
            </w:pPr>
            <w:r>
              <w:rPr>
                <w:noProof/>
                <w:color w:val="000000"/>
                <w:sz w:val="20"/>
              </w:rPr>
              <w:t>1.</w:t>
            </w:r>
          </w:p>
        </w:tc>
        <w:tc>
          <w:tcPr>
            <w:tcW w:w="992" w:type="dxa"/>
            <w:tcBorders>
              <w:top w:val="single" w:sz="4" w:space="0" w:color="auto"/>
              <w:left w:val="nil"/>
              <w:bottom w:val="single" w:sz="4" w:space="0" w:color="auto"/>
              <w:right w:val="single" w:sz="4" w:space="0" w:color="auto"/>
            </w:tcBorders>
            <w:shd w:val="clear" w:color="auto" w:fill="C6EFCE"/>
            <w:noWrap/>
          </w:tcPr>
          <w:p w14:paraId="16E25F7C" w14:textId="77777777" w:rsidR="009872B9" w:rsidRDefault="009872B9" w:rsidP="0001477B">
            <w:pPr>
              <w:jc w:val="center"/>
              <w:rPr>
                <w:rFonts w:ascii="Times New Roman" w:hAnsi="Times New Roman" w:cs="Times New Roman"/>
                <w:noProof/>
                <w:sz w:val="20"/>
                <w:szCs w:val="20"/>
              </w:rPr>
            </w:pPr>
            <w:r>
              <w:rPr>
                <w:noProof/>
                <w:color w:val="000000"/>
                <w:sz w:val="20"/>
              </w:rPr>
              <w:t>2025.</w:t>
            </w:r>
          </w:p>
        </w:tc>
        <w:tc>
          <w:tcPr>
            <w:tcW w:w="3979" w:type="dxa"/>
            <w:tcBorders>
              <w:top w:val="single" w:sz="4" w:space="0" w:color="auto"/>
              <w:left w:val="nil"/>
              <w:bottom w:val="single" w:sz="4" w:space="0" w:color="auto"/>
              <w:right w:val="single" w:sz="4" w:space="0" w:color="auto"/>
            </w:tcBorders>
            <w:shd w:val="clear" w:color="auto" w:fill="C6EFCE"/>
            <w:noWrap/>
          </w:tcPr>
          <w:p w14:paraId="0575C5D5" w14:textId="77777777" w:rsidR="009872B9" w:rsidRDefault="009872B9" w:rsidP="0001477B">
            <w:pPr>
              <w:rPr>
                <w:rFonts w:ascii="Times New Roman" w:hAnsi="Times New Roman" w:cs="Times New Roman"/>
                <w:noProof/>
                <w:sz w:val="20"/>
                <w:szCs w:val="20"/>
              </w:rPr>
            </w:pPr>
            <w:r>
              <w:rPr>
                <w:noProof/>
                <w:color w:val="000000"/>
                <w:sz w:val="20"/>
              </w:rPr>
              <w:t>Barem četiri istraživačka projekta kojima se izravno podupire zelena tranzicija, a provode ih znanstvene organizacije koje su potpisale nove programske sporazume (istraživački projekti) bit će dovršeno na temelju poziva na podnošenje projekata na temelju objavljenih specifikacija natječaja čiji opis poslova uključuje kriterije prihvatljivosti kojima se osigurava da su odabrani projekti u skladu s Tehničkim smjernicama za primjenu načela nenanošenja bitne štete (2021/C58/01) primjenom popisa neprihvatljivih aktivnosti i ulaganja i zahtjeva u pogledu usklađenosti s relevantnim EU-ovim i nacionalnim propisima o okolišu.</w:t>
            </w:r>
          </w:p>
        </w:tc>
      </w:tr>
      <w:tr w:rsidR="009872B9" w14:paraId="3D6C88E6"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525F138B" w14:textId="77777777" w:rsidR="009872B9" w:rsidRDefault="009872B9" w:rsidP="0001477B">
            <w:pPr>
              <w:spacing w:after="0"/>
              <w:jc w:val="center"/>
              <w:rPr>
                <w:rFonts w:ascii="Times New Roman" w:hAnsi="Times New Roman" w:cs="Times New Roman"/>
                <w:noProof/>
                <w:sz w:val="20"/>
                <w:szCs w:val="20"/>
              </w:rPr>
            </w:pPr>
            <w:r>
              <w:rPr>
                <w:noProof/>
                <w:color w:val="000000"/>
                <w:sz w:val="20"/>
              </w:rPr>
              <w:t>279</w:t>
            </w:r>
          </w:p>
        </w:tc>
        <w:tc>
          <w:tcPr>
            <w:tcW w:w="850" w:type="dxa"/>
            <w:tcBorders>
              <w:top w:val="nil"/>
              <w:left w:val="nil"/>
              <w:bottom w:val="single" w:sz="4" w:space="0" w:color="auto"/>
              <w:right w:val="single" w:sz="4" w:space="0" w:color="auto"/>
            </w:tcBorders>
            <w:shd w:val="clear" w:color="auto" w:fill="C6EFCE"/>
            <w:noWrap/>
          </w:tcPr>
          <w:p w14:paraId="247D9407" w14:textId="77777777" w:rsidR="009872B9" w:rsidRDefault="009872B9" w:rsidP="0001477B">
            <w:pPr>
              <w:jc w:val="center"/>
              <w:rPr>
                <w:rFonts w:ascii="Times New Roman" w:hAnsi="Times New Roman" w:cs="Times New Roman"/>
                <w:noProof/>
                <w:sz w:val="20"/>
                <w:szCs w:val="20"/>
              </w:rPr>
            </w:pPr>
            <w:r>
              <w:rPr>
                <w:noProof/>
                <w:color w:val="000000"/>
                <w:sz w:val="20"/>
              </w:rPr>
              <w:t>C3.2. R1-I1</w:t>
            </w:r>
          </w:p>
        </w:tc>
        <w:tc>
          <w:tcPr>
            <w:tcW w:w="850" w:type="dxa"/>
            <w:tcBorders>
              <w:top w:val="nil"/>
              <w:left w:val="nil"/>
              <w:bottom w:val="single" w:sz="4" w:space="0" w:color="auto"/>
              <w:right w:val="single" w:sz="4" w:space="0" w:color="auto"/>
            </w:tcBorders>
            <w:shd w:val="clear" w:color="auto" w:fill="C6EFCE"/>
            <w:noWrap/>
          </w:tcPr>
          <w:p w14:paraId="00A48825"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nil"/>
              <w:left w:val="nil"/>
              <w:bottom w:val="single" w:sz="4" w:space="0" w:color="auto"/>
              <w:right w:val="single" w:sz="4" w:space="0" w:color="auto"/>
            </w:tcBorders>
            <w:shd w:val="clear" w:color="auto" w:fill="C6EFCE"/>
            <w:noWrap/>
          </w:tcPr>
          <w:p w14:paraId="43079E60" w14:textId="77777777" w:rsidR="009872B9" w:rsidRDefault="009872B9" w:rsidP="0001477B">
            <w:pPr>
              <w:rPr>
                <w:rFonts w:ascii="Times New Roman" w:hAnsi="Times New Roman" w:cs="Times New Roman"/>
                <w:noProof/>
                <w:sz w:val="20"/>
                <w:szCs w:val="20"/>
              </w:rPr>
            </w:pPr>
            <w:r>
              <w:rPr>
                <w:noProof/>
                <w:color w:val="000000"/>
                <w:sz w:val="20"/>
              </w:rPr>
              <w:t>Sredstva dodijeljena istraživačkim projektima na temelju internih poziva istraživačkih organizacija</w:t>
            </w:r>
          </w:p>
        </w:tc>
        <w:tc>
          <w:tcPr>
            <w:tcW w:w="1957" w:type="dxa"/>
            <w:tcBorders>
              <w:top w:val="nil"/>
              <w:left w:val="nil"/>
              <w:bottom w:val="single" w:sz="4" w:space="0" w:color="auto"/>
              <w:right w:val="single" w:sz="4" w:space="0" w:color="auto"/>
            </w:tcBorders>
            <w:shd w:val="clear" w:color="auto" w:fill="C6EFCE"/>
            <w:noWrap/>
          </w:tcPr>
          <w:p w14:paraId="1653A5CA" w14:textId="77777777" w:rsidR="009872B9" w:rsidRDefault="009872B9" w:rsidP="0001477B">
            <w:pPr>
              <w:rPr>
                <w:rFonts w:ascii="Times New Roman" w:hAnsi="Times New Roman" w:cs="Times New Roman"/>
                <w:noProof/>
                <w:sz w:val="20"/>
                <w:szCs w:val="20"/>
              </w:rPr>
            </w:pPr>
            <w:r>
              <w:rPr>
                <w:noProof/>
                <w:color w:val="000000"/>
                <w:sz w:val="20"/>
              </w:rPr>
              <w:t> </w:t>
            </w:r>
          </w:p>
        </w:tc>
        <w:tc>
          <w:tcPr>
            <w:tcW w:w="1096" w:type="dxa"/>
            <w:tcBorders>
              <w:top w:val="nil"/>
              <w:left w:val="nil"/>
              <w:bottom w:val="single" w:sz="4" w:space="0" w:color="auto"/>
              <w:right w:val="single" w:sz="4" w:space="0" w:color="auto"/>
            </w:tcBorders>
            <w:shd w:val="clear" w:color="auto" w:fill="C6EFCE"/>
            <w:noWrap/>
          </w:tcPr>
          <w:p w14:paraId="220BFE51" w14:textId="77777777" w:rsidR="009872B9" w:rsidRDefault="009872B9" w:rsidP="0001477B">
            <w:pPr>
              <w:jc w:val="center"/>
              <w:rPr>
                <w:rFonts w:ascii="Times New Roman" w:hAnsi="Times New Roman" w:cs="Times New Roman"/>
                <w:noProof/>
                <w:sz w:val="20"/>
                <w:szCs w:val="20"/>
              </w:rPr>
            </w:pPr>
            <w:r>
              <w:rPr>
                <w:noProof/>
                <w:color w:val="000000"/>
                <w:sz w:val="20"/>
              </w:rPr>
              <w:t>Broj (iznos)</w:t>
            </w:r>
          </w:p>
        </w:tc>
        <w:tc>
          <w:tcPr>
            <w:tcW w:w="821" w:type="dxa"/>
            <w:tcBorders>
              <w:top w:val="nil"/>
              <w:left w:val="nil"/>
              <w:bottom w:val="single" w:sz="4" w:space="0" w:color="auto"/>
              <w:right w:val="single" w:sz="4" w:space="0" w:color="auto"/>
            </w:tcBorders>
            <w:shd w:val="clear" w:color="auto" w:fill="C6EFCE"/>
            <w:noWrap/>
          </w:tcPr>
          <w:p w14:paraId="41282B4A"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970" w:type="dxa"/>
            <w:tcBorders>
              <w:top w:val="nil"/>
              <w:left w:val="nil"/>
              <w:bottom w:val="single" w:sz="4" w:space="0" w:color="auto"/>
              <w:right w:val="single" w:sz="4" w:space="0" w:color="auto"/>
            </w:tcBorders>
            <w:shd w:val="clear" w:color="auto" w:fill="C6EFCE"/>
            <w:noWrap/>
          </w:tcPr>
          <w:p w14:paraId="3D1182C2" w14:textId="77777777" w:rsidR="009872B9" w:rsidRDefault="009872B9" w:rsidP="0001477B">
            <w:pPr>
              <w:jc w:val="center"/>
              <w:rPr>
                <w:rFonts w:ascii="Times New Roman" w:hAnsi="Times New Roman" w:cs="Times New Roman"/>
                <w:noProof/>
                <w:sz w:val="20"/>
                <w:szCs w:val="20"/>
              </w:rPr>
            </w:pPr>
            <w:r>
              <w:rPr>
                <w:noProof/>
                <w:color w:val="000000"/>
                <w:sz w:val="20"/>
              </w:rPr>
              <w:t xml:space="preserve">58 730 264  </w:t>
            </w:r>
          </w:p>
        </w:tc>
        <w:tc>
          <w:tcPr>
            <w:tcW w:w="613" w:type="dxa"/>
            <w:tcBorders>
              <w:top w:val="nil"/>
              <w:left w:val="nil"/>
              <w:bottom w:val="single" w:sz="4" w:space="0" w:color="auto"/>
              <w:right w:val="single" w:sz="4" w:space="0" w:color="auto"/>
            </w:tcBorders>
            <w:shd w:val="clear" w:color="auto" w:fill="C6EFCE"/>
            <w:noWrap/>
          </w:tcPr>
          <w:p w14:paraId="63D23440" w14:textId="77777777" w:rsidR="009872B9" w:rsidRDefault="009872B9" w:rsidP="0001477B">
            <w:pPr>
              <w:jc w:val="center"/>
              <w:rPr>
                <w:rFonts w:ascii="Times New Roman" w:hAnsi="Times New Roman" w:cs="Times New Roman"/>
                <w:noProof/>
                <w:sz w:val="20"/>
                <w:szCs w:val="20"/>
              </w:rPr>
            </w:pPr>
            <w:r>
              <w:rPr>
                <w:noProof/>
                <w:color w:val="000000"/>
                <w:sz w:val="20"/>
              </w:rPr>
              <w:t>2.</w:t>
            </w:r>
          </w:p>
        </w:tc>
        <w:tc>
          <w:tcPr>
            <w:tcW w:w="992" w:type="dxa"/>
            <w:tcBorders>
              <w:top w:val="nil"/>
              <w:left w:val="nil"/>
              <w:bottom w:val="single" w:sz="4" w:space="0" w:color="auto"/>
              <w:right w:val="single" w:sz="4" w:space="0" w:color="auto"/>
            </w:tcBorders>
            <w:shd w:val="clear" w:color="auto" w:fill="C6EFCE"/>
            <w:noWrap/>
          </w:tcPr>
          <w:p w14:paraId="122B6B0C" w14:textId="77777777" w:rsidR="009872B9" w:rsidRDefault="009872B9" w:rsidP="0001477B">
            <w:pPr>
              <w:jc w:val="center"/>
              <w:rPr>
                <w:rFonts w:ascii="Times New Roman" w:hAnsi="Times New Roman" w:cs="Times New Roman"/>
                <w:noProof/>
                <w:sz w:val="20"/>
                <w:szCs w:val="20"/>
              </w:rPr>
            </w:pPr>
            <w:r>
              <w:rPr>
                <w:noProof/>
                <w:color w:val="000000"/>
                <w:sz w:val="20"/>
              </w:rPr>
              <w:t>2025.</w:t>
            </w:r>
          </w:p>
        </w:tc>
        <w:tc>
          <w:tcPr>
            <w:tcW w:w="3979" w:type="dxa"/>
            <w:tcBorders>
              <w:top w:val="nil"/>
              <w:left w:val="nil"/>
              <w:bottom w:val="single" w:sz="4" w:space="0" w:color="auto"/>
              <w:right w:val="single" w:sz="4" w:space="0" w:color="auto"/>
            </w:tcBorders>
            <w:shd w:val="clear" w:color="auto" w:fill="C6EFCE"/>
            <w:noWrap/>
          </w:tcPr>
          <w:p w14:paraId="26B65F23" w14:textId="77777777" w:rsidR="009872B9" w:rsidRDefault="009872B9" w:rsidP="0001477B">
            <w:pPr>
              <w:rPr>
                <w:rFonts w:ascii="Times New Roman" w:hAnsi="Times New Roman" w:cs="Times New Roman"/>
                <w:noProof/>
                <w:sz w:val="20"/>
                <w:szCs w:val="20"/>
              </w:rPr>
            </w:pPr>
            <w:r>
              <w:rPr>
                <w:noProof/>
                <w:color w:val="000000"/>
                <w:sz w:val="20"/>
              </w:rPr>
              <w:t>Iznos od 58 730 264 EUR dodijelit će se istraživačkim projektima koje provode sveučilišta i istraživački instituti koji su potpisali programske sporazume. Projektima se podupiru izravne znanstvene i istraživačke aktivnosti (istraživački projekti) i temelje se na objavljenim specifikacijama natječaja čiji opis poslova uključuje kriterije prihvatljivosti kojima se osigurava da su odabrani projekti u skladu s Tehničkim smjernicama za primjenu načela nenanošenja bitne štete (2021/C58/01) primjenom popisa neprihvatljivih aktivnosti i ulaganja i zahtjeva u pogledu usklađenosti s relevantnim EU-ovim i nacionalnim propisima o okolišu.</w:t>
            </w:r>
          </w:p>
        </w:tc>
      </w:tr>
      <w:tr w:rsidR="009872B9" w14:paraId="30DD843F"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7CCA877" w14:textId="77777777" w:rsidR="009872B9" w:rsidRDefault="009872B9" w:rsidP="0001477B">
            <w:pPr>
              <w:jc w:val="center"/>
              <w:rPr>
                <w:rFonts w:ascii="Times New Roman" w:hAnsi="Times New Roman" w:cs="Times New Roman"/>
                <w:noProof/>
                <w:sz w:val="20"/>
                <w:szCs w:val="20"/>
              </w:rPr>
            </w:pPr>
            <w:r>
              <w:rPr>
                <w:noProof/>
                <w:color w:val="000000"/>
                <w:sz w:val="20"/>
              </w:rPr>
              <w:t>280</w:t>
            </w:r>
          </w:p>
        </w:tc>
        <w:tc>
          <w:tcPr>
            <w:tcW w:w="850" w:type="dxa"/>
            <w:tcBorders>
              <w:top w:val="single" w:sz="4" w:space="0" w:color="auto"/>
              <w:left w:val="nil"/>
              <w:bottom w:val="single" w:sz="4" w:space="0" w:color="auto"/>
              <w:right w:val="single" w:sz="4" w:space="0" w:color="auto"/>
            </w:tcBorders>
            <w:shd w:val="clear" w:color="auto" w:fill="C6EFCE"/>
            <w:noWrap/>
          </w:tcPr>
          <w:p w14:paraId="51678697" w14:textId="77777777" w:rsidR="009872B9" w:rsidRDefault="009872B9" w:rsidP="0001477B">
            <w:pPr>
              <w:jc w:val="center"/>
              <w:rPr>
                <w:rFonts w:ascii="Times New Roman" w:hAnsi="Times New Roman" w:cs="Times New Roman"/>
                <w:noProof/>
                <w:sz w:val="20"/>
                <w:szCs w:val="20"/>
              </w:rPr>
            </w:pPr>
            <w:r>
              <w:rPr>
                <w:noProof/>
                <w:color w:val="000000"/>
                <w:sz w:val="20"/>
              </w:rPr>
              <w:t>C3.2. R1-I2</w:t>
            </w:r>
          </w:p>
        </w:tc>
        <w:tc>
          <w:tcPr>
            <w:tcW w:w="850" w:type="dxa"/>
            <w:tcBorders>
              <w:top w:val="single" w:sz="4" w:space="0" w:color="auto"/>
              <w:left w:val="nil"/>
              <w:bottom w:val="single" w:sz="4" w:space="0" w:color="auto"/>
              <w:right w:val="single" w:sz="4" w:space="0" w:color="auto"/>
            </w:tcBorders>
            <w:shd w:val="clear" w:color="auto" w:fill="C6EFCE"/>
            <w:noWrap/>
          </w:tcPr>
          <w:p w14:paraId="0BA332E3"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single" w:sz="4" w:space="0" w:color="auto"/>
              <w:left w:val="nil"/>
              <w:bottom w:val="single" w:sz="4" w:space="0" w:color="auto"/>
              <w:right w:val="single" w:sz="4" w:space="0" w:color="auto"/>
            </w:tcBorders>
            <w:shd w:val="clear" w:color="auto" w:fill="C6EFCE"/>
            <w:noWrap/>
          </w:tcPr>
          <w:p w14:paraId="0EE3F4C0" w14:textId="77777777" w:rsidR="009872B9" w:rsidRDefault="009872B9" w:rsidP="0001477B">
            <w:pPr>
              <w:rPr>
                <w:rFonts w:ascii="Times New Roman" w:hAnsi="Times New Roman" w:cs="Times New Roman"/>
                <w:noProof/>
                <w:sz w:val="20"/>
                <w:szCs w:val="20"/>
              </w:rPr>
            </w:pPr>
            <w:r>
              <w:rPr>
                <w:noProof/>
                <w:color w:val="000000"/>
                <w:sz w:val="20"/>
              </w:rPr>
              <w:t xml:space="preserve">Reorganizacija visokih učilišta i znanstvenih instituta </w:t>
            </w:r>
          </w:p>
        </w:tc>
        <w:tc>
          <w:tcPr>
            <w:tcW w:w="1957" w:type="dxa"/>
            <w:tcBorders>
              <w:top w:val="single" w:sz="4" w:space="0" w:color="auto"/>
              <w:left w:val="nil"/>
              <w:bottom w:val="single" w:sz="4" w:space="0" w:color="auto"/>
              <w:right w:val="single" w:sz="4" w:space="0" w:color="auto"/>
            </w:tcBorders>
            <w:shd w:val="clear" w:color="auto" w:fill="C6EFCE"/>
            <w:noWrap/>
          </w:tcPr>
          <w:p w14:paraId="5A312BC3" w14:textId="77777777" w:rsidR="009872B9" w:rsidRDefault="009872B9" w:rsidP="0001477B">
            <w:pPr>
              <w:rPr>
                <w:rFonts w:ascii="Times New Roman" w:hAnsi="Times New Roman" w:cs="Times New Roman"/>
                <w:noProof/>
                <w:sz w:val="20"/>
                <w:szCs w:val="20"/>
              </w:rPr>
            </w:pPr>
            <w:r>
              <w:rPr>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B68B2A8" w14:textId="77777777" w:rsidR="009872B9" w:rsidRDefault="009872B9" w:rsidP="0001477B">
            <w:pPr>
              <w:jc w:val="center"/>
              <w:rPr>
                <w:rFonts w:ascii="Times New Roman" w:hAnsi="Times New Roman" w:cs="Times New Roman"/>
                <w:noProof/>
                <w:sz w:val="20"/>
                <w:szCs w:val="20"/>
              </w:rPr>
            </w:pPr>
            <w:r>
              <w:rPr>
                <w:noProof/>
                <w:color w:val="000000"/>
                <w:sz w:val="20"/>
              </w:rPr>
              <w:t>Broj</w:t>
            </w:r>
          </w:p>
        </w:tc>
        <w:tc>
          <w:tcPr>
            <w:tcW w:w="821" w:type="dxa"/>
            <w:tcBorders>
              <w:top w:val="single" w:sz="4" w:space="0" w:color="auto"/>
              <w:left w:val="nil"/>
              <w:bottom w:val="single" w:sz="4" w:space="0" w:color="auto"/>
              <w:right w:val="single" w:sz="4" w:space="0" w:color="auto"/>
            </w:tcBorders>
            <w:shd w:val="clear" w:color="auto" w:fill="C6EFCE"/>
            <w:noWrap/>
          </w:tcPr>
          <w:p w14:paraId="6A9A9033" w14:textId="77777777" w:rsidR="009872B9" w:rsidRDefault="009872B9" w:rsidP="0001477B">
            <w:pPr>
              <w:jc w:val="center"/>
              <w:rPr>
                <w:rFonts w:ascii="Times New Roman" w:hAnsi="Times New Roman" w:cs="Times New Roman"/>
                <w:noProof/>
                <w:sz w:val="20"/>
                <w:szCs w:val="20"/>
              </w:rPr>
            </w:pPr>
            <w:r>
              <w:rPr>
                <w:noProof/>
                <w:color w:val="000000"/>
                <w:sz w:val="20"/>
              </w:rPr>
              <w:t>0</w:t>
            </w:r>
          </w:p>
        </w:tc>
        <w:tc>
          <w:tcPr>
            <w:tcW w:w="970" w:type="dxa"/>
            <w:tcBorders>
              <w:top w:val="single" w:sz="4" w:space="0" w:color="auto"/>
              <w:left w:val="nil"/>
              <w:bottom w:val="single" w:sz="4" w:space="0" w:color="auto"/>
              <w:right w:val="single" w:sz="4" w:space="0" w:color="auto"/>
            </w:tcBorders>
            <w:shd w:val="clear" w:color="auto" w:fill="C6EFCE"/>
            <w:noWrap/>
          </w:tcPr>
          <w:p w14:paraId="469AE512" w14:textId="77777777" w:rsidR="009872B9" w:rsidRDefault="009872B9" w:rsidP="0001477B">
            <w:pPr>
              <w:jc w:val="center"/>
              <w:rPr>
                <w:rFonts w:ascii="Times New Roman" w:hAnsi="Times New Roman" w:cs="Times New Roman"/>
                <w:noProof/>
                <w:sz w:val="20"/>
                <w:szCs w:val="20"/>
              </w:rPr>
            </w:pPr>
            <w:r>
              <w:rPr>
                <w:noProof/>
                <w:color w:val="000000"/>
                <w:sz w:val="20"/>
              </w:rPr>
              <w:t>6</w:t>
            </w:r>
          </w:p>
        </w:tc>
        <w:tc>
          <w:tcPr>
            <w:tcW w:w="613" w:type="dxa"/>
            <w:tcBorders>
              <w:top w:val="single" w:sz="4" w:space="0" w:color="auto"/>
              <w:left w:val="nil"/>
              <w:bottom w:val="single" w:sz="4" w:space="0" w:color="auto"/>
              <w:right w:val="single" w:sz="4" w:space="0" w:color="auto"/>
            </w:tcBorders>
            <w:shd w:val="clear" w:color="auto" w:fill="C6EFCE"/>
            <w:noWrap/>
          </w:tcPr>
          <w:p w14:paraId="3F52B6A3" w14:textId="77777777" w:rsidR="009872B9" w:rsidRDefault="009872B9" w:rsidP="0001477B">
            <w:pPr>
              <w:jc w:val="center"/>
              <w:rPr>
                <w:rFonts w:ascii="Times New Roman" w:hAnsi="Times New Roman" w:cs="Times New Roman"/>
                <w:noProof/>
                <w:sz w:val="20"/>
                <w:szCs w:val="20"/>
              </w:rPr>
            </w:pPr>
            <w:r>
              <w:rPr>
                <w:noProof/>
                <w:color w:val="000000"/>
                <w:sz w:val="20"/>
              </w:rPr>
              <w:t>4.</w:t>
            </w:r>
          </w:p>
        </w:tc>
        <w:tc>
          <w:tcPr>
            <w:tcW w:w="992" w:type="dxa"/>
            <w:tcBorders>
              <w:top w:val="single" w:sz="4" w:space="0" w:color="auto"/>
              <w:left w:val="nil"/>
              <w:bottom w:val="single" w:sz="4" w:space="0" w:color="auto"/>
              <w:right w:val="single" w:sz="4" w:space="0" w:color="auto"/>
            </w:tcBorders>
            <w:shd w:val="clear" w:color="auto" w:fill="C6EFCE"/>
            <w:noWrap/>
          </w:tcPr>
          <w:p w14:paraId="63354F8C" w14:textId="77777777" w:rsidR="009872B9" w:rsidRDefault="009872B9" w:rsidP="0001477B">
            <w:pPr>
              <w:jc w:val="center"/>
              <w:rPr>
                <w:rFonts w:ascii="Times New Roman" w:hAnsi="Times New Roman" w:cs="Times New Roman"/>
                <w:noProof/>
                <w:sz w:val="20"/>
                <w:szCs w:val="20"/>
              </w:rPr>
            </w:pPr>
            <w:r>
              <w:rPr>
                <w:noProof/>
                <w:color w:val="000000"/>
                <w:sz w:val="20"/>
              </w:rPr>
              <w:t>2025.</w:t>
            </w:r>
          </w:p>
        </w:tc>
        <w:tc>
          <w:tcPr>
            <w:tcW w:w="3979" w:type="dxa"/>
            <w:tcBorders>
              <w:top w:val="single" w:sz="4" w:space="0" w:color="auto"/>
              <w:left w:val="nil"/>
              <w:bottom w:val="single" w:sz="4" w:space="0" w:color="auto"/>
              <w:right w:val="single" w:sz="4" w:space="0" w:color="auto"/>
            </w:tcBorders>
            <w:shd w:val="clear" w:color="auto" w:fill="C6EFCE"/>
            <w:noWrap/>
          </w:tcPr>
          <w:p w14:paraId="0F39A0E1" w14:textId="77777777" w:rsidR="009872B9" w:rsidRDefault="009872B9" w:rsidP="0001477B">
            <w:pPr>
              <w:rPr>
                <w:rFonts w:ascii="Times New Roman" w:hAnsi="Times New Roman" w:cs="Times New Roman"/>
                <w:noProof/>
                <w:sz w:val="20"/>
                <w:szCs w:val="20"/>
              </w:rPr>
            </w:pPr>
            <w:r>
              <w:rPr>
                <w:noProof/>
                <w:color w:val="000000"/>
                <w:sz w:val="20"/>
              </w:rPr>
              <w:t>Na temelju modela reorganizacije visokih učilišta i znanstvenih ustanova koji su izradili neovisni vanjski stručnjaci, a donio MZO u dijalogu s akademskom zajednicom i socijalnim partnerima, dovršava se najmanje šest (6) reorganizacija visokih učilišta i znanstvenih ustanova, što obuhvaća najmanje dvanaest (12) znanstvenoistraživačkih organizacija. Provedba pojedine reorganizacije može uključivati formalno spajanje, funkcionalnu integraciju i/ili institucionalnu konsolidaciju (npr. konsolidacija više sastavnica Sveučilišta, integracija prethodno neovisnih instituta u sveučilište, spajanje dvaju ili više instituta). Smatra se da reorganizacija uključuje promjenu statusa dviju ili više ustanova i ta mjera stoga za posljedicu ima integraciju/konsolidaciju najmanje 12 znanstveno-istraživačkih organizacija.</w:t>
            </w:r>
          </w:p>
        </w:tc>
      </w:tr>
      <w:tr w:rsidR="009872B9" w14:paraId="0499C507"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3D273AAE" w14:textId="77777777" w:rsidR="009872B9" w:rsidRDefault="009872B9" w:rsidP="0001477B">
            <w:pPr>
              <w:jc w:val="center"/>
              <w:rPr>
                <w:rFonts w:ascii="Times New Roman" w:hAnsi="Times New Roman" w:cs="Times New Roman"/>
                <w:noProof/>
                <w:sz w:val="20"/>
                <w:szCs w:val="20"/>
              </w:rPr>
            </w:pPr>
            <w:r>
              <w:rPr>
                <w:noProof/>
                <w:color w:val="000000"/>
                <w:sz w:val="20"/>
              </w:rPr>
              <w:t>281</w:t>
            </w:r>
          </w:p>
        </w:tc>
        <w:tc>
          <w:tcPr>
            <w:tcW w:w="850" w:type="dxa"/>
            <w:tcBorders>
              <w:top w:val="nil"/>
              <w:left w:val="nil"/>
              <w:bottom w:val="single" w:sz="4" w:space="0" w:color="auto"/>
              <w:right w:val="single" w:sz="4" w:space="0" w:color="auto"/>
            </w:tcBorders>
            <w:shd w:val="clear" w:color="auto" w:fill="C6EFCE"/>
            <w:noWrap/>
          </w:tcPr>
          <w:p w14:paraId="2502FE3A" w14:textId="77777777" w:rsidR="009872B9" w:rsidRDefault="009872B9" w:rsidP="0001477B">
            <w:pPr>
              <w:jc w:val="center"/>
              <w:rPr>
                <w:rFonts w:ascii="Times New Roman" w:hAnsi="Times New Roman" w:cs="Times New Roman"/>
                <w:noProof/>
                <w:sz w:val="20"/>
                <w:szCs w:val="20"/>
              </w:rPr>
            </w:pPr>
            <w:r>
              <w:rPr>
                <w:noProof/>
                <w:color w:val="000000"/>
                <w:sz w:val="20"/>
              </w:rPr>
              <w:t>C3.2. R2</w:t>
            </w:r>
          </w:p>
        </w:tc>
        <w:tc>
          <w:tcPr>
            <w:tcW w:w="850" w:type="dxa"/>
            <w:tcBorders>
              <w:top w:val="nil"/>
              <w:left w:val="nil"/>
              <w:bottom w:val="single" w:sz="4" w:space="0" w:color="auto"/>
              <w:right w:val="single" w:sz="4" w:space="0" w:color="auto"/>
            </w:tcBorders>
            <w:shd w:val="clear" w:color="auto" w:fill="C6EFCE"/>
            <w:noWrap/>
          </w:tcPr>
          <w:p w14:paraId="7EDFC8D0" w14:textId="77777777" w:rsidR="009872B9" w:rsidRDefault="009872B9" w:rsidP="0001477B">
            <w:pPr>
              <w:jc w:val="center"/>
              <w:rPr>
                <w:rFonts w:ascii="Times New Roman" w:hAnsi="Times New Roman" w:cs="Times New Roman"/>
                <w:noProof/>
                <w:sz w:val="20"/>
                <w:szCs w:val="20"/>
              </w:rPr>
            </w:pPr>
            <w:r>
              <w:rPr>
                <w:noProof/>
                <w:color w:val="000000"/>
                <w:sz w:val="20"/>
              </w:rPr>
              <w:t>Ključna etapa</w:t>
            </w:r>
          </w:p>
        </w:tc>
        <w:tc>
          <w:tcPr>
            <w:tcW w:w="1979" w:type="dxa"/>
            <w:tcBorders>
              <w:top w:val="nil"/>
              <w:left w:val="nil"/>
              <w:bottom w:val="single" w:sz="4" w:space="0" w:color="auto"/>
              <w:right w:val="single" w:sz="4" w:space="0" w:color="auto"/>
            </w:tcBorders>
            <w:shd w:val="clear" w:color="auto" w:fill="C6EFCE"/>
            <w:noWrap/>
          </w:tcPr>
          <w:p w14:paraId="6A27DA48" w14:textId="77777777" w:rsidR="009872B9" w:rsidRDefault="009872B9" w:rsidP="0001477B">
            <w:pPr>
              <w:rPr>
                <w:rFonts w:ascii="Times New Roman" w:hAnsi="Times New Roman" w:cs="Times New Roman"/>
                <w:noProof/>
                <w:sz w:val="20"/>
                <w:szCs w:val="20"/>
              </w:rPr>
            </w:pPr>
            <w:r>
              <w:rPr>
                <w:noProof/>
                <w:color w:val="000000"/>
                <w:sz w:val="20"/>
              </w:rPr>
              <w:t xml:space="preserve">Novi pravni okvir koji uređuje zahtjeve u pogledu kvalitete za studijske programe, doktorske studije i uvjete za rad znanstvenih ustanova </w:t>
            </w:r>
          </w:p>
        </w:tc>
        <w:tc>
          <w:tcPr>
            <w:tcW w:w="1957" w:type="dxa"/>
            <w:tcBorders>
              <w:top w:val="nil"/>
              <w:left w:val="nil"/>
              <w:bottom w:val="single" w:sz="4" w:space="0" w:color="auto"/>
              <w:right w:val="single" w:sz="4" w:space="0" w:color="auto"/>
            </w:tcBorders>
            <w:shd w:val="clear" w:color="auto" w:fill="C6EFCE"/>
            <w:noWrap/>
          </w:tcPr>
          <w:p w14:paraId="15EDECC7" w14:textId="77777777" w:rsidR="009872B9" w:rsidRDefault="009872B9" w:rsidP="0001477B">
            <w:pPr>
              <w:rPr>
                <w:rFonts w:ascii="Times New Roman" w:hAnsi="Times New Roman" w:cs="Times New Roman"/>
                <w:noProof/>
                <w:sz w:val="20"/>
                <w:szCs w:val="20"/>
              </w:rPr>
            </w:pPr>
            <w:r>
              <w:rPr>
                <w:noProof/>
                <w:color w:val="000000"/>
                <w:sz w:val="20"/>
              </w:rPr>
              <w:t xml:space="preserve">Stupanje na snagu novog pravnog okvira </w:t>
            </w:r>
          </w:p>
        </w:tc>
        <w:tc>
          <w:tcPr>
            <w:tcW w:w="1096" w:type="dxa"/>
            <w:tcBorders>
              <w:top w:val="nil"/>
              <w:left w:val="nil"/>
              <w:bottom w:val="single" w:sz="4" w:space="0" w:color="auto"/>
              <w:right w:val="single" w:sz="4" w:space="0" w:color="auto"/>
            </w:tcBorders>
            <w:shd w:val="clear" w:color="auto" w:fill="C6EFCE"/>
            <w:noWrap/>
          </w:tcPr>
          <w:p w14:paraId="63A141FE"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821" w:type="dxa"/>
            <w:tcBorders>
              <w:top w:val="nil"/>
              <w:left w:val="nil"/>
              <w:bottom w:val="single" w:sz="4" w:space="0" w:color="auto"/>
              <w:right w:val="single" w:sz="4" w:space="0" w:color="auto"/>
            </w:tcBorders>
            <w:shd w:val="clear" w:color="auto" w:fill="C6EFCE"/>
            <w:noWrap/>
          </w:tcPr>
          <w:p w14:paraId="3C6D93DA"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970" w:type="dxa"/>
            <w:tcBorders>
              <w:top w:val="nil"/>
              <w:left w:val="nil"/>
              <w:bottom w:val="single" w:sz="4" w:space="0" w:color="auto"/>
              <w:right w:val="single" w:sz="4" w:space="0" w:color="auto"/>
            </w:tcBorders>
            <w:shd w:val="clear" w:color="auto" w:fill="C6EFCE"/>
            <w:noWrap/>
          </w:tcPr>
          <w:p w14:paraId="52CDDF39"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613" w:type="dxa"/>
            <w:tcBorders>
              <w:top w:val="nil"/>
              <w:left w:val="nil"/>
              <w:bottom w:val="single" w:sz="4" w:space="0" w:color="auto"/>
              <w:right w:val="single" w:sz="4" w:space="0" w:color="auto"/>
            </w:tcBorders>
            <w:shd w:val="clear" w:color="auto" w:fill="C6EFCE"/>
            <w:noWrap/>
          </w:tcPr>
          <w:p w14:paraId="3EF95D0E" w14:textId="77777777" w:rsidR="009872B9" w:rsidRDefault="009872B9" w:rsidP="0001477B">
            <w:pPr>
              <w:jc w:val="center"/>
              <w:rPr>
                <w:rFonts w:ascii="Times New Roman" w:hAnsi="Times New Roman" w:cs="Times New Roman"/>
                <w:noProof/>
                <w:sz w:val="20"/>
                <w:szCs w:val="20"/>
              </w:rPr>
            </w:pPr>
            <w:r>
              <w:rPr>
                <w:noProof/>
                <w:color w:val="000000"/>
                <w:sz w:val="20"/>
              </w:rPr>
              <w:t>3.</w:t>
            </w:r>
          </w:p>
        </w:tc>
        <w:tc>
          <w:tcPr>
            <w:tcW w:w="992" w:type="dxa"/>
            <w:tcBorders>
              <w:top w:val="nil"/>
              <w:left w:val="nil"/>
              <w:bottom w:val="single" w:sz="4" w:space="0" w:color="auto"/>
              <w:right w:val="single" w:sz="4" w:space="0" w:color="auto"/>
            </w:tcBorders>
            <w:shd w:val="clear" w:color="auto" w:fill="C6EFCE"/>
            <w:noWrap/>
          </w:tcPr>
          <w:p w14:paraId="7F73C9A2" w14:textId="77777777" w:rsidR="009872B9" w:rsidRDefault="009872B9" w:rsidP="0001477B">
            <w:pPr>
              <w:jc w:val="center"/>
              <w:rPr>
                <w:rFonts w:ascii="Times New Roman" w:hAnsi="Times New Roman" w:cs="Times New Roman"/>
                <w:noProof/>
                <w:sz w:val="20"/>
                <w:szCs w:val="20"/>
              </w:rPr>
            </w:pPr>
            <w:r>
              <w:rPr>
                <w:noProof/>
                <w:color w:val="000000"/>
                <w:sz w:val="20"/>
              </w:rPr>
              <w:t>2022.</w:t>
            </w:r>
          </w:p>
        </w:tc>
        <w:tc>
          <w:tcPr>
            <w:tcW w:w="3979" w:type="dxa"/>
            <w:tcBorders>
              <w:top w:val="nil"/>
              <w:left w:val="nil"/>
              <w:bottom w:val="single" w:sz="4" w:space="0" w:color="auto"/>
              <w:right w:val="single" w:sz="4" w:space="0" w:color="auto"/>
            </w:tcBorders>
            <w:shd w:val="clear" w:color="auto" w:fill="C6EFCE"/>
            <w:noWrap/>
          </w:tcPr>
          <w:p w14:paraId="180B4D1B" w14:textId="77777777" w:rsidR="009872B9" w:rsidRDefault="009872B9" w:rsidP="0001477B">
            <w:pPr>
              <w:rPr>
                <w:rFonts w:ascii="Times New Roman" w:hAnsi="Times New Roman" w:cs="Times New Roman"/>
                <w:noProof/>
                <w:sz w:val="20"/>
                <w:szCs w:val="20"/>
              </w:rPr>
            </w:pPr>
            <w:r>
              <w:rPr>
                <w:noProof/>
                <w:color w:val="000000"/>
                <w:sz w:val="20"/>
              </w:rPr>
              <w:t>Novi pravni okvir pružit će temelj za novi sustav napredovanja na temelju izvrsnosti i bolja pravila o razvoju karijere, čime će se stvoriti preduvjeti za privlačenje i zadržavanje kvalitetnih istraživača. Novi pravni okvir mladim će znanstvenicima omogućiti uspjeh na temelju međunarodno prepoznatih znanstvenih kriterija kvalitete te smanjiti upravne prepreke. Uključuje fleksibilnu organizaciju rada radi poticanja zapošljavanja istraživača koji su pružatelji skrbi.</w:t>
            </w:r>
            <w:r>
              <w:rPr>
                <w:noProof/>
                <w:color w:val="000000"/>
                <w:sz w:val="20"/>
              </w:rPr>
              <w:br/>
              <w:t>Novi pravni okvir sastoji se od:</w:t>
            </w:r>
            <w:r>
              <w:rPr>
                <w:noProof/>
                <w:color w:val="000000"/>
                <w:sz w:val="20"/>
              </w:rPr>
              <w:br/>
              <w:t xml:space="preserve">1) Novi Zakon o osiguravanju kvalitete u znanosti i visokom obrazovanju </w:t>
            </w:r>
            <w:r>
              <w:rPr>
                <w:noProof/>
                <w:color w:val="000000"/>
                <w:sz w:val="20"/>
              </w:rPr>
              <w:br/>
              <w:t>2) Pravilnik o uvjetima za izbor u znanstvena zvanja</w:t>
            </w:r>
          </w:p>
        </w:tc>
      </w:tr>
      <w:tr w:rsidR="009872B9" w14:paraId="0BBB86D3"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1A284435" w14:textId="77777777" w:rsidR="009872B9" w:rsidRDefault="009872B9" w:rsidP="0001477B">
            <w:pPr>
              <w:jc w:val="center"/>
              <w:rPr>
                <w:rFonts w:ascii="Times New Roman" w:hAnsi="Times New Roman" w:cs="Times New Roman"/>
                <w:noProof/>
                <w:sz w:val="20"/>
                <w:szCs w:val="20"/>
              </w:rPr>
            </w:pPr>
            <w:r>
              <w:rPr>
                <w:noProof/>
                <w:color w:val="000000"/>
                <w:sz w:val="20"/>
              </w:rPr>
              <w:t>282</w:t>
            </w:r>
          </w:p>
        </w:tc>
        <w:tc>
          <w:tcPr>
            <w:tcW w:w="850" w:type="dxa"/>
            <w:tcBorders>
              <w:top w:val="nil"/>
              <w:left w:val="nil"/>
              <w:bottom w:val="single" w:sz="4" w:space="0" w:color="auto"/>
              <w:right w:val="single" w:sz="4" w:space="0" w:color="auto"/>
            </w:tcBorders>
            <w:shd w:val="clear" w:color="auto" w:fill="C6EFCE"/>
            <w:noWrap/>
          </w:tcPr>
          <w:p w14:paraId="15CD749B" w14:textId="77777777" w:rsidR="009872B9" w:rsidRDefault="009872B9" w:rsidP="0001477B">
            <w:pPr>
              <w:jc w:val="center"/>
              <w:rPr>
                <w:rFonts w:ascii="Times New Roman" w:hAnsi="Times New Roman" w:cs="Times New Roman"/>
                <w:noProof/>
                <w:sz w:val="20"/>
                <w:szCs w:val="20"/>
              </w:rPr>
            </w:pPr>
            <w:r>
              <w:rPr>
                <w:noProof/>
                <w:color w:val="000000"/>
                <w:sz w:val="20"/>
              </w:rPr>
              <w:t>C3.2. R2-I1</w:t>
            </w:r>
          </w:p>
        </w:tc>
        <w:tc>
          <w:tcPr>
            <w:tcW w:w="850" w:type="dxa"/>
            <w:tcBorders>
              <w:top w:val="nil"/>
              <w:left w:val="nil"/>
              <w:bottom w:val="single" w:sz="4" w:space="0" w:color="auto"/>
              <w:right w:val="single" w:sz="4" w:space="0" w:color="auto"/>
            </w:tcBorders>
            <w:shd w:val="clear" w:color="auto" w:fill="C6EFCE"/>
            <w:noWrap/>
          </w:tcPr>
          <w:p w14:paraId="05FF1F80"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nil"/>
              <w:left w:val="nil"/>
              <w:bottom w:val="single" w:sz="4" w:space="0" w:color="auto"/>
              <w:right w:val="single" w:sz="4" w:space="0" w:color="auto"/>
            </w:tcBorders>
            <w:shd w:val="clear" w:color="auto" w:fill="C6EFCE"/>
            <w:noWrap/>
          </w:tcPr>
          <w:p w14:paraId="27682607" w14:textId="77777777" w:rsidR="009872B9" w:rsidRDefault="009872B9" w:rsidP="0001477B">
            <w:pPr>
              <w:rPr>
                <w:rFonts w:ascii="Times New Roman" w:hAnsi="Times New Roman" w:cs="Times New Roman"/>
                <w:noProof/>
                <w:sz w:val="20"/>
                <w:szCs w:val="20"/>
              </w:rPr>
            </w:pPr>
            <w:r>
              <w:rPr>
                <w:noProof/>
                <w:color w:val="000000"/>
                <w:sz w:val="20"/>
              </w:rPr>
              <w:t xml:space="preserve">Bespovratna sredstva dodijeljena u programskom okviru za povećanje dostupnosti i zapošljivosti diplomanata u područjima STEM-a i IKT-a i poboljšanje njihove mobilnosti za nacionalnu i međunarodnu suradnju </w:t>
            </w:r>
          </w:p>
        </w:tc>
        <w:tc>
          <w:tcPr>
            <w:tcW w:w="1957" w:type="dxa"/>
            <w:tcBorders>
              <w:top w:val="nil"/>
              <w:left w:val="nil"/>
              <w:bottom w:val="single" w:sz="4" w:space="0" w:color="auto"/>
              <w:right w:val="single" w:sz="4" w:space="0" w:color="auto"/>
            </w:tcBorders>
            <w:shd w:val="clear" w:color="auto" w:fill="C6EFCE"/>
            <w:noWrap/>
          </w:tcPr>
          <w:p w14:paraId="61879AAE" w14:textId="77777777" w:rsidR="009872B9" w:rsidRDefault="009872B9" w:rsidP="0001477B">
            <w:pPr>
              <w:rPr>
                <w:rFonts w:ascii="Times New Roman" w:hAnsi="Times New Roman" w:cs="Times New Roman"/>
                <w:noProof/>
                <w:sz w:val="20"/>
                <w:szCs w:val="20"/>
              </w:rPr>
            </w:pPr>
            <w:r>
              <w:rPr>
                <w:noProof/>
                <w:color w:val="000000"/>
                <w:sz w:val="20"/>
              </w:rPr>
              <w:t xml:space="preserve"> </w:t>
            </w:r>
          </w:p>
        </w:tc>
        <w:tc>
          <w:tcPr>
            <w:tcW w:w="1096" w:type="dxa"/>
            <w:tcBorders>
              <w:top w:val="nil"/>
              <w:left w:val="nil"/>
              <w:bottom w:val="single" w:sz="4" w:space="0" w:color="auto"/>
              <w:right w:val="single" w:sz="4" w:space="0" w:color="auto"/>
            </w:tcBorders>
            <w:shd w:val="clear" w:color="auto" w:fill="C6EFCE"/>
            <w:noWrap/>
          </w:tcPr>
          <w:p w14:paraId="2A45F1A2" w14:textId="77777777" w:rsidR="009872B9" w:rsidRDefault="009872B9" w:rsidP="0001477B">
            <w:pPr>
              <w:rPr>
                <w:rFonts w:ascii="Times New Roman" w:hAnsi="Times New Roman" w:cs="Times New Roman"/>
                <w:noProof/>
                <w:sz w:val="20"/>
                <w:szCs w:val="20"/>
              </w:rPr>
            </w:pPr>
            <w:r>
              <w:rPr>
                <w:noProof/>
                <w:color w:val="000000"/>
                <w:sz w:val="20"/>
              </w:rPr>
              <w:t>Broj</w:t>
            </w:r>
          </w:p>
        </w:tc>
        <w:tc>
          <w:tcPr>
            <w:tcW w:w="821" w:type="dxa"/>
            <w:tcBorders>
              <w:top w:val="nil"/>
              <w:left w:val="nil"/>
              <w:bottom w:val="single" w:sz="4" w:space="0" w:color="auto"/>
              <w:right w:val="single" w:sz="4" w:space="0" w:color="auto"/>
            </w:tcBorders>
            <w:shd w:val="clear" w:color="auto" w:fill="C6EFCE"/>
            <w:noWrap/>
          </w:tcPr>
          <w:p w14:paraId="5853A752" w14:textId="77777777" w:rsidR="009872B9" w:rsidRDefault="009872B9" w:rsidP="0001477B">
            <w:pPr>
              <w:jc w:val="center"/>
              <w:rPr>
                <w:rFonts w:ascii="Times New Roman" w:hAnsi="Times New Roman" w:cs="Times New Roman"/>
                <w:noProof/>
                <w:sz w:val="20"/>
                <w:szCs w:val="20"/>
              </w:rPr>
            </w:pPr>
            <w:r>
              <w:rPr>
                <w:noProof/>
                <w:color w:val="000000"/>
                <w:sz w:val="20"/>
              </w:rPr>
              <w:t>0</w:t>
            </w:r>
          </w:p>
        </w:tc>
        <w:tc>
          <w:tcPr>
            <w:tcW w:w="970" w:type="dxa"/>
            <w:tcBorders>
              <w:top w:val="nil"/>
              <w:left w:val="nil"/>
              <w:bottom w:val="single" w:sz="4" w:space="0" w:color="auto"/>
              <w:right w:val="single" w:sz="4" w:space="0" w:color="auto"/>
            </w:tcBorders>
            <w:shd w:val="clear" w:color="auto" w:fill="C6EFCE"/>
            <w:noWrap/>
          </w:tcPr>
          <w:p w14:paraId="1C46DBF8" w14:textId="77777777" w:rsidR="009872B9" w:rsidRDefault="009872B9" w:rsidP="0001477B">
            <w:pPr>
              <w:jc w:val="center"/>
              <w:rPr>
                <w:rFonts w:ascii="Times New Roman" w:hAnsi="Times New Roman" w:cs="Times New Roman"/>
                <w:noProof/>
                <w:sz w:val="20"/>
                <w:szCs w:val="20"/>
              </w:rPr>
            </w:pPr>
            <w:r>
              <w:rPr>
                <w:noProof/>
                <w:color w:val="000000"/>
                <w:sz w:val="20"/>
              </w:rPr>
              <w:t>3 354</w:t>
            </w:r>
          </w:p>
        </w:tc>
        <w:tc>
          <w:tcPr>
            <w:tcW w:w="613" w:type="dxa"/>
            <w:tcBorders>
              <w:top w:val="nil"/>
              <w:left w:val="nil"/>
              <w:bottom w:val="single" w:sz="4" w:space="0" w:color="auto"/>
              <w:right w:val="single" w:sz="4" w:space="0" w:color="auto"/>
            </w:tcBorders>
            <w:shd w:val="clear" w:color="auto" w:fill="C6EFCE"/>
            <w:noWrap/>
          </w:tcPr>
          <w:p w14:paraId="65717123" w14:textId="77777777" w:rsidR="009872B9" w:rsidRDefault="009872B9" w:rsidP="0001477B">
            <w:pPr>
              <w:jc w:val="center"/>
              <w:rPr>
                <w:rFonts w:ascii="Times New Roman" w:hAnsi="Times New Roman" w:cs="Times New Roman"/>
                <w:noProof/>
                <w:sz w:val="20"/>
                <w:szCs w:val="20"/>
              </w:rPr>
            </w:pPr>
            <w:r>
              <w:rPr>
                <w:noProof/>
                <w:color w:val="000000"/>
                <w:sz w:val="20"/>
              </w:rPr>
              <w:t>1.</w:t>
            </w:r>
          </w:p>
        </w:tc>
        <w:tc>
          <w:tcPr>
            <w:tcW w:w="992" w:type="dxa"/>
            <w:tcBorders>
              <w:top w:val="nil"/>
              <w:left w:val="nil"/>
              <w:bottom w:val="single" w:sz="4" w:space="0" w:color="auto"/>
              <w:right w:val="single" w:sz="4" w:space="0" w:color="auto"/>
            </w:tcBorders>
            <w:shd w:val="clear" w:color="auto" w:fill="C6EFCE"/>
            <w:noWrap/>
          </w:tcPr>
          <w:p w14:paraId="4C0E46D2" w14:textId="77777777" w:rsidR="009872B9" w:rsidRDefault="009872B9" w:rsidP="0001477B">
            <w:pPr>
              <w:jc w:val="center"/>
              <w:rPr>
                <w:rFonts w:ascii="Times New Roman" w:hAnsi="Times New Roman" w:cs="Times New Roman"/>
                <w:noProof/>
                <w:sz w:val="20"/>
                <w:szCs w:val="20"/>
              </w:rPr>
            </w:pPr>
            <w:r>
              <w:rPr>
                <w:noProof/>
                <w:color w:val="000000"/>
                <w:sz w:val="20"/>
              </w:rPr>
              <w:t>2025.</w:t>
            </w:r>
          </w:p>
        </w:tc>
        <w:tc>
          <w:tcPr>
            <w:tcW w:w="3979" w:type="dxa"/>
            <w:tcBorders>
              <w:top w:val="nil"/>
              <w:left w:val="nil"/>
              <w:bottom w:val="single" w:sz="4" w:space="0" w:color="auto"/>
              <w:right w:val="single" w:sz="4" w:space="0" w:color="auto"/>
            </w:tcBorders>
            <w:shd w:val="clear" w:color="auto" w:fill="C6EFCE"/>
            <w:noWrap/>
          </w:tcPr>
          <w:p w14:paraId="5ABFD0D6" w14:textId="77777777" w:rsidR="009872B9" w:rsidRDefault="009872B9" w:rsidP="0001477B">
            <w:pPr>
              <w:rPr>
                <w:rFonts w:ascii="Times New Roman" w:hAnsi="Times New Roman" w:cs="Times New Roman"/>
                <w:noProof/>
                <w:sz w:val="20"/>
                <w:szCs w:val="20"/>
              </w:rPr>
            </w:pPr>
            <w:r>
              <w:rPr>
                <w:noProof/>
                <w:color w:val="000000"/>
                <w:sz w:val="20"/>
              </w:rPr>
              <w:t>Na temelju savjetodavnih usluga vanjskih stručnjaka angažiranih za izradu novog okvira instrumenata za promicanje i razvoj karijere istraživača dodijelit će se najmanje 3 354 stipendija u sklopu novog okvira. Pozivi na podnošenje projekata temelje se na objavljenim specifikacijama natječaja čiji opis poslova uključuje kriterije prihvatljivosti kojima se osigurava da su odabrani projekti u skladu s Tehničkim smjernicama za primjenu načela nenanošenja bitne štete (2021/C58/01) primjenom popisa neprihvatljivih aktivnosti i ulaganja i zahtjeva u pogledu usklađenosti s relevantnim EU-ovim i nacionalnim propisima o okolišu.</w:t>
            </w:r>
          </w:p>
        </w:tc>
      </w:tr>
      <w:tr w:rsidR="009872B9" w14:paraId="0213E1AB"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4300167" w14:textId="77777777" w:rsidR="009872B9" w:rsidRDefault="009872B9" w:rsidP="0001477B">
            <w:pPr>
              <w:jc w:val="center"/>
              <w:rPr>
                <w:rFonts w:ascii="Times New Roman" w:hAnsi="Times New Roman" w:cs="Times New Roman"/>
                <w:noProof/>
                <w:sz w:val="20"/>
                <w:szCs w:val="20"/>
              </w:rPr>
            </w:pPr>
            <w:r>
              <w:rPr>
                <w:noProof/>
                <w:color w:val="000000"/>
                <w:sz w:val="20"/>
              </w:rPr>
              <w:t>283</w:t>
            </w:r>
          </w:p>
        </w:tc>
        <w:tc>
          <w:tcPr>
            <w:tcW w:w="850" w:type="dxa"/>
            <w:tcBorders>
              <w:top w:val="single" w:sz="4" w:space="0" w:color="auto"/>
              <w:left w:val="nil"/>
              <w:bottom w:val="single" w:sz="4" w:space="0" w:color="auto"/>
              <w:right w:val="single" w:sz="4" w:space="0" w:color="auto"/>
            </w:tcBorders>
            <w:shd w:val="clear" w:color="auto" w:fill="C6EFCE"/>
            <w:noWrap/>
          </w:tcPr>
          <w:p w14:paraId="30B2A176" w14:textId="77777777" w:rsidR="009872B9" w:rsidRDefault="009872B9" w:rsidP="0001477B">
            <w:pPr>
              <w:jc w:val="center"/>
              <w:rPr>
                <w:rFonts w:ascii="Times New Roman" w:hAnsi="Times New Roman" w:cs="Times New Roman"/>
                <w:noProof/>
                <w:sz w:val="20"/>
                <w:szCs w:val="20"/>
              </w:rPr>
            </w:pPr>
            <w:r>
              <w:rPr>
                <w:noProof/>
                <w:color w:val="000000"/>
                <w:sz w:val="20"/>
              </w:rPr>
              <w:t>C3.2. R2-I2</w:t>
            </w:r>
          </w:p>
        </w:tc>
        <w:tc>
          <w:tcPr>
            <w:tcW w:w="850" w:type="dxa"/>
            <w:tcBorders>
              <w:top w:val="single" w:sz="4" w:space="0" w:color="auto"/>
              <w:left w:val="nil"/>
              <w:bottom w:val="single" w:sz="4" w:space="0" w:color="auto"/>
              <w:right w:val="single" w:sz="4" w:space="0" w:color="auto"/>
            </w:tcBorders>
            <w:shd w:val="clear" w:color="auto" w:fill="C6EFCE"/>
            <w:noWrap/>
          </w:tcPr>
          <w:p w14:paraId="4FE90BED"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single" w:sz="4" w:space="0" w:color="auto"/>
              <w:left w:val="nil"/>
              <w:bottom w:val="single" w:sz="4" w:space="0" w:color="auto"/>
              <w:right w:val="single" w:sz="4" w:space="0" w:color="auto"/>
            </w:tcBorders>
            <w:shd w:val="clear" w:color="auto" w:fill="C6EFCE"/>
            <w:noWrap/>
          </w:tcPr>
          <w:p w14:paraId="3A7B57B1" w14:textId="77777777" w:rsidR="009872B9" w:rsidRDefault="009872B9" w:rsidP="0001477B">
            <w:pPr>
              <w:rPr>
                <w:rFonts w:ascii="Times New Roman" w:hAnsi="Times New Roman" w:cs="Times New Roman"/>
                <w:noProof/>
                <w:sz w:val="20"/>
                <w:szCs w:val="20"/>
              </w:rPr>
            </w:pPr>
            <w:r>
              <w:rPr>
                <w:noProof/>
                <w:color w:val="000000"/>
                <w:sz w:val="20"/>
              </w:rPr>
              <w:t>Infrastrukturni projekti za primijenjeno i ciljano istraživanje</w:t>
            </w:r>
          </w:p>
        </w:tc>
        <w:tc>
          <w:tcPr>
            <w:tcW w:w="1957" w:type="dxa"/>
            <w:tcBorders>
              <w:top w:val="single" w:sz="4" w:space="0" w:color="auto"/>
              <w:left w:val="nil"/>
              <w:bottom w:val="single" w:sz="4" w:space="0" w:color="auto"/>
              <w:right w:val="single" w:sz="4" w:space="0" w:color="auto"/>
            </w:tcBorders>
            <w:shd w:val="clear" w:color="auto" w:fill="C6EFCE"/>
            <w:noWrap/>
          </w:tcPr>
          <w:p w14:paraId="28DFFDEA" w14:textId="77777777" w:rsidR="009872B9" w:rsidRDefault="009872B9" w:rsidP="0001477B">
            <w:pPr>
              <w:rPr>
                <w:rFonts w:ascii="Times New Roman" w:hAnsi="Times New Roman" w:cs="Times New Roman"/>
                <w:noProof/>
                <w:sz w:val="20"/>
                <w:szCs w:val="20"/>
              </w:rPr>
            </w:pPr>
            <w:r>
              <w:rPr>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341CC0F7" w14:textId="77777777" w:rsidR="009872B9" w:rsidRDefault="009872B9" w:rsidP="0001477B">
            <w:pPr>
              <w:jc w:val="center"/>
              <w:rPr>
                <w:rFonts w:ascii="Times New Roman" w:hAnsi="Times New Roman" w:cs="Times New Roman"/>
                <w:noProof/>
                <w:sz w:val="20"/>
                <w:szCs w:val="20"/>
              </w:rPr>
            </w:pPr>
            <w:r>
              <w:rPr>
                <w:noProof/>
                <w:color w:val="000000"/>
                <w:sz w:val="20"/>
              </w:rPr>
              <w:t>Broj</w:t>
            </w:r>
          </w:p>
        </w:tc>
        <w:tc>
          <w:tcPr>
            <w:tcW w:w="821" w:type="dxa"/>
            <w:tcBorders>
              <w:top w:val="single" w:sz="4" w:space="0" w:color="auto"/>
              <w:left w:val="nil"/>
              <w:bottom w:val="single" w:sz="4" w:space="0" w:color="auto"/>
              <w:right w:val="single" w:sz="4" w:space="0" w:color="auto"/>
            </w:tcBorders>
            <w:shd w:val="clear" w:color="auto" w:fill="C6EFCE"/>
            <w:noWrap/>
          </w:tcPr>
          <w:p w14:paraId="4E239E18" w14:textId="77777777" w:rsidR="009872B9" w:rsidRDefault="009872B9" w:rsidP="0001477B">
            <w:pPr>
              <w:jc w:val="center"/>
              <w:rPr>
                <w:rFonts w:ascii="Times New Roman" w:hAnsi="Times New Roman" w:cs="Times New Roman"/>
                <w:noProof/>
                <w:sz w:val="20"/>
                <w:szCs w:val="20"/>
              </w:rPr>
            </w:pPr>
            <w:r>
              <w:rPr>
                <w:noProof/>
                <w:color w:val="000000"/>
                <w:sz w:val="20"/>
              </w:rPr>
              <w:t>0</w:t>
            </w:r>
          </w:p>
        </w:tc>
        <w:tc>
          <w:tcPr>
            <w:tcW w:w="970" w:type="dxa"/>
            <w:tcBorders>
              <w:top w:val="single" w:sz="4" w:space="0" w:color="auto"/>
              <w:left w:val="nil"/>
              <w:bottom w:val="single" w:sz="4" w:space="0" w:color="auto"/>
              <w:right w:val="single" w:sz="4" w:space="0" w:color="auto"/>
            </w:tcBorders>
            <w:shd w:val="clear" w:color="auto" w:fill="C6EFCE"/>
            <w:noWrap/>
          </w:tcPr>
          <w:p w14:paraId="4774DACE" w14:textId="77777777" w:rsidR="009872B9" w:rsidRDefault="009872B9" w:rsidP="0001477B">
            <w:pPr>
              <w:jc w:val="center"/>
              <w:rPr>
                <w:rFonts w:ascii="Times New Roman" w:hAnsi="Times New Roman" w:cs="Times New Roman"/>
                <w:noProof/>
                <w:sz w:val="20"/>
                <w:szCs w:val="20"/>
              </w:rPr>
            </w:pPr>
            <w:r>
              <w:rPr>
                <w:noProof/>
                <w:color w:val="000000"/>
                <w:sz w:val="20"/>
              </w:rPr>
              <w:t>4</w:t>
            </w:r>
          </w:p>
        </w:tc>
        <w:tc>
          <w:tcPr>
            <w:tcW w:w="613" w:type="dxa"/>
            <w:tcBorders>
              <w:top w:val="single" w:sz="4" w:space="0" w:color="auto"/>
              <w:left w:val="nil"/>
              <w:bottom w:val="single" w:sz="4" w:space="0" w:color="auto"/>
              <w:right w:val="single" w:sz="4" w:space="0" w:color="auto"/>
            </w:tcBorders>
            <w:shd w:val="clear" w:color="auto" w:fill="C6EFCE"/>
            <w:noWrap/>
          </w:tcPr>
          <w:p w14:paraId="68FAF3BD" w14:textId="77777777" w:rsidR="009872B9" w:rsidRDefault="009872B9" w:rsidP="0001477B">
            <w:pPr>
              <w:jc w:val="center"/>
              <w:rPr>
                <w:rFonts w:ascii="Times New Roman" w:hAnsi="Times New Roman" w:cs="Times New Roman"/>
                <w:noProof/>
                <w:sz w:val="20"/>
                <w:szCs w:val="20"/>
              </w:rPr>
            </w:pPr>
            <w:r>
              <w:rPr>
                <w:noProof/>
                <w:color w:val="000000"/>
                <w:sz w:val="20"/>
              </w:rPr>
              <w:t>2.</w:t>
            </w:r>
          </w:p>
        </w:tc>
        <w:tc>
          <w:tcPr>
            <w:tcW w:w="992" w:type="dxa"/>
            <w:tcBorders>
              <w:top w:val="single" w:sz="4" w:space="0" w:color="auto"/>
              <w:left w:val="nil"/>
              <w:bottom w:val="single" w:sz="4" w:space="0" w:color="auto"/>
              <w:right w:val="single" w:sz="4" w:space="0" w:color="auto"/>
            </w:tcBorders>
            <w:shd w:val="clear" w:color="auto" w:fill="C6EFCE"/>
            <w:noWrap/>
          </w:tcPr>
          <w:p w14:paraId="7E6590DE" w14:textId="77777777" w:rsidR="009872B9" w:rsidRDefault="009872B9" w:rsidP="0001477B">
            <w:pPr>
              <w:jc w:val="center"/>
              <w:rPr>
                <w:rFonts w:ascii="Times New Roman" w:hAnsi="Times New Roman" w:cs="Times New Roman"/>
                <w:noProof/>
                <w:sz w:val="20"/>
                <w:szCs w:val="20"/>
              </w:rPr>
            </w:pPr>
            <w:r>
              <w:rPr>
                <w:noProof/>
                <w:color w:val="000000"/>
                <w:sz w:val="20"/>
              </w:rPr>
              <w:t>2026.</w:t>
            </w:r>
          </w:p>
        </w:tc>
        <w:tc>
          <w:tcPr>
            <w:tcW w:w="3979" w:type="dxa"/>
            <w:tcBorders>
              <w:top w:val="single" w:sz="4" w:space="0" w:color="auto"/>
              <w:left w:val="nil"/>
              <w:bottom w:val="single" w:sz="4" w:space="0" w:color="auto"/>
              <w:right w:val="single" w:sz="4" w:space="0" w:color="auto"/>
            </w:tcBorders>
            <w:shd w:val="clear" w:color="auto" w:fill="C6EFCE"/>
            <w:noWrap/>
          </w:tcPr>
          <w:p w14:paraId="1973947B" w14:textId="77777777" w:rsidR="009872B9" w:rsidRDefault="009872B9" w:rsidP="0001477B">
            <w:pPr>
              <w:rPr>
                <w:rFonts w:ascii="Times New Roman" w:hAnsi="Times New Roman" w:cs="Times New Roman"/>
                <w:noProof/>
                <w:sz w:val="20"/>
                <w:szCs w:val="20"/>
              </w:rPr>
            </w:pPr>
            <w:r>
              <w:rPr>
                <w:noProof/>
                <w:color w:val="000000"/>
                <w:sz w:val="20"/>
              </w:rPr>
              <w:t>Dovršit će se četiri infrastrukturna projekta znanstveno- tehnološke infrastrukture za primijenjena i ciljana istraživanja, kako bi se mladim istraživačima omogućio razvoj karijere u suradnji s poslovnim sektorom i iskusnim istraživačima te podržao proces digitalne transformacije</w:t>
            </w:r>
          </w:p>
        </w:tc>
      </w:tr>
      <w:tr w:rsidR="009872B9" w14:paraId="24DF9F7D"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FC50C53" w14:textId="77777777" w:rsidR="009872B9" w:rsidRDefault="009872B9" w:rsidP="0001477B">
            <w:pPr>
              <w:jc w:val="center"/>
              <w:rPr>
                <w:rFonts w:ascii="Times New Roman" w:hAnsi="Times New Roman" w:cs="Times New Roman"/>
                <w:noProof/>
                <w:sz w:val="20"/>
                <w:szCs w:val="20"/>
              </w:rPr>
            </w:pPr>
            <w:r>
              <w:rPr>
                <w:noProof/>
                <w:color w:val="000000"/>
                <w:sz w:val="20"/>
              </w:rPr>
              <w:t>284</w:t>
            </w:r>
          </w:p>
        </w:tc>
        <w:tc>
          <w:tcPr>
            <w:tcW w:w="850" w:type="dxa"/>
            <w:tcBorders>
              <w:top w:val="single" w:sz="4" w:space="0" w:color="auto"/>
              <w:left w:val="nil"/>
              <w:bottom w:val="single" w:sz="4" w:space="0" w:color="auto"/>
              <w:right w:val="single" w:sz="4" w:space="0" w:color="auto"/>
            </w:tcBorders>
            <w:shd w:val="clear" w:color="auto" w:fill="C6EFCE"/>
            <w:noWrap/>
          </w:tcPr>
          <w:p w14:paraId="5576B6A0" w14:textId="77777777" w:rsidR="009872B9" w:rsidRDefault="009872B9" w:rsidP="0001477B">
            <w:pPr>
              <w:jc w:val="center"/>
              <w:rPr>
                <w:rFonts w:ascii="Times New Roman" w:hAnsi="Times New Roman" w:cs="Times New Roman"/>
                <w:noProof/>
                <w:sz w:val="20"/>
                <w:szCs w:val="20"/>
              </w:rPr>
            </w:pPr>
            <w:r>
              <w:rPr>
                <w:noProof/>
                <w:color w:val="000000"/>
                <w:sz w:val="20"/>
              </w:rPr>
              <w:t>C3.2. R3</w:t>
            </w:r>
          </w:p>
        </w:tc>
        <w:tc>
          <w:tcPr>
            <w:tcW w:w="850" w:type="dxa"/>
            <w:tcBorders>
              <w:top w:val="single" w:sz="4" w:space="0" w:color="auto"/>
              <w:left w:val="nil"/>
              <w:bottom w:val="single" w:sz="4" w:space="0" w:color="auto"/>
              <w:right w:val="single" w:sz="4" w:space="0" w:color="auto"/>
            </w:tcBorders>
            <w:shd w:val="clear" w:color="auto" w:fill="C6EFCE"/>
            <w:noWrap/>
          </w:tcPr>
          <w:p w14:paraId="46490D3D" w14:textId="77777777" w:rsidR="009872B9" w:rsidRDefault="009872B9" w:rsidP="0001477B">
            <w:pPr>
              <w:jc w:val="center"/>
              <w:rPr>
                <w:rFonts w:ascii="Times New Roman" w:hAnsi="Times New Roman" w:cs="Times New Roman"/>
                <w:noProof/>
                <w:sz w:val="20"/>
                <w:szCs w:val="20"/>
              </w:rPr>
            </w:pPr>
            <w:r>
              <w:rPr>
                <w:noProof/>
                <w:color w:val="000000"/>
                <w:sz w:val="20"/>
              </w:rPr>
              <w:t>Ključna etapa</w:t>
            </w:r>
          </w:p>
        </w:tc>
        <w:tc>
          <w:tcPr>
            <w:tcW w:w="1979" w:type="dxa"/>
            <w:tcBorders>
              <w:top w:val="single" w:sz="4" w:space="0" w:color="auto"/>
              <w:left w:val="nil"/>
              <w:bottom w:val="single" w:sz="4" w:space="0" w:color="auto"/>
              <w:right w:val="single" w:sz="4" w:space="0" w:color="auto"/>
            </w:tcBorders>
            <w:shd w:val="clear" w:color="auto" w:fill="C6EFCE"/>
            <w:noWrap/>
          </w:tcPr>
          <w:p w14:paraId="7B8DB353" w14:textId="77777777" w:rsidR="009872B9" w:rsidRDefault="009872B9" w:rsidP="0001477B">
            <w:pPr>
              <w:rPr>
                <w:rFonts w:ascii="Times New Roman" w:hAnsi="Times New Roman" w:cs="Times New Roman"/>
                <w:noProof/>
                <w:sz w:val="20"/>
                <w:szCs w:val="20"/>
              </w:rPr>
            </w:pPr>
            <w:r>
              <w:rPr>
                <w:noProof/>
                <w:color w:val="000000"/>
                <w:sz w:val="20"/>
              </w:rPr>
              <w:t>Novi zakon o Hrvatskoj zakladi za znanost</w:t>
            </w:r>
          </w:p>
        </w:tc>
        <w:tc>
          <w:tcPr>
            <w:tcW w:w="1957" w:type="dxa"/>
            <w:tcBorders>
              <w:top w:val="single" w:sz="4" w:space="0" w:color="auto"/>
              <w:left w:val="nil"/>
              <w:bottom w:val="single" w:sz="4" w:space="0" w:color="auto"/>
              <w:right w:val="single" w:sz="4" w:space="0" w:color="auto"/>
            </w:tcBorders>
            <w:shd w:val="clear" w:color="auto" w:fill="C6EFCE"/>
            <w:noWrap/>
          </w:tcPr>
          <w:p w14:paraId="06257303" w14:textId="77777777" w:rsidR="009872B9" w:rsidRDefault="009872B9" w:rsidP="0001477B">
            <w:pPr>
              <w:rPr>
                <w:rFonts w:ascii="Times New Roman" w:hAnsi="Times New Roman" w:cs="Times New Roman"/>
                <w:noProof/>
                <w:sz w:val="20"/>
                <w:szCs w:val="20"/>
              </w:rPr>
            </w:pPr>
            <w:r>
              <w:rPr>
                <w:noProof/>
                <w:color w:val="000000"/>
                <w:sz w:val="20"/>
              </w:rPr>
              <w:t>Stupanje na snagu novog Zakona o Hrvatskoj zakladi za znanost</w:t>
            </w:r>
          </w:p>
        </w:tc>
        <w:tc>
          <w:tcPr>
            <w:tcW w:w="1096" w:type="dxa"/>
            <w:tcBorders>
              <w:top w:val="single" w:sz="4" w:space="0" w:color="auto"/>
              <w:left w:val="nil"/>
              <w:bottom w:val="single" w:sz="4" w:space="0" w:color="auto"/>
              <w:right w:val="single" w:sz="4" w:space="0" w:color="auto"/>
            </w:tcBorders>
            <w:shd w:val="clear" w:color="auto" w:fill="C6EFCE"/>
            <w:noWrap/>
          </w:tcPr>
          <w:p w14:paraId="65B9F74E"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821" w:type="dxa"/>
            <w:tcBorders>
              <w:top w:val="single" w:sz="4" w:space="0" w:color="auto"/>
              <w:left w:val="nil"/>
              <w:bottom w:val="single" w:sz="4" w:space="0" w:color="auto"/>
              <w:right w:val="single" w:sz="4" w:space="0" w:color="auto"/>
            </w:tcBorders>
            <w:shd w:val="clear" w:color="auto" w:fill="C6EFCE"/>
            <w:noWrap/>
          </w:tcPr>
          <w:p w14:paraId="2A515489"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970" w:type="dxa"/>
            <w:tcBorders>
              <w:top w:val="single" w:sz="4" w:space="0" w:color="auto"/>
              <w:left w:val="nil"/>
              <w:bottom w:val="single" w:sz="4" w:space="0" w:color="auto"/>
              <w:right w:val="single" w:sz="4" w:space="0" w:color="auto"/>
            </w:tcBorders>
            <w:shd w:val="clear" w:color="auto" w:fill="C6EFCE"/>
            <w:noWrap/>
          </w:tcPr>
          <w:p w14:paraId="0D24E683" w14:textId="77777777" w:rsidR="009872B9" w:rsidRDefault="009872B9" w:rsidP="0001477B">
            <w:pPr>
              <w:jc w:val="center"/>
              <w:rPr>
                <w:rFonts w:ascii="Times New Roman" w:hAnsi="Times New Roman" w:cs="Times New Roman"/>
                <w:noProof/>
                <w:sz w:val="20"/>
                <w:szCs w:val="20"/>
              </w:rPr>
            </w:pPr>
            <w:r>
              <w:rPr>
                <w:noProof/>
                <w:color w:val="000000"/>
                <w:sz w:val="20"/>
              </w:rPr>
              <w:t> </w:t>
            </w:r>
          </w:p>
        </w:tc>
        <w:tc>
          <w:tcPr>
            <w:tcW w:w="613" w:type="dxa"/>
            <w:tcBorders>
              <w:top w:val="single" w:sz="4" w:space="0" w:color="auto"/>
              <w:left w:val="nil"/>
              <w:bottom w:val="single" w:sz="4" w:space="0" w:color="auto"/>
              <w:right w:val="single" w:sz="4" w:space="0" w:color="auto"/>
            </w:tcBorders>
            <w:shd w:val="clear" w:color="auto" w:fill="C6EFCE"/>
            <w:noWrap/>
          </w:tcPr>
          <w:p w14:paraId="5BABE1CA" w14:textId="77777777" w:rsidR="009872B9" w:rsidRDefault="009872B9" w:rsidP="0001477B">
            <w:pPr>
              <w:jc w:val="center"/>
              <w:rPr>
                <w:rFonts w:ascii="Times New Roman" w:hAnsi="Times New Roman" w:cs="Times New Roman"/>
                <w:noProof/>
                <w:sz w:val="20"/>
                <w:szCs w:val="20"/>
              </w:rPr>
            </w:pPr>
            <w:r>
              <w:rPr>
                <w:noProof/>
                <w:color w:val="000000"/>
                <w:sz w:val="20"/>
              </w:rPr>
              <w:t>3.</w:t>
            </w:r>
          </w:p>
        </w:tc>
        <w:tc>
          <w:tcPr>
            <w:tcW w:w="992" w:type="dxa"/>
            <w:tcBorders>
              <w:top w:val="single" w:sz="4" w:space="0" w:color="auto"/>
              <w:left w:val="nil"/>
              <w:bottom w:val="single" w:sz="4" w:space="0" w:color="auto"/>
              <w:right w:val="single" w:sz="4" w:space="0" w:color="auto"/>
            </w:tcBorders>
            <w:shd w:val="clear" w:color="auto" w:fill="C6EFCE"/>
            <w:noWrap/>
          </w:tcPr>
          <w:p w14:paraId="6C01F70B" w14:textId="77777777" w:rsidR="009872B9" w:rsidRDefault="009872B9" w:rsidP="0001477B">
            <w:pPr>
              <w:jc w:val="center"/>
              <w:rPr>
                <w:rFonts w:ascii="Times New Roman" w:hAnsi="Times New Roman" w:cs="Times New Roman"/>
                <w:noProof/>
                <w:sz w:val="20"/>
                <w:szCs w:val="20"/>
              </w:rPr>
            </w:pPr>
            <w:r>
              <w:rPr>
                <w:noProof/>
                <w:color w:val="000000"/>
                <w:sz w:val="20"/>
              </w:rPr>
              <w:t>2022.</w:t>
            </w:r>
          </w:p>
        </w:tc>
        <w:tc>
          <w:tcPr>
            <w:tcW w:w="3979" w:type="dxa"/>
            <w:tcBorders>
              <w:top w:val="single" w:sz="4" w:space="0" w:color="auto"/>
              <w:left w:val="nil"/>
              <w:bottom w:val="single" w:sz="4" w:space="0" w:color="auto"/>
              <w:right w:val="single" w:sz="4" w:space="0" w:color="auto"/>
            </w:tcBorders>
            <w:shd w:val="clear" w:color="auto" w:fill="C6EFCE"/>
            <w:noWrap/>
          </w:tcPr>
          <w:p w14:paraId="226F5A15" w14:textId="77777777" w:rsidR="009872B9" w:rsidRDefault="009872B9" w:rsidP="0001477B">
            <w:pPr>
              <w:rPr>
                <w:rFonts w:ascii="Times New Roman" w:hAnsi="Times New Roman" w:cs="Times New Roman"/>
                <w:noProof/>
                <w:sz w:val="20"/>
                <w:szCs w:val="20"/>
              </w:rPr>
            </w:pPr>
            <w:r>
              <w:rPr>
                <w:noProof/>
                <w:color w:val="000000"/>
                <w:sz w:val="20"/>
              </w:rPr>
              <w:t>Novim Zakonom o Hrvatskoj zakladi za znanost jasno će se utvrditi zadaće Zaklade u području provedbe, koordinacije, dizajna, praćenja i vrednovanja programa te za vrednovanje politika projektnog financiranja istraživanja i razvoja, čime će se stvoriti snažan i neovisan sustav za provedbu odabira, financiranja i praćenja učinaka projekata istraživanja i razvoja.</w:t>
            </w:r>
          </w:p>
        </w:tc>
      </w:tr>
      <w:tr w:rsidR="009872B9" w14:paraId="787E4F0B"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1F6394E" w14:textId="77777777" w:rsidR="009872B9" w:rsidRDefault="009872B9" w:rsidP="0001477B">
            <w:pPr>
              <w:jc w:val="center"/>
              <w:rPr>
                <w:rFonts w:ascii="Times New Roman" w:hAnsi="Times New Roman" w:cs="Times New Roman"/>
                <w:noProof/>
                <w:sz w:val="20"/>
                <w:szCs w:val="20"/>
              </w:rPr>
            </w:pPr>
            <w:r>
              <w:rPr>
                <w:noProof/>
                <w:color w:val="000000"/>
                <w:sz w:val="20"/>
              </w:rPr>
              <w:t>285</w:t>
            </w:r>
          </w:p>
        </w:tc>
        <w:tc>
          <w:tcPr>
            <w:tcW w:w="850" w:type="dxa"/>
            <w:tcBorders>
              <w:top w:val="single" w:sz="4" w:space="0" w:color="auto"/>
              <w:left w:val="nil"/>
              <w:bottom w:val="single" w:sz="4" w:space="0" w:color="auto"/>
              <w:right w:val="single" w:sz="4" w:space="0" w:color="auto"/>
            </w:tcBorders>
            <w:shd w:val="clear" w:color="auto" w:fill="C6EFCE"/>
            <w:noWrap/>
          </w:tcPr>
          <w:p w14:paraId="4E013655" w14:textId="77777777" w:rsidR="009872B9" w:rsidRDefault="009872B9" w:rsidP="0001477B">
            <w:pPr>
              <w:jc w:val="center"/>
              <w:rPr>
                <w:rFonts w:ascii="Times New Roman" w:hAnsi="Times New Roman" w:cs="Times New Roman"/>
                <w:noProof/>
                <w:sz w:val="20"/>
                <w:szCs w:val="20"/>
              </w:rPr>
            </w:pPr>
            <w:r>
              <w:rPr>
                <w:noProof/>
                <w:color w:val="000000"/>
                <w:sz w:val="20"/>
              </w:rPr>
              <w:t>C3.2. R3-I1</w:t>
            </w:r>
          </w:p>
        </w:tc>
        <w:tc>
          <w:tcPr>
            <w:tcW w:w="850" w:type="dxa"/>
            <w:tcBorders>
              <w:top w:val="single" w:sz="4" w:space="0" w:color="auto"/>
              <w:left w:val="nil"/>
              <w:bottom w:val="single" w:sz="4" w:space="0" w:color="auto"/>
              <w:right w:val="single" w:sz="4" w:space="0" w:color="auto"/>
            </w:tcBorders>
            <w:shd w:val="clear" w:color="auto" w:fill="C6EFCE"/>
            <w:noWrap/>
          </w:tcPr>
          <w:p w14:paraId="1F8E4248" w14:textId="77777777" w:rsidR="009872B9" w:rsidRDefault="009872B9" w:rsidP="0001477B">
            <w:pPr>
              <w:jc w:val="center"/>
              <w:rPr>
                <w:rFonts w:ascii="Times New Roman" w:hAnsi="Times New Roman" w:cs="Times New Roman"/>
                <w:noProof/>
                <w:sz w:val="20"/>
                <w:szCs w:val="20"/>
              </w:rPr>
            </w:pPr>
            <w:r>
              <w:rPr>
                <w:noProof/>
                <w:color w:val="000000"/>
                <w:sz w:val="20"/>
              </w:rPr>
              <w:t>Ciljna vrijednost</w:t>
            </w:r>
          </w:p>
        </w:tc>
        <w:tc>
          <w:tcPr>
            <w:tcW w:w="1979" w:type="dxa"/>
            <w:tcBorders>
              <w:top w:val="single" w:sz="4" w:space="0" w:color="auto"/>
              <w:left w:val="nil"/>
              <w:bottom w:val="single" w:sz="4" w:space="0" w:color="auto"/>
              <w:right w:val="single" w:sz="4" w:space="0" w:color="auto"/>
            </w:tcBorders>
            <w:shd w:val="clear" w:color="auto" w:fill="C6EFCE"/>
            <w:noWrap/>
          </w:tcPr>
          <w:p w14:paraId="2F91911C" w14:textId="77777777" w:rsidR="009872B9" w:rsidRDefault="009872B9" w:rsidP="0001477B">
            <w:pPr>
              <w:rPr>
                <w:rFonts w:ascii="Times New Roman" w:hAnsi="Times New Roman" w:cs="Times New Roman"/>
                <w:noProof/>
                <w:sz w:val="20"/>
                <w:szCs w:val="20"/>
              </w:rPr>
            </w:pPr>
            <w:r>
              <w:rPr>
                <w:noProof/>
                <w:color w:val="000000"/>
                <w:sz w:val="20"/>
              </w:rPr>
              <w:t xml:space="preserve">Bespovratna sredstva dodijeljena u okviru „pilot-programa” za potporu uspostavi reformiranog okvira za istraživanje, razvoj i inovacije. </w:t>
            </w:r>
          </w:p>
        </w:tc>
        <w:tc>
          <w:tcPr>
            <w:tcW w:w="1957" w:type="dxa"/>
            <w:tcBorders>
              <w:top w:val="single" w:sz="4" w:space="0" w:color="auto"/>
              <w:left w:val="nil"/>
              <w:bottom w:val="single" w:sz="4" w:space="0" w:color="auto"/>
              <w:right w:val="single" w:sz="4" w:space="0" w:color="auto"/>
            </w:tcBorders>
            <w:shd w:val="clear" w:color="auto" w:fill="C6EFCE"/>
            <w:noWrap/>
          </w:tcPr>
          <w:p w14:paraId="7E78A78D" w14:textId="77777777" w:rsidR="009872B9" w:rsidRDefault="009872B9" w:rsidP="0001477B">
            <w:pPr>
              <w:rPr>
                <w:rFonts w:ascii="Times New Roman" w:hAnsi="Times New Roman" w:cs="Times New Roman"/>
                <w:noProof/>
                <w:sz w:val="20"/>
                <w:szCs w:val="20"/>
              </w:rPr>
            </w:pPr>
            <w:r>
              <w:rPr>
                <w:noProof/>
                <w:color w:val="000000"/>
                <w:sz w:val="20"/>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5C0B7E4" w14:textId="77777777" w:rsidR="009872B9" w:rsidRDefault="009872B9" w:rsidP="0001477B">
            <w:pPr>
              <w:jc w:val="center"/>
              <w:rPr>
                <w:rFonts w:ascii="Times New Roman" w:hAnsi="Times New Roman" w:cs="Times New Roman"/>
                <w:noProof/>
                <w:sz w:val="20"/>
                <w:szCs w:val="20"/>
              </w:rPr>
            </w:pPr>
            <w:r>
              <w:rPr>
                <w:noProof/>
                <w:color w:val="000000"/>
                <w:sz w:val="20"/>
              </w:rPr>
              <w:t>Broj</w:t>
            </w:r>
          </w:p>
        </w:tc>
        <w:tc>
          <w:tcPr>
            <w:tcW w:w="821" w:type="dxa"/>
            <w:tcBorders>
              <w:top w:val="single" w:sz="4" w:space="0" w:color="auto"/>
              <w:left w:val="nil"/>
              <w:bottom w:val="single" w:sz="4" w:space="0" w:color="auto"/>
              <w:right w:val="single" w:sz="4" w:space="0" w:color="auto"/>
            </w:tcBorders>
            <w:shd w:val="clear" w:color="auto" w:fill="C6EFCE"/>
            <w:noWrap/>
          </w:tcPr>
          <w:p w14:paraId="7D5BA6C7" w14:textId="77777777" w:rsidR="009872B9" w:rsidRDefault="009872B9" w:rsidP="0001477B">
            <w:pPr>
              <w:jc w:val="center"/>
              <w:rPr>
                <w:rFonts w:ascii="Times New Roman" w:hAnsi="Times New Roman" w:cs="Times New Roman"/>
                <w:noProof/>
                <w:sz w:val="20"/>
                <w:szCs w:val="20"/>
              </w:rPr>
            </w:pPr>
            <w:r>
              <w:rPr>
                <w:noProof/>
                <w:color w:val="000000"/>
                <w:sz w:val="20"/>
              </w:rPr>
              <w:t>0</w:t>
            </w:r>
          </w:p>
        </w:tc>
        <w:tc>
          <w:tcPr>
            <w:tcW w:w="970" w:type="dxa"/>
            <w:tcBorders>
              <w:top w:val="single" w:sz="4" w:space="0" w:color="auto"/>
              <w:left w:val="nil"/>
              <w:bottom w:val="single" w:sz="4" w:space="0" w:color="auto"/>
              <w:right w:val="single" w:sz="4" w:space="0" w:color="auto"/>
            </w:tcBorders>
            <w:shd w:val="clear" w:color="auto" w:fill="C6EFCE"/>
            <w:noWrap/>
          </w:tcPr>
          <w:p w14:paraId="401A115C" w14:textId="77777777" w:rsidR="009872B9" w:rsidRDefault="009872B9" w:rsidP="0001477B">
            <w:pPr>
              <w:jc w:val="center"/>
              <w:rPr>
                <w:rFonts w:ascii="Times New Roman" w:hAnsi="Times New Roman" w:cs="Times New Roman"/>
                <w:noProof/>
                <w:sz w:val="20"/>
                <w:szCs w:val="20"/>
              </w:rPr>
            </w:pPr>
            <w:r>
              <w:rPr>
                <w:noProof/>
                <w:color w:val="000000"/>
                <w:sz w:val="20"/>
              </w:rPr>
              <w:t>300</w:t>
            </w:r>
          </w:p>
        </w:tc>
        <w:tc>
          <w:tcPr>
            <w:tcW w:w="613" w:type="dxa"/>
            <w:tcBorders>
              <w:top w:val="single" w:sz="4" w:space="0" w:color="auto"/>
              <w:left w:val="nil"/>
              <w:bottom w:val="single" w:sz="4" w:space="0" w:color="auto"/>
              <w:right w:val="single" w:sz="4" w:space="0" w:color="auto"/>
            </w:tcBorders>
            <w:shd w:val="clear" w:color="auto" w:fill="C6EFCE"/>
            <w:noWrap/>
          </w:tcPr>
          <w:p w14:paraId="4318D402" w14:textId="77777777" w:rsidR="009872B9" w:rsidRDefault="009872B9" w:rsidP="0001477B">
            <w:pPr>
              <w:jc w:val="center"/>
              <w:rPr>
                <w:rFonts w:ascii="Times New Roman" w:hAnsi="Times New Roman" w:cs="Times New Roman"/>
                <w:noProof/>
                <w:sz w:val="20"/>
                <w:szCs w:val="20"/>
              </w:rPr>
            </w:pPr>
            <w:r>
              <w:rPr>
                <w:noProof/>
                <w:color w:val="000000"/>
                <w:sz w:val="20"/>
              </w:rPr>
              <w:t>4.</w:t>
            </w:r>
          </w:p>
        </w:tc>
        <w:tc>
          <w:tcPr>
            <w:tcW w:w="992" w:type="dxa"/>
            <w:tcBorders>
              <w:top w:val="single" w:sz="4" w:space="0" w:color="auto"/>
              <w:left w:val="nil"/>
              <w:bottom w:val="single" w:sz="4" w:space="0" w:color="auto"/>
              <w:right w:val="single" w:sz="4" w:space="0" w:color="auto"/>
            </w:tcBorders>
            <w:shd w:val="clear" w:color="auto" w:fill="C6EFCE"/>
            <w:noWrap/>
          </w:tcPr>
          <w:p w14:paraId="2A8A258C" w14:textId="77777777" w:rsidR="009872B9" w:rsidRDefault="009872B9" w:rsidP="0001477B">
            <w:pPr>
              <w:jc w:val="center"/>
              <w:rPr>
                <w:rFonts w:ascii="Times New Roman" w:hAnsi="Times New Roman" w:cs="Times New Roman"/>
                <w:noProof/>
                <w:sz w:val="20"/>
                <w:szCs w:val="20"/>
              </w:rPr>
            </w:pPr>
            <w:r>
              <w:rPr>
                <w:noProof/>
                <w:color w:val="000000"/>
                <w:sz w:val="20"/>
              </w:rPr>
              <w:t>2025.</w:t>
            </w:r>
          </w:p>
        </w:tc>
        <w:tc>
          <w:tcPr>
            <w:tcW w:w="3979" w:type="dxa"/>
            <w:tcBorders>
              <w:top w:val="single" w:sz="4" w:space="0" w:color="auto"/>
              <w:left w:val="nil"/>
              <w:bottom w:val="single" w:sz="4" w:space="0" w:color="auto"/>
              <w:right w:val="single" w:sz="4" w:space="0" w:color="auto"/>
            </w:tcBorders>
            <w:shd w:val="clear" w:color="auto" w:fill="C6EFCE"/>
            <w:noWrap/>
          </w:tcPr>
          <w:p w14:paraId="10CF3704" w14:textId="77777777" w:rsidR="009872B9" w:rsidRDefault="009872B9" w:rsidP="0001477B">
            <w:pPr>
              <w:rPr>
                <w:rFonts w:ascii="Times New Roman" w:hAnsi="Times New Roman" w:cs="Times New Roman"/>
                <w:noProof/>
                <w:sz w:val="20"/>
                <w:szCs w:val="20"/>
              </w:rPr>
            </w:pPr>
            <w:r>
              <w:rPr>
                <w:noProof/>
                <w:color w:val="000000"/>
                <w:sz w:val="20"/>
              </w:rPr>
              <w:t>Na temelju savjetodavne pomoći vanjskih stručnjaka angažiranih za uspostavu novog institucijskog i programskog okvira za istraživanje, razvoj i inovacije te izradu novih programa istraživanja i razvoja, najmanje 300 bespovratnih sredstava dodjeljuje se projektima usmjerenima na suradnju između poduzeća i istraživačkih organizacija ili prijenos znanja i tehnologije u okviru pilot-programa za potporu uspostavi reformiranog okvira za istraživanje, razvoj i inovacije. Projekti se temelje na objavljenim specifikacijama natječaja čiji opis poslova uključuje kriterije prihvatljivosti kojima se osigurava da su odabrani projekti u skladu s Tehničkim smjernicama za primjenu načela nenanošenja bitne štete (2021/C58/01) primjenom popisa neprihvatljivih aktivnosti i ulaganja i zahtjeva u pogledu usklađenosti s relevantnim EU-ovim i nacionalnim propisima o okolišu.</w:t>
            </w:r>
          </w:p>
        </w:tc>
      </w:tr>
    </w:tbl>
    <w:p w14:paraId="752F9779" w14:textId="77777777" w:rsidR="00932F3F" w:rsidRPr="00BC0323" w:rsidRDefault="00932F3F" w:rsidP="00E25E44">
      <w:pPr>
        <w:keepNext/>
        <w:tabs>
          <w:tab w:val="left" w:pos="850"/>
        </w:tabs>
        <w:spacing w:before="360" w:after="120" w:line="240" w:lineRule="auto"/>
        <w:jc w:val="both"/>
        <w:outlineLvl w:val="0"/>
        <w:rPr>
          <w:rFonts w:ascii="Times New Roman" w:eastAsia="Calibri" w:hAnsi="Times New Roman" w:cs="Times New Roman"/>
          <w:b/>
          <w:smallCaps/>
          <w:noProof/>
          <w:sz w:val="24"/>
          <w:szCs w:val="24"/>
        </w:rPr>
        <w:sectPr w:rsidR="00932F3F" w:rsidRPr="00BC0323" w:rsidSect="009872B9">
          <w:headerReference w:type="even" r:id="rId300"/>
          <w:headerReference w:type="default" r:id="rId301"/>
          <w:footerReference w:type="even" r:id="rId302"/>
          <w:footerReference w:type="default" r:id="rId303"/>
          <w:headerReference w:type="first" r:id="rId304"/>
          <w:footerReference w:type="first" r:id="rId305"/>
          <w:pgSz w:w="15840" w:h="12240" w:orient="landscape"/>
          <w:pgMar w:top="1440" w:right="1440" w:bottom="1440" w:left="1440" w:header="708" w:footer="708" w:gutter="0"/>
          <w:cols w:space="708"/>
          <w:docGrid w:linePitch="360"/>
        </w:sectPr>
      </w:pPr>
    </w:p>
    <w:p w14:paraId="3990122B" w14:textId="757007A8" w:rsidR="00733DCA" w:rsidRPr="00065A0A" w:rsidRDefault="00733DCA" w:rsidP="00BD1A7F">
      <w:pPr>
        <w:keepNext/>
        <w:tabs>
          <w:tab w:val="left" w:pos="850"/>
        </w:tabs>
        <w:spacing w:before="360" w:after="120" w:line="240" w:lineRule="auto"/>
        <w:ind w:left="851"/>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R. KOMPONENTA 4.1.: UNAPREĐENJE MJERA ZAPOŠLJAVANJA I PRAVNOG OKVIRA ZA MODERNO TRŽIŠTE RADA I GOSPODARSTVO BUDUĆNOSTI</w:t>
      </w:r>
    </w:p>
    <w:p w14:paraId="6715CE57"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Tom se komponentom NPOO-a rješavaju problemi povezani s tržištem rada, i to modernizacijom propisa o tržištu rada i razvojem ciljanih mjera aktivne politike zapošljavanja. Općeniti je cilj reformi i ulaganja u okviru ove komponente povećanje zaposlenosti u Hrvatskoj, koje je još daleko niže od prosjeka EU-a, unatoč napretku postignutom posljednjih godina. </w:t>
      </w:r>
    </w:p>
    <w:p w14:paraId="4A99CDD3"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Posebni su ciljevi ove komponente sljedeći:</w:t>
      </w:r>
    </w:p>
    <w:p w14:paraId="0979F8EA"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razvoj i primjena novih mjera aktivne politike zapošljavanja u prilog stvaranju radnih mjesta u kontekstu zelene i digitalne tranzicije,</w:t>
      </w:r>
    </w:p>
    <w:p w14:paraId="274ED3A5"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poboljšanje sustava uključenja i praćenja ranjivih skupina na tržištu rada,</w:t>
      </w:r>
    </w:p>
    <w:p w14:paraId="161A21FB"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uvođenje sustava vaučera za obrazovanje i usavršavanje odraslih, posebno za stjecanje vještina povezanih sa zelenim i digitalnim tehnologijama,</w:t>
      </w:r>
    </w:p>
    <w:p w14:paraId="03966724"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unapređenje Zakona o radu.</w:t>
      </w:r>
    </w:p>
    <w:p w14:paraId="3BFF7219"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Komponentom se ispunjuju preporuke za Hrvatsku o osnaživanju mjera i institucija tržišta rada i poboljšanju njihove suradnje sa socijalnim službama (2. preporuka za Hrvatsku iz 2019.) i o promicanju stjecanja vještina (preporuka za Hrvatsku 2.4. iz 2020.). </w:t>
      </w:r>
    </w:p>
    <w:p w14:paraId="51C8EE64" w14:textId="77777777" w:rsidR="00733DCA" w:rsidRPr="00065A0A"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R.1. </w:t>
      </w:r>
      <w:r>
        <w:rPr>
          <w:rFonts w:ascii="Times New Roman" w:hAnsi="Times New Roman"/>
          <w:b/>
          <w:noProof/>
          <w:sz w:val="24"/>
          <w:u w:val="single"/>
        </w:rPr>
        <w:tab/>
        <w:t>Opis reformi i ulaganja za programe bespovratne financijske potpore</w:t>
      </w:r>
    </w:p>
    <w:p w14:paraId="246E4CD8" w14:textId="77777777" w:rsidR="00733DCA" w:rsidRPr="00065A0A" w:rsidRDefault="00733DCA" w:rsidP="0001477B">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C4.1. R1– Razvoj i provedba novih ciljanih mjera aktivne politike zapošljavanja za potrebe zelene i digitalne tranzicije tržišta rada</w:t>
      </w:r>
    </w:p>
    <w:p w14:paraId="3686BE21"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mjere donijeti nove aktivne politike tržišta rada radi poticanja zapošljavanja i samozapošljavanja povezanog sa zelenom i digitalnom tranzicijom te povećanja konkurentnosti i zapošljivosti radne snage u skladu s potrebama tržišta rada, s posebnim naglaskom na aktivaciju dugotrajno nezaposlenih osoba. </w:t>
      </w:r>
    </w:p>
    <w:p w14:paraId="6A38D2A6"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 okviru mjere izradit će se i financirati tri nove mjere aktivne politike zapošljavanja usmjerene na dvostruku tradiciju, i to:</w:t>
      </w:r>
    </w:p>
    <w:p w14:paraId="20F62244"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Bespovratna potpora za zaposlenje na radnim mjestima povezanima sa zelenom i digitalnom tranzicijom</w:t>
      </w:r>
    </w:p>
    <w:p w14:paraId="1D8D5D20"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Bespovratna potpora za stažiranje povezano sa zelenom i digitalnom tranzicijom</w:t>
      </w:r>
    </w:p>
    <w:p w14:paraId="533A66F8"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Bespovratna potpora za samozapošljavanje povezano sa zelenom i digitalnom tranzicijom.</w:t>
      </w:r>
    </w:p>
    <w:p w14:paraId="028D29D7"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Kad je riječ o potporama za zapošljavanje i pripravništvo, poslove u zelenoj i digitalnoj tranziciji definirat će HZZ u skladu s najboljim praksama kao što je definicija zelenih radnih mjesta Međunarodne organizacije rada.</w:t>
      </w:r>
    </w:p>
    <w:p w14:paraId="7C8AC63D"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Kad je riječ o samozapošljavanju, HZZ će razraditi kriterije, u skladu s najboljom praksom, za procjenu usklađenosti poslovnih planova podnositelja zahtjeva sa zelenom i digitalnom tranzicijom, u kojima će iznos bespovratnih sredstava biti veći. </w:t>
      </w:r>
    </w:p>
    <w:p w14:paraId="72E407A6"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Kako bi se povećao opseg aktivnih politika tržišta rada, posebno za ranjive skupine korisnika u iznimno nepovoljnom položaju na tržištu rada, trajanje potpore za zapošljavanje produljuje se na dvije godine za novozaposlene osobe.</w:t>
      </w:r>
    </w:p>
    <w:p w14:paraId="31065508"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Nove mjere za dugotrajno nezaposlene i teže zapošljive osobe iz ranjivih skupina kombinirat će se s korištenjem vaučera za stjecanje vještina kako bi se osigurale vještine povezane sa zelenom i digitalnom tranzicijom. </w:t>
      </w:r>
    </w:p>
    <w:p w14:paraId="5AF8D2C5" w14:textId="4E5D271E"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Očekuje se da će financiranje bespovratnih sredstava za potporu zaposlenja na radnim mjestima povezanima sa zelenom tranzicijom činiti 50 % ukupnog financiranja, dok će preostalih 50 % biti namijenjeno financiranju bespovratnih sredstava za potporu zaposlenja na radnim mjestima povezanima s digitalnom tranzicijom.</w:t>
      </w:r>
    </w:p>
    <w:p w14:paraId="16BAB89E"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prosinca 2025.</w:t>
      </w:r>
    </w:p>
    <w:p w14:paraId="14495234" w14:textId="77777777" w:rsidR="00733DCA" w:rsidRPr="00065A0A" w:rsidRDefault="00733DCA" w:rsidP="0001477B">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C4.1. R2– Jačanje sustava uključenja i praćenja ranjivih skupina na tržištu rada kroz unapređenje poslovnih procesa HZZ-a</w:t>
      </w:r>
    </w:p>
    <w:p w14:paraId="5BE34F55"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mjere ojačati potporu nezaposlenim osobama i ranjivim skupinama, i to:</w:t>
      </w:r>
    </w:p>
    <w:p w14:paraId="3A6763CB"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jačanjem administrativnih kapaciteta te unapređenjem kadrovskih vještina za rad s ranjivim skupinama,</w:t>
      </w:r>
    </w:p>
    <w:p w14:paraId="2B6C3C83"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unapređenjem sustava profiliranja te segmentacijom ranjivih skupina,</w:t>
      </w:r>
    </w:p>
    <w:p w14:paraId="725A384A"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uspostavom plana integracije i aktivacijskih programa ranjivih skupina na tržište rada,</w:t>
      </w:r>
    </w:p>
    <w:p w14:paraId="0A2E72C3"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razvojem sustava praćenja rezultata integracije na tržište rada primjenom aktivnih mjera politike zapošljavanja na razini korisnika,</w:t>
      </w:r>
    </w:p>
    <w:p w14:paraId="32F54A54"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širenjem i reorganizacijom postojeće mreže centara za informiranje i savjetovanje u karijeri (CISOK), radi privlačenja mladih koji nisu zaposleni, ne školuju se i ne osposobljavaju,</w:t>
      </w:r>
    </w:p>
    <w:p w14:paraId="073147CB"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povećanjem iznosa i trajanja naknade za nezaposlenost u skladu s rezultatima analize. </w:t>
      </w:r>
    </w:p>
    <w:p w14:paraId="089BF0F8"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prosinca 2024.</w:t>
      </w:r>
    </w:p>
    <w:p w14:paraId="617812BD" w14:textId="77777777" w:rsidR="00733DCA" w:rsidRPr="00065A0A" w:rsidRDefault="00733DCA" w:rsidP="0001477B">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C4.1. R3 – Uspostava sustava vaučera za obrazovanje zaposlenih i nezaposlenih osoba</w:t>
      </w:r>
    </w:p>
    <w:p w14:paraId="5673C2C9"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reforme povećati zapošljivost radnika i bolje uskladiti ponudu i potražnju na tržištu rada podupiranjem cjeloživotnog učenja i stjecanja novih vještina, posebno zelenih i digitalnih vještina. </w:t>
      </w:r>
    </w:p>
    <w:p w14:paraId="320488F7"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uključuje:</w:t>
      </w:r>
    </w:p>
    <w:p w14:paraId="73072D71"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donošenje novog Zakona o obrazovanju odraslih, usmjerenog na unapređenje kvalitete obrazovanja odraslih poboljšanjem akreditacije, praćenja i vrednovanja ustanova za obrazovanje odraslih, uvođenjem vaučera za obrazovanje odraslih i njihovo usklađivanje s Hrvatskim kvalifikacijskim okvirom u sustavu obrazovanja odraslih,</w:t>
      </w:r>
    </w:p>
    <w:p w14:paraId="75672D5A"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mapiranje vještina, s naglaskom na prioritetnim vještinama na tržištu rada, uključujući vještine za kojima postoji pomanjkanje te zelene i digitalne vještine, a koje će se upotrijebiti za ažuriranje kataloga vještina i definiranje vještina i povezanih obrazovnih programa koji će se financirati vaučerima,</w:t>
      </w:r>
    </w:p>
    <w:p w14:paraId="1243C5B7"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razvoj informatičkog alata za sveobuhvatnu procjenu vještina potencijalnih korisnika.</w:t>
      </w:r>
    </w:p>
    <w:p w14:paraId="4D04C63C"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informiranje ranjivih skupina koje se koriste orijentacijom i savjetovanjem kako bi se povećalo njihovo sudjelovanje u inicijativama za usavršavanje, uključujući vaučere, </w:t>
      </w:r>
    </w:p>
    <w:p w14:paraId="4B35D3F2" w14:textId="77777777" w:rsidR="00733DCA" w:rsidRPr="00065A0A" w:rsidRDefault="00733DCA" w:rsidP="00733DCA">
      <w:pPr>
        <w:numPr>
          <w:ilvl w:val="0"/>
          <w:numId w:val="24"/>
        </w:numPr>
        <w:tabs>
          <w:tab w:val="left" w:pos="426"/>
        </w:tabs>
        <w:spacing w:before="120" w:after="120" w:line="276"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operacionalizaciju zahtjeva za upotrebu vaučera od strane korisnika, obrazovnih ustanova, savjetnika i poslodavaca.</w:t>
      </w:r>
    </w:p>
    <w:p w14:paraId="6B10D72F"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provedena do 30. lipnja 2025.</w:t>
      </w:r>
    </w:p>
    <w:p w14:paraId="001C11FA" w14:textId="77777777" w:rsidR="00733DCA" w:rsidRPr="00065A0A" w:rsidRDefault="00733DCA" w:rsidP="0001477B">
      <w:pPr>
        <w:keepNext/>
        <w:numPr>
          <w:ilvl w:val="2"/>
          <w:numId w:val="0"/>
        </w:numPr>
        <w:spacing w:before="240" w:after="0"/>
        <w:ind w:left="851"/>
        <w:jc w:val="both"/>
        <w:outlineLvl w:val="2"/>
        <w:rPr>
          <w:rFonts w:ascii="Times New Roman" w:eastAsia="SimSun" w:hAnsi="Times New Roman" w:cs="Times New Roman"/>
          <w:bCs/>
          <w:noProof/>
          <w:sz w:val="24"/>
          <w:u w:val="single"/>
        </w:rPr>
      </w:pPr>
      <w:r>
        <w:rPr>
          <w:rFonts w:ascii="Times New Roman" w:hAnsi="Times New Roman"/>
          <w:noProof/>
          <w:sz w:val="24"/>
          <w:u w:val="single"/>
        </w:rPr>
        <w:t>Ulaganje C4.1. R3-I1 – Provedba sustava vaučera za obrazovanje zaposlenih i nezaposlenih osoba</w:t>
      </w:r>
    </w:p>
    <w:p w14:paraId="4FEA4683" w14:textId="2C9B279A"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uključuje financiranje vaučera za akreditirane programe obrazovanja odraslih, osposobljavanja i usavršavanja radi stjecanja vještina potrebnih na tržištu rada, a posebno u prelasku na zeleno i digitalno gospodarstvo. Očekuje se da će financiranje programa stjecanja vještina potrebnih za zelenu tranziciju činiti 40 % ukupnog ulaganja, dok će preostalih 60 % biti namijenjeno financiranju programa stjecanja digitalnih vještina.</w:t>
      </w:r>
    </w:p>
    <w:p w14:paraId="699FED40"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se provoditi kontinuirano od najkasnije 30. lipnja 2022. do 30. lipnja 2026.</w:t>
      </w:r>
    </w:p>
    <w:p w14:paraId="375D9A6D" w14:textId="77777777" w:rsidR="00733DCA" w:rsidRPr="00065A0A" w:rsidRDefault="00733DCA" w:rsidP="0001477B">
      <w:pPr>
        <w:keepNext/>
        <w:numPr>
          <w:ilvl w:val="2"/>
          <w:numId w:val="0"/>
        </w:numPr>
        <w:spacing w:before="240" w:after="0"/>
        <w:ind w:left="851"/>
        <w:jc w:val="both"/>
        <w:outlineLvl w:val="2"/>
        <w:rPr>
          <w:rFonts w:ascii="Times New Roman" w:eastAsia="SimSun" w:hAnsi="Times New Roman" w:cs="Times New Roman"/>
          <w:bCs/>
          <w:noProof/>
          <w:sz w:val="24"/>
          <w:u w:val="single"/>
        </w:rPr>
      </w:pPr>
      <w:r>
        <w:rPr>
          <w:rFonts w:ascii="Times New Roman" w:hAnsi="Times New Roman"/>
          <w:noProof/>
          <w:sz w:val="24"/>
          <w:u w:val="single"/>
        </w:rPr>
        <w:t>Reforma C4.1. R4 – Unapređenje radnog zakonodavstva</w:t>
      </w:r>
    </w:p>
    <w:p w14:paraId="1CFA09D6"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reforme kreirati jasan i moderan zakonodavni okvir namijenjen poboljšanju radnih uvjeta i ravnoteže između poslovnog i privatnog života, boljem uređenju novih oblika rada i poticanju prelaska s ugovora na određeno vrijeme na ugovore na neodređeno vrijeme te s neprijavljenog na prijavljeni rad.</w:t>
      </w:r>
    </w:p>
    <w:p w14:paraId="3F582019"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uključuje sljedeće izmjene Zakona o radu:</w:t>
      </w:r>
    </w:p>
    <w:p w14:paraId="32D43241" w14:textId="77777777" w:rsidR="00733DCA" w:rsidRPr="00065A0A" w:rsidRDefault="00733DCA" w:rsidP="00733DCA">
      <w:pPr>
        <w:numPr>
          <w:ilvl w:val="0"/>
          <w:numId w:val="25"/>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uređenje rada od kuće kako bi se osigurala pravna sigurnost subjekata radnog odnosa u iznimnim, ali i u redovnim okolnostima,</w:t>
      </w:r>
    </w:p>
    <w:p w14:paraId="1198B2EB" w14:textId="77777777" w:rsidR="00733DCA" w:rsidRPr="00065A0A" w:rsidRDefault="00733DCA" w:rsidP="00733DCA">
      <w:pPr>
        <w:numPr>
          <w:ilvl w:val="0"/>
          <w:numId w:val="25"/>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 xml:space="preserve">odvraćanje od korištenja neopravdanih ugovora o radu na neodređeno vrijeme, posebice onih izrazito kratkog trajanja, te ograničavanje broja mogućih uzastopnih ugovora privremenog trajanja i sprečavanje zlouporaba takvih ugovora, ponajprije u pogledu zapošljavanja kod povezanih poslodavaca, te bolje definiranje pojma „uzastopnosti”, </w:t>
      </w:r>
    </w:p>
    <w:p w14:paraId="2A14A9E7" w14:textId="77777777" w:rsidR="00733DCA" w:rsidRPr="00065A0A" w:rsidRDefault="00733DCA" w:rsidP="00733DCA">
      <w:pPr>
        <w:numPr>
          <w:ilvl w:val="0"/>
          <w:numId w:val="25"/>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jačanje prava na dodatni rad za druge poslodavce,</w:t>
      </w:r>
    </w:p>
    <w:p w14:paraId="75C6D629" w14:textId="77777777" w:rsidR="00733DCA" w:rsidRPr="00065A0A" w:rsidRDefault="00733DCA" w:rsidP="00733DCA">
      <w:pPr>
        <w:numPr>
          <w:ilvl w:val="0"/>
          <w:numId w:val="25"/>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 xml:space="preserve">uspostavu pravnog okvira kojim se uređuje rad na internetskim platformama kao poseban oblik rada i propisuju subjektivna prava i obveze koji proizlaze iz tog posebnog pravnog odnosa – temeljna prava i obveze po osnovi obavljanja posla, obvezna osiguranja, zaštita i sigurnost, odmori, prestanak ugovora, suodlučivanje te udruživanje i prava iz kolektivnih radnih odnosa, </w:t>
      </w:r>
    </w:p>
    <w:p w14:paraId="6812DB87" w14:textId="77777777" w:rsidR="00733DCA" w:rsidRPr="00065A0A" w:rsidRDefault="00733DCA" w:rsidP="00733DCA">
      <w:pPr>
        <w:numPr>
          <w:ilvl w:val="0"/>
          <w:numId w:val="25"/>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revidiranje zakonske odredbe o prestanku radnog odnosa zbog navršene životne dobi i revidiranje odredbe o obveznoj otpremnini zaposlenika koji su dosegli dob za umirovljenje kako bi se radnike potaklo da ostanu aktivni i izbjeglo nepotrebno opterećenje za poslodavce,</w:t>
      </w:r>
    </w:p>
    <w:p w14:paraId="367CB4F7" w14:textId="77777777" w:rsidR="00733DCA" w:rsidRPr="00065A0A" w:rsidRDefault="00733DCA" w:rsidP="00733DCA">
      <w:pPr>
        <w:numPr>
          <w:ilvl w:val="0"/>
          <w:numId w:val="25"/>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 xml:space="preserve">odgovarajuću definiciju pojma plaće i svih njezinih sastavnica kako bi ga se bolje povezalo s minimalnom plaćom i olakšala primjena propisa u području rada i pravila o oporezivanju dohotka od rada, </w:t>
      </w:r>
    </w:p>
    <w:p w14:paraId="69374949" w14:textId="77777777" w:rsidR="00733DCA" w:rsidRPr="00065A0A" w:rsidRDefault="00733DCA" w:rsidP="00733DCA">
      <w:pPr>
        <w:numPr>
          <w:ilvl w:val="0"/>
          <w:numId w:val="25"/>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definiranje primjene prava iz kolektivnog ugovora i njihova bolja povezanost s članstvom u sindikatima, kako bi se povećala niska razina sudjelovanja radnika u sindikalnom djelovanju i kolektivnom pregovaranju i tako ojačao socijalni dijalog.</w:t>
      </w:r>
    </w:p>
    <w:p w14:paraId="09036265"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Reformom će se izmijeniti Zakon o obveznom zdravstvenom osiguranju te će se trošak bolovanja aktivnih radnika koji imaju uvjete za starosnu mirovinu prenijeti na Hrvatski zavod za zdravstveno osiguranje (HZZO).</w:t>
      </w:r>
    </w:p>
    <w:p w14:paraId="61E26D3E"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uključuje izmjene postojećih zakona koji uređuju područje radnih odnosa i donošenje novog Zakona o suzbijanju neprijavljenog rada te sljedećih nezakonodavnih mjera za suzbijanje neprijavljenog rada:</w:t>
      </w:r>
    </w:p>
    <w:p w14:paraId="4685D856"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jačanje znanja i kompetencija relevantnih dionika i ustanova koje ih nadziru,</w:t>
      </w:r>
    </w:p>
    <w:p w14:paraId="17C93BE7"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stvaranje zajedničkih baza podataka za učinkovito izvršenje praćenja,</w:t>
      </w:r>
    </w:p>
    <w:p w14:paraId="1E0BCC89"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redefiniranje i bolje usklađivanje propisanih kazni za neprijavljeni rad,</w:t>
      </w:r>
    </w:p>
    <w:p w14:paraId="45B25F6A"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 xml:space="preserve">informiranje javnosti o koristima od zakonitog rada i štetnosti neprijavljenog rada, među ostalim provedbom kampanja o mogućnostima korištenja mjera aktivne politike zapošljavanja povezanih sa samozapošljavanjem te edukacija o mogućnostima jednostavnog registriranja obrta za koje se javna davanja uplaćuju u paušalnim iznosima sukladno poreznim propisima, </w:t>
      </w:r>
    </w:p>
    <w:p w14:paraId="67032F76"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uspostava elektroničke evidencije radnika i radnog vremena u građevinskom sektoru, a zatim postupno i u drugim djelatnostima,</w:t>
      </w:r>
    </w:p>
    <w:p w14:paraId="0040A66D"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 xml:space="preserve">opsežniji pristup problemu neisplate plaća u lancu ugovaranja u slučaju podugovaranja, </w:t>
      </w:r>
    </w:p>
    <w:p w14:paraId="4B3D4DEF"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definiranje neprijavljenog rada u svim njegovim pojavnim oblicima, jačanje inspekcijskog nadzora, postroženje kazni za prekršaje i uređenje djelovanja nadležnih tijela uključenih u suzbijanje neprijavljenog rada,</w:t>
      </w:r>
    </w:p>
    <w:p w14:paraId="09E3955B" w14:textId="77777777" w:rsidR="00733DCA" w:rsidRPr="00065A0A" w:rsidRDefault="00733DCA" w:rsidP="00733DCA">
      <w:pPr>
        <w:numPr>
          <w:ilvl w:val="0"/>
          <w:numId w:val="27"/>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 xml:space="preserve">definiranje procesa prelaska s neprijavljenog na prijavljeni rad obvezivanjem poslodavaca na retroaktivno prijavljivanje zaposlenika od njihova prvog radnog dana (i to za najmanje tri mjeseca) u roku od tri dana nakon što se inspekcijom utvrdi neprijavljeni rad. Dodatno, za kršenje će se propisati kazna u propisanom iznosu po neprijavljenom radniku te obveza plaćanja radnikove plaće, doprinosa i naknada. </w:t>
      </w:r>
    </w:p>
    <w:p w14:paraId="7AE58984"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uključuje sljedeće izmjene Zakona o minimalnoj plaći:</w:t>
      </w:r>
    </w:p>
    <w:p w14:paraId="52D97567" w14:textId="77777777" w:rsidR="00733DCA" w:rsidRPr="00065A0A" w:rsidRDefault="00733DCA" w:rsidP="00733DCA">
      <w:pPr>
        <w:numPr>
          <w:ilvl w:val="0"/>
          <w:numId w:val="26"/>
        </w:numPr>
        <w:tabs>
          <w:tab w:val="left" w:pos="426"/>
        </w:tabs>
        <w:spacing w:before="120" w:after="120" w:line="276" w:lineRule="auto"/>
        <w:jc w:val="both"/>
        <w:rPr>
          <w:rFonts w:ascii="Times New Roman" w:eastAsia="Times New Roman" w:hAnsi="Times New Roman" w:cs="Times New Roman"/>
          <w:noProof/>
          <w:sz w:val="24"/>
          <w:szCs w:val="24"/>
        </w:rPr>
      </w:pPr>
      <w:r>
        <w:rPr>
          <w:rFonts w:ascii="Times New Roman" w:hAnsi="Times New Roman"/>
          <w:noProof/>
          <w:sz w:val="24"/>
        </w:rPr>
        <w:t>isključenje većine dodataka na plaću iz iznosa minimalne plaće i propisivanje minimalnih uvećanja za prekovremeni rad, noćni rad i rad nedjeljom i neradnim danom,</w:t>
      </w:r>
    </w:p>
    <w:p w14:paraId="7B79D259" w14:textId="77777777" w:rsidR="00733DCA" w:rsidRPr="00065A0A" w:rsidRDefault="00733DCA" w:rsidP="00733DCA">
      <w:pPr>
        <w:numPr>
          <w:ilvl w:val="0"/>
          <w:numId w:val="26"/>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isključenje mogućnosti odricanja od minimalne plaće kako bi se spriječila moguća zlouporaba od strane poslodavaca,</w:t>
      </w:r>
    </w:p>
    <w:p w14:paraId="0B8789AF" w14:textId="77777777" w:rsidR="00733DCA" w:rsidRPr="00065A0A" w:rsidRDefault="00733DCA" w:rsidP="00733DCA">
      <w:pPr>
        <w:numPr>
          <w:ilvl w:val="0"/>
          <w:numId w:val="26"/>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jačanje kontrola koje provode inspekcijska tijela i redefiniranje kazni za neisplatu minimalne plaće,</w:t>
      </w:r>
    </w:p>
    <w:p w14:paraId="69B9C109" w14:textId="77777777" w:rsidR="00733DCA" w:rsidRPr="00065A0A" w:rsidRDefault="00733DCA" w:rsidP="00733DCA">
      <w:pPr>
        <w:numPr>
          <w:ilvl w:val="0"/>
          <w:numId w:val="26"/>
        </w:numPr>
        <w:tabs>
          <w:tab w:val="left" w:pos="426"/>
        </w:tabs>
        <w:spacing w:before="120" w:after="120" w:line="276" w:lineRule="auto"/>
        <w:ind w:left="851" w:hanging="567"/>
        <w:jc w:val="both"/>
        <w:rPr>
          <w:rFonts w:ascii="Times New Roman" w:eastAsia="Times New Roman" w:hAnsi="Times New Roman" w:cs="Times New Roman"/>
          <w:noProof/>
          <w:sz w:val="24"/>
          <w:szCs w:val="24"/>
        </w:rPr>
      </w:pPr>
      <w:r>
        <w:rPr>
          <w:rFonts w:ascii="Times New Roman" w:hAnsi="Times New Roman"/>
          <w:noProof/>
          <w:sz w:val="24"/>
        </w:rPr>
        <w:t xml:space="preserve">osnaživanje uloge Stručnog povjerenstva za praćenje i analizu kretanja minimalne plaće, koje će analizirati mogući utjecaj rasta minimalne plaće na gospodarstvo, zapošljavanje, životni standard i druge segmente života i rada, te u skladu s tim preporučiti odgovarajuće smjernice. </w:t>
      </w:r>
    </w:p>
    <w:p w14:paraId="162F5488" w14:textId="77777777" w:rsidR="00733DCA" w:rsidRPr="00065A0A"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30. lipnja 2026.</w:t>
      </w:r>
    </w:p>
    <w:p w14:paraId="30CAAC37" w14:textId="77777777" w:rsidR="00733DCA" w:rsidRDefault="00733DCA">
      <w:pPr>
        <w:rPr>
          <w:noProof/>
          <w:lang w:val="en-IE"/>
        </w:rPr>
        <w:sectPr w:rsidR="00733DCA" w:rsidSect="00932F3F">
          <w:headerReference w:type="even" r:id="rId306"/>
          <w:headerReference w:type="default" r:id="rId307"/>
          <w:footerReference w:type="even" r:id="rId308"/>
          <w:footerReference w:type="default" r:id="rId309"/>
          <w:headerReference w:type="first" r:id="rId310"/>
          <w:footerReference w:type="first" r:id="rId311"/>
          <w:pgSz w:w="12240" w:h="15840"/>
          <w:pgMar w:top="1440" w:right="1440" w:bottom="1440" w:left="1440" w:header="708" w:footer="708" w:gutter="0"/>
          <w:cols w:space="708"/>
          <w:docGrid w:linePitch="360"/>
        </w:sectPr>
      </w:pPr>
    </w:p>
    <w:p w14:paraId="6A3D8668" w14:textId="77777777" w:rsidR="00733DCA" w:rsidRPr="00065A0A"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R.2. </w:t>
      </w:r>
      <w:r>
        <w:rPr>
          <w:rFonts w:ascii="Times New Roman" w:hAnsi="Times New Roman"/>
          <w:b/>
          <w:noProof/>
          <w:sz w:val="24"/>
          <w:u w:val="single"/>
        </w:rPr>
        <w:tab/>
        <w:t>Ključne etape, ciljne vrijednosti, pokazatelji i vremenski raspored za praćenje i provedbu programa bespovratne financijske potpore</w:t>
      </w:r>
    </w:p>
    <w:tbl>
      <w:tblPr>
        <w:tblW w:w="15165" w:type="dxa"/>
        <w:jc w:val="center"/>
        <w:tblCellMar>
          <w:top w:w="28" w:type="dxa"/>
          <w:left w:w="28" w:type="dxa"/>
          <w:bottom w:w="28" w:type="dxa"/>
          <w:right w:w="28" w:type="dxa"/>
        </w:tblCellMar>
        <w:tblLook w:val="04A0" w:firstRow="1" w:lastRow="0" w:firstColumn="1" w:lastColumn="0" w:noHBand="0" w:noVBand="1"/>
      </w:tblPr>
      <w:tblGrid>
        <w:gridCol w:w="737"/>
        <w:gridCol w:w="850"/>
        <w:gridCol w:w="871"/>
        <w:gridCol w:w="2210"/>
        <w:gridCol w:w="1843"/>
        <w:gridCol w:w="1081"/>
        <w:gridCol w:w="836"/>
        <w:gridCol w:w="850"/>
        <w:gridCol w:w="583"/>
        <w:gridCol w:w="846"/>
        <w:gridCol w:w="4498"/>
      </w:tblGrid>
      <w:tr w:rsidR="009926D5" w:rsidRPr="00065A0A" w14:paraId="4D307C06" w14:textId="77777777" w:rsidTr="00EE1D3D">
        <w:trPr>
          <w:trHeight w:val="636"/>
          <w:tblHeader/>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5A281C"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C19C53"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971A68"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DCE42C"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2A1E0A"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74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6CF2600"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429" w:type="dxa"/>
            <w:gridSpan w:val="2"/>
            <w:tcBorders>
              <w:top w:val="single" w:sz="4" w:space="0" w:color="auto"/>
              <w:left w:val="nil"/>
              <w:bottom w:val="single" w:sz="4" w:space="0" w:color="auto"/>
              <w:right w:val="single" w:sz="4" w:space="0" w:color="auto"/>
            </w:tcBorders>
            <w:shd w:val="clear" w:color="auto" w:fill="BDD7EE"/>
            <w:vAlign w:val="center"/>
            <w:hideMark/>
          </w:tcPr>
          <w:p w14:paraId="23F1829A"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2C150E"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733DCA" w:rsidRPr="00065A0A" w14:paraId="186DCCDB" w14:textId="77777777" w:rsidTr="00EE1D3D">
        <w:trPr>
          <w:trHeight w:val="503"/>
          <w:tblHeader/>
          <w:jc w:val="center"/>
        </w:trPr>
        <w:tc>
          <w:tcPr>
            <w:tcW w:w="737" w:type="dxa"/>
            <w:vMerge/>
            <w:tcBorders>
              <w:top w:val="single" w:sz="4" w:space="0" w:color="auto"/>
              <w:left w:val="single" w:sz="4" w:space="0" w:color="auto"/>
              <w:bottom w:val="single" w:sz="4" w:space="0" w:color="auto"/>
              <w:right w:val="single" w:sz="4" w:space="0" w:color="auto"/>
            </w:tcBorders>
            <w:hideMark/>
          </w:tcPr>
          <w:p w14:paraId="5812C607"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auto"/>
              <w:right w:val="single" w:sz="4" w:space="0" w:color="auto"/>
            </w:tcBorders>
            <w:hideMark/>
          </w:tcPr>
          <w:p w14:paraId="6343CED6"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auto"/>
              <w:right w:val="single" w:sz="4" w:space="0" w:color="auto"/>
            </w:tcBorders>
            <w:hideMark/>
          </w:tcPr>
          <w:p w14:paraId="3B62CED8"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210" w:type="dxa"/>
            <w:vMerge/>
            <w:tcBorders>
              <w:top w:val="single" w:sz="4" w:space="0" w:color="auto"/>
              <w:left w:val="single" w:sz="4" w:space="0" w:color="auto"/>
              <w:bottom w:val="single" w:sz="4" w:space="0" w:color="auto"/>
              <w:right w:val="single" w:sz="4" w:space="0" w:color="auto"/>
            </w:tcBorders>
            <w:hideMark/>
          </w:tcPr>
          <w:p w14:paraId="58A60BE9"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7523C282"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072" w:type="dxa"/>
            <w:tcBorders>
              <w:top w:val="nil"/>
              <w:left w:val="single" w:sz="4" w:space="0" w:color="auto"/>
              <w:bottom w:val="single" w:sz="4" w:space="0" w:color="auto"/>
              <w:right w:val="single" w:sz="4" w:space="0" w:color="auto"/>
            </w:tcBorders>
            <w:shd w:val="clear" w:color="auto" w:fill="BDD7EE"/>
            <w:vAlign w:val="center"/>
            <w:hideMark/>
          </w:tcPr>
          <w:p w14:paraId="77E9DF66"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vAlign w:val="center"/>
            <w:hideMark/>
          </w:tcPr>
          <w:p w14:paraId="622C34BA"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vAlign w:val="center"/>
            <w:hideMark/>
          </w:tcPr>
          <w:p w14:paraId="54EFBA55"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83" w:type="dxa"/>
            <w:tcBorders>
              <w:top w:val="nil"/>
              <w:left w:val="nil"/>
              <w:bottom w:val="single" w:sz="4" w:space="0" w:color="auto"/>
              <w:right w:val="single" w:sz="4" w:space="0" w:color="auto"/>
            </w:tcBorders>
            <w:shd w:val="clear" w:color="auto" w:fill="BDD7EE"/>
            <w:vAlign w:val="center"/>
            <w:hideMark/>
          </w:tcPr>
          <w:p w14:paraId="0BCC24E6"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846" w:type="dxa"/>
            <w:tcBorders>
              <w:top w:val="nil"/>
              <w:left w:val="nil"/>
              <w:bottom w:val="single" w:sz="4" w:space="0" w:color="auto"/>
              <w:right w:val="single" w:sz="4" w:space="0" w:color="auto"/>
            </w:tcBorders>
            <w:shd w:val="clear" w:color="auto" w:fill="BDD7EE"/>
            <w:vAlign w:val="center"/>
            <w:hideMark/>
          </w:tcPr>
          <w:p w14:paraId="31B0531D" w14:textId="77777777" w:rsidR="00733DCA" w:rsidRPr="00065A0A"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498" w:type="dxa"/>
            <w:vMerge/>
            <w:tcBorders>
              <w:top w:val="single" w:sz="4" w:space="0" w:color="auto"/>
              <w:bottom w:val="single" w:sz="4" w:space="0" w:color="auto"/>
              <w:right w:val="single" w:sz="4" w:space="0" w:color="auto"/>
            </w:tcBorders>
            <w:hideMark/>
          </w:tcPr>
          <w:p w14:paraId="547144EB" w14:textId="77777777" w:rsidR="00733DCA" w:rsidRPr="00065A0A" w:rsidRDefault="00733DCA" w:rsidP="0001477B">
            <w:pPr>
              <w:spacing w:after="0" w:line="276" w:lineRule="auto"/>
              <w:rPr>
                <w:rFonts w:ascii="Times New Roman" w:eastAsia="Times New Roman" w:hAnsi="Times New Roman" w:cs="Times New Roman"/>
                <w:b/>
                <w:noProof/>
                <w:lang w:val="en-GB" w:eastAsia="en-GB"/>
              </w:rPr>
            </w:pPr>
          </w:p>
        </w:tc>
      </w:tr>
      <w:tr w:rsidR="009926D5" w:rsidRPr="00065A0A" w14:paraId="19D75129" w14:textId="77777777" w:rsidTr="00EE1D3D">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758AD19" w14:textId="77777777" w:rsidR="00733DCA" w:rsidRPr="00065A0A"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286</w:t>
            </w:r>
          </w:p>
        </w:tc>
        <w:tc>
          <w:tcPr>
            <w:tcW w:w="850" w:type="dxa"/>
            <w:tcBorders>
              <w:top w:val="single" w:sz="4" w:space="0" w:color="auto"/>
              <w:left w:val="nil"/>
              <w:bottom w:val="single" w:sz="4" w:space="0" w:color="auto"/>
              <w:right w:val="single" w:sz="4" w:space="0" w:color="auto"/>
            </w:tcBorders>
            <w:shd w:val="clear" w:color="auto" w:fill="C6EFCE"/>
            <w:noWrap/>
          </w:tcPr>
          <w:p w14:paraId="2FF5731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R1</w:t>
            </w:r>
          </w:p>
        </w:tc>
        <w:tc>
          <w:tcPr>
            <w:tcW w:w="850" w:type="dxa"/>
            <w:tcBorders>
              <w:top w:val="single" w:sz="4" w:space="0" w:color="auto"/>
              <w:left w:val="nil"/>
              <w:bottom w:val="single" w:sz="4" w:space="0" w:color="auto"/>
              <w:right w:val="single" w:sz="4" w:space="0" w:color="auto"/>
            </w:tcBorders>
            <w:shd w:val="clear" w:color="auto" w:fill="C6EFCE"/>
            <w:noWrap/>
          </w:tcPr>
          <w:p w14:paraId="764E3A5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10" w:type="dxa"/>
            <w:tcBorders>
              <w:top w:val="single" w:sz="4" w:space="0" w:color="auto"/>
              <w:left w:val="nil"/>
              <w:bottom w:val="single" w:sz="4" w:space="0" w:color="auto"/>
              <w:right w:val="single" w:sz="4" w:space="0" w:color="auto"/>
            </w:tcBorders>
            <w:shd w:val="clear" w:color="auto" w:fill="C6EFCE"/>
            <w:noWrap/>
          </w:tcPr>
          <w:p w14:paraId="3220D96C"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Dopuna mjera aktivne politike zapošljavanja</w:t>
            </w:r>
          </w:p>
        </w:tc>
        <w:tc>
          <w:tcPr>
            <w:tcW w:w="1843" w:type="dxa"/>
            <w:tcBorders>
              <w:top w:val="single" w:sz="4" w:space="0" w:color="auto"/>
              <w:left w:val="nil"/>
              <w:bottom w:val="single" w:sz="4" w:space="0" w:color="auto"/>
              <w:right w:val="single" w:sz="4" w:space="0" w:color="auto"/>
            </w:tcBorders>
            <w:shd w:val="clear" w:color="auto" w:fill="C6EFCE"/>
            <w:noWrap/>
          </w:tcPr>
          <w:p w14:paraId="3141D888"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Donesene tri nove mjere aktivne politike zapošljavanja</w:t>
            </w:r>
          </w:p>
        </w:tc>
        <w:tc>
          <w:tcPr>
            <w:tcW w:w="1072" w:type="dxa"/>
            <w:tcBorders>
              <w:top w:val="nil"/>
              <w:left w:val="nil"/>
              <w:bottom w:val="single" w:sz="4" w:space="0" w:color="auto"/>
              <w:right w:val="single" w:sz="4" w:space="0" w:color="auto"/>
            </w:tcBorders>
            <w:shd w:val="clear" w:color="auto" w:fill="C6EFCE"/>
            <w:noWrap/>
          </w:tcPr>
          <w:p w14:paraId="461C9A25"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525254E2"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3B8F3AF8"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83" w:type="dxa"/>
            <w:tcBorders>
              <w:top w:val="nil"/>
              <w:left w:val="nil"/>
              <w:bottom w:val="single" w:sz="4" w:space="0" w:color="auto"/>
              <w:right w:val="single" w:sz="4" w:space="0" w:color="auto"/>
            </w:tcBorders>
            <w:shd w:val="clear" w:color="auto" w:fill="C6EFCE"/>
            <w:noWrap/>
          </w:tcPr>
          <w:p w14:paraId="00D5FFE8"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46" w:type="dxa"/>
            <w:tcBorders>
              <w:top w:val="nil"/>
              <w:left w:val="nil"/>
              <w:bottom w:val="single" w:sz="4" w:space="0" w:color="auto"/>
              <w:right w:val="single" w:sz="4" w:space="0" w:color="auto"/>
            </w:tcBorders>
            <w:shd w:val="clear" w:color="auto" w:fill="C6EFCE"/>
            <w:noWrap/>
          </w:tcPr>
          <w:p w14:paraId="2CC72985"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498" w:type="dxa"/>
            <w:tcBorders>
              <w:top w:val="single" w:sz="4" w:space="0" w:color="auto"/>
              <w:left w:val="nil"/>
              <w:bottom w:val="single" w:sz="4" w:space="0" w:color="auto"/>
              <w:right w:val="single" w:sz="4" w:space="0" w:color="auto"/>
            </w:tcBorders>
            <w:shd w:val="clear" w:color="auto" w:fill="C6EFCE"/>
            <w:noWrap/>
          </w:tcPr>
          <w:p w14:paraId="6F909CAB"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HZZ će donijeti tri nove mjere za potporu otvaranju radnih mjesta u zelenoj i digitalnoj tranziciji. Uvjeti i kriteriji za korištenje sredstava iz tih mjera, kao i djelatnosti HZZ-a, bit će osmišljeni tako da daju prednost ponovnoj aktivaciji i (samo)zapošljavanju neaktivnih, dugotrajno nezaposlenih osoba i mladih osoba u NEET statusu (koji nisu zaposleni, ne školuju se i ne osposobljavaju).</w:t>
            </w:r>
          </w:p>
        </w:tc>
      </w:tr>
      <w:tr w:rsidR="009926D5" w:rsidRPr="00065A0A" w14:paraId="00F8FA3B"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74514584"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287</w:t>
            </w:r>
          </w:p>
        </w:tc>
        <w:tc>
          <w:tcPr>
            <w:tcW w:w="850" w:type="dxa"/>
            <w:tcBorders>
              <w:top w:val="nil"/>
              <w:left w:val="nil"/>
              <w:bottom w:val="single" w:sz="4" w:space="0" w:color="auto"/>
              <w:right w:val="single" w:sz="4" w:space="0" w:color="auto"/>
            </w:tcBorders>
            <w:shd w:val="clear" w:color="auto" w:fill="C6EFCE"/>
            <w:noWrap/>
          </w:tcPr>
          <w:p w14:paraId="6CE4DEEC"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R1</w:t>
            </w:r>
          </w:p>
        </w:tc>
        <w:tc>
          <w:tcPr>
            <w:tcW w:w="850" w:type="dxa"/>
            <w:tcBorders>
              <w:top w:val="nil"/>
              <w:left w:val="nil"/>
              <w:bottom w:val="single" w:sz="4" w:space="0" w:color="auto"/>
              <w:right w:val="single" w:sz="4" w:space="0" w:color="auto"/>
            </w:tcBorders>
            <w:shd w:val="clear" w:color="auto" w:fill="C6EFCE"/>
            <w:noWrap/>
          </w:tcPr>
          <w:p w14:paraId="2348FB3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10" w:type="dxa"/>
            <w:tcBorders>
              <w:top w:val="nil"/>
              <w:left w:val="nil"/>
              <w:bottom w:val="single" w:sz="4" w:space="0" w:color="auto"/>
              <w:right w:val="single" w:sz="4" w:space="0" w:color="auto"/>
            </w:tcBorders>
            <w:shd w:val="clear" w:color="auto" w:fill="C6EFCE"/>
            <w:noWrap/>
          </w:tcPr>
          <w:p w14:paraId="41DB6EF0"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Broj korisnika novih mjera aktivne politike zapošljavanja</w:t>
            </w:r>
          </w:p>
        </w:tc>
        <w:tc>
          <w:tcPr>
            <w:tcW w:w="1843" w:type="dxa"/>
            <w:tcBorders>
              <w:top w:val="nil"/>
              <w:left w:val="nil"/>
              <w:bottom w:val="single" w:sz="4" w:space="0" w:color="auto"/>
              <w:right w:val="single" w:sz="4" w:space="0" w:color="auto"/>
            </w:tcBorders>
            <w:shd w:val="clear" w:color="auto" w:fill="C6EFCE"/>
            <w:noWrap/>
          </w:tcPr>
          <w:p w14:paraId="1A3BB8DE"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2" w:type="dxa"/>
            <w:tcBorders>
              <w:top w:val="nil"/>
              <w:left w:val="nil"/>
              <w:bottom w:val="single" w:sz="4" w:space="0" w:color="auto"/>
              <w:right w:val="single" w:sz="4" w:space="0" w:color="auto"/>
            </w:tcBorders>
            <w:shd w:val="clear" w:color="auto" w:fill="C6EFCE"/>
            <w:noWrap/>
          </w:tcPr>
          <w:p w14:paraId="002FE1A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47F0CF0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7C43606A" w14:textId="58FA0C41"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13 000</w:t>
            </w:r>
          </w:p>
        </w:tc>
        <w:tc>
          <w:tcPr>
            <w:tcW w:w="583" w:type="dxa"/>
            <w:tcBorders>
              <w:top w:val="nil"/>
              <w:left w:val="nil"/>
              <w:bottom w:val="single" w:sz="4" w:space="0" w:color="auto"/>
              <w:right w:val="single" w:sz="4" w:space="0" w:color="auto"/>
            </w:tcBorders>
            <w:shd w:val="clear" w:color="auto" w:fill="C6EFCE"/>
            <w:noWrap/>
          </w:tcPr>
          <w:p w14:paraId="3FD6AA0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46" w:type="dxa"/>
            <w:tcBorders>
              <w:top w:val="nil"/>
              <w:left w:val="nil"/>
              <w:bottom w:val="single" w:sz="4" w:space="0" w:color="auto"/>
              <w:right w:val="single" w:sz="4" w:space="0" w:color="auto"/>
            </w:tcBorders>
            <w:shd w:val="clear" w:color="auto" w:fill="C6EFCE"/>
            <w:noWrap/>
          </w:tcPr>
          <w:p w14:paraId="2946DC7D"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498" w:type="dxa"/>
            <w:tcBorders>
              <w:top w:val="nil"/>
              <w:left w:val="nil"/>
              <w:bottom w:val="single" w:sz="4" w:space="0" w:color="auto"/>
              <w:right w:val="single" w:sz="4" w:space="0" w:color="auto"/>
            </w:tcBorders>
            <w:shd w:val="clear" w:color="auto" w:fill="C6EFCE"/>
            <w:noWrap/>
          </w:tcPr>
          <w:p w14:paraId="1E85757D" w14:textId="657A94D1"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Najmanje 13 000 korisnika novih mjera aktivne politike zapošljavanja, od čega najmanje 6 000 dugotrajno nezaposlenih, neaktivnih i mladih osoba u NEET statusu.</w:t>
            </w:r>
          </w:p>
        </w:tc>
      </w:tr>
      <w:tr w:rsidR="009926D5" w:rsidRPr="00065A0A" w14:paraId="15E7F7D1"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6AA4574A"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288</w:t>
            </w:r>
          </w:p>
        </w:tc>
        <w:tc>
          <w:tcPr>
            <w:tcW w:w="850" w:type="dxa"/>
            <w:tcBorders>
              <w:top w:val="nil"/>
              <w:left w:val="nil"/>
              <w:bottom w:val="single" w:sz="4" w:space="0" w:color="auto"/>
              <w:right w:val="single" w:sz="4" w:space="0" w:color="auto"/>
            </w:tcBorders>
            <w:shd w:val="clear" w:color="auto" w:fill="C6EFCE"/>
            <w:noWrap/>
          </w:tcPr>
          <w:p w14:paraId="3DB59204"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R2</w:t>
            </w:r>
          </w:p>
        </w:tc>
        <w:tc>
          <w:tcPr>
            <w:tcW w:w="850" w:type="dxa"/>
            <w:tcBorders>
              <w:top w:val="nil"/>
              <w:left w:val="nil"/>
              <w:bottom w:val="single" w:sz="4" w:space="0" w:color="auto"/>
              <w:right w:val="single" w:sz="4" w:space="0" w:color="auto"/>
            </w:tcBorders>
            <w:shd w:val="clear" w:color="auto" w:fill="C6EFCE"/>
            <w:noWrap/>
          </w:tcPr>
          <w:p w14:paraId="79AF8A7A"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10" w:type="dxa"/>
            <w:tcBorders>
              <w:top w:val="nil"/>
              <w:left w:val="nil"/>
              <w:bottom w:val="single" w:sz="4" w:space="0" w:color="auto"/>
              <w:right w:val="single" w:sz="4" w:space="0" w:color="auto"/>
            </w:tcBorders>
            <w:shd w:val="clear" w:color="auto" w:fill="C6EFCE"/>
            <w:noWrap/>
          </w:tcPr>
          <w:p w14:paraId="5E606128"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Zakona o tržištu rada</w:t>
            </w:r>
          </w:p>
        </w:tc>
        <w:tc>
          <w:tcPr>
            <w:tcW w:w="1843" w:type="dxa"/>
            <w:tcBorders>
              <w:top w:val="nil"/>
              <w:left w:val="nil"/>
              <w:bottom w:val="single" w:sz="4" w:space="0" w:color="auto"/>
              <w:right w:val="single" w:sz="4" w:space="0" w:color="auto"/>
            </w:tcBorders>
            <w:shd w:val="clear" w:color="auto" w:fill="C6EFCE"/>
            <w:noWrap/>
          </w:tcPr>
          <w:p w14:paraId="327C18AB"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Zakona o tržištu rada</w:t>
            </w:r>
          </w:p>
        </w:tc>
        <w:tc>
          <w:tcPr>
            <w:tcW w:w="1072" w:type="dxa"/>
            <w:tcBorders>
              <w:top w:val="nil"/>
              <w:left w:val="nil"/>
              <w:bottom w:val="single" w:sz="4" w:space="0" w:color="auto"/>
              <w:right w:val="single" w:sz="4" w:space="0" w:color="auto"/>
            </w:tcBorders>
            <w:shd w:val="clear" w:color="auto" w:fill="C6EFCE"/>
            <w:noWrap/>
          </w:tcPr>
          <w:p w14:paraId="5DCB297E"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5603AAA7"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65B6A760"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83" w:type="dxa"/>
            <w:tcBorders>
              <w:top w:val="nil"/>
              <w:left w:val="nil"/>
              <w:bottom w:val="single" w:sz="4" w:space="0" w:color="auto"/>
              <w:right w:val="single" w:sz="4" w:space="0" w:color="auto"/>
            </w:tcBorders>
            <w:shd w:val="clear" w:color="auto" w:fill="C6EFCE"/>
            <w:noWrap/>
          </w:tcPr>
          <w:p w14:paraId="2B3FFE7E" w14:textId="3DE33AA9"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3.</w:t>
            </w:r>
          </w:p>
        </w:tc>
        <w:tc>
          <w:tcPr>
            <w:tcW w:w="846" w:type="dxa"/>
            <w:tcBorders>
              <w:top w:val="nil"/>
              <w:left w:val="nil"/>
              <w:bottom w:val="single" w:sz="4" w:space="0" w:color="auto"/>
              <w:right w:val="single" w:sz="4" w:space="0" w:color="auto"/>
            </w:tcBorders>
            <w:shd w:val="clear" w:color="auto" w:fill="C6EFCE"/>
            <w:noWrap/>
          </w:tcPr>
          <w:p w14:paraId="511301D6" w14:textId="6F6F44E3"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4498" w:type="dxa"/>
            <w:tcBorders>
              <w:top w:val="nil"/>
              <w:left w:val="nil"/>
              <w:bottom w:val="single" w:sz="4" w:space="0" w:color="auto"/>
              <w:right w:val="single" w:sz="4" w:space="0" w:color="auto"/>
            </w:tcBorders>
            <w:shd w:val="clear" w:color="auto" w:fill="C6EFCE"/>
            <w:noWrap/>
          </w:tcPr>
          <w:p w14:paraId="613A5551"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Stupanje na snagu izmijenjenog ili novog Zakona o tržištu rada kojim se povećava iznos i trajanje naknada za nezaposlene, smanjuju zahtjevi za ranjive radnike i digitalizira postupak ostvarivanja prava na naknadu za nezaposlene na temelju provedenih analiza</w:t>
            </w:r>
          </w:p>
        </w:tc>
      </w:tr>
      <w:tr w:rsidR="009926D5" w:rsidRPr="00065A0A" w14:paraId="4EE07968"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7F1ADC45"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289</w:t>
            </w:r>
          </w:p>
        </w:tc>
        <w:tc>
          <w:tcPr>
            <w:tcW w:w="850" w:type="dxa"/>
            <w:tcBorders>
              <w:top w:val="nil"/>
              <w:left w:val="nil"/>
              <w:bottom w:val="single" w:sz="4" w:space="0" w:color="auto"/>
              <w:right w:val="single" w:sz="4" w:space="0" w:color="auto"/>
            </w:tcBorders>
            <w:shd w:val="clear" w:color="auto" w:fill="C6EFCE"/>
            <w:noWrap/>
          </w:tcPr>
          <w:p w14:paraId="448150FB"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R2</w:t>
            </w:r>
          </w:p>
        </w:tc>
        <w:tc>
          <w:tcPr>
            <w:tcW w:w="850" w:type="dxa"/>
            <w:tcBorders>
              <w:top w:val="nil"/>
              <w:left w:val="nil"/>
              <w:bottom w:val="single" w:sz="4" w:space="0" w:color="auto"/>
              <w:right w:val="single" w:sz="4" w:space="0" w:color="auto"/>
            </w:tcBorders>
            <w:shd w:val="clear" w:color="auto" w:fill="C6EFCE"/>
            <w:noWrap/>
          </w:tcPr>
          <w:p w14:paraId="300C883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10" w:type="dxa"/>
            <w:tcBorders>
              <w:top w:val="nil"/>
              <w:left w:val="nil"/>
              <w:bottom w:val="single" w:sz="4" w:space="0" w:color="auto"/>
              <w:right w:val="single" w:sz="4" w:space="0" w:color="auto"/>
            </w:tcBorders>
            <w:shd w:val="clear" w:color="auto" w:fill="C6EFCE"/>
            <w:noWrap/>
          </w:tcPr>
          <w:p w14:paraId="6BD2C0C8"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Bolja kvaliteta potpore ranjivim skupinama </w:t>
            </w:r>
          </w:p>
        </w:tc>
        <w:tc>
          <w:tcPr>
            <w:tcW w:w="1843" w:type="dxa"/>
            <w:tcBorders>
              <w:top w:val="nil"/>
              <w:left w:val="nil"/>
              <w:bottom w:val="single" w:sz="4" w:space="0" w:color="auto"/>
              <w:right w:val="single" w:sz="4" w:space="0" w:color="auto"/>
            </w:tcBorders>
            <w:shd w:val="clear" w:color="auto" w:fill="C6EFCE"/>
            <w:noWrap/>
          </w:tcPr>
          <w:p w14:paraId="0F3A9CD7"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delegiranog akta ili donošenje internog pravilnika o unapređenju radnih procesa HZZ-a za profiliranje, segmentaciju, integraciju i aktivaciju ranjivih skupina</w:t>
            </w:r>
          </w:p>
        </w:tc>
        <w:tc>
          <w:tcPr>
            <w:tcW w:w="1072" w:type="dxa"/>
            <w:tcBorders>
              <w:top w:val="nil"/>
              <w:left w:val="nil"/>
              <w:bottom w:val="single" w:sz="4" w:space="0" w:color="auto"/>
              <w:right w:val="single" w:sz="4" w:space="0" w:color="auto"/>
            </w:tcBorders>
            <w:shd w:val="clear" w:color="auto" w:fill="C6EFCE"/>
            <w:noWrap/>
          </w:tcPr>
          <w:p w14:paraId="569F920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nil"/>
              <w:left w:val="nil"/>
              <w:bottom w:val="single" w:sz="4" w:space="0" w:color="auto"/>
              <w:right w:val="single" w:sz="4" w:space="0" w:color="auto"/>
            </w:tcBorders>
            <w:shd w:val="clear" w:color="auto" w:fill="C6EFCE"/>
            <w:noWrap/>
          </w:tcPr>
          <w:p w14:paraId="42B24A5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p w14:paraId="4CDBF5F4" w14:textId="77777777" w:rsidR="00733DCA" w:rsidRPr="00BC0323" w:rsidRDefault="00733DCA" w:rsidP="0001477B">
            <w:pPr>
              <w:spacing w:after="200" w:line="276" w:lineRule="auto"/>
              <w:rPr>
                <w:rFonts w:ascii="Times New Roman" w:eastAsia="Calibri" w:hAnsi="Times New Roman" w:cs="Times New Roman"/>
                <w:noProof/>
                <w:sz w:val="20"/>
                <w:szCs w:val="20"/>
              </w:rPr>
            </w:pPr>
          </w:p>
          <w:p w14:paraId="2D776A82" w14:textId="77777777" w:rsidR="00733DCA" w:rsidRPr="00BC0323" w:rsidRDefault="00733DCA" w:rsidP="0001477B">
            <w:pPr>
              <w:spacing w:after="200" w:line="276" w:lineRule="auto"/>
              <w:rPr>
                <w:rFonts w:ascii="Times New Roman" w:eastAsia="Calibri" w:hAnsi="Times New Roman" w:cs="Times New Roman"/>
                <w:noProof/>
                <w:sz w:val="20"/>
                <w:szCs w:val="20"/>
              </w:rPr>
            </w:pPr>
          </w:p>
          <w:p w14:paraId="593DC109" w14:textId="77777777" w:rsidR="00733DCA" w:rsidRPr="00BC0323" w:rsidRDefault="00733DCA" w:rsidP="0001477B">
            <w:pPr>
              <w:spacing w:after="200" w:line="276" w:lineRule="auto"/>
              <w:rPr>
                <w:rFonts w:ascii="Times New Roman" w:eastAsia="Calibri" w:hAnsi="Times New Roman" w:cs="Times New Roman"/>
                <w:noProof/>
                <w:sz w:val="20"/>
                <w:szCs w:val="20"/>
              </w:rPr>
            </w:pPr>
          </w:p>
          <w:p w14:paraId="31235EDF" w14:textId="77777777" w:rsidR="00733DCA" w:rsidRPr="00BC0323" w:rsidRDefault="00733DCA" w:rsidP="0001477B">
            <w:pPr>
              <w:spacing w:after="200" w:line="276" w:lineRule="auto"/>
              <w:rPr>
                <w:rFonts w:ascii="Times New Roman" w:eastAsia="Calibri" w:hAnsi="Times New Roman" w:cs="Times New Roman"/>
                <w:noProof/>
                <w:sz w:val="20"/>
                <w:szCs w:val="20"/>
              </w:rPr>
            </w:pPr>
          </w:p>
          <w:p w14:paraId="34FB5A5E" w14:textId="77777777" w:rsidR="00733DCA" w:rsidRPr="00BC0323" w:rsidRDefault="00733DCA" w:rsidP="0001477B">
            <w:pPr>
              <w:spacing w:after="200" w:line="276" w:lineRule="auto"/>
              <w:rPr>
                <w:rFonts w:ascii="Times New Roman" w:eastAsia="Calibri" w:hAnsi="Times New Roman" w:cs="Times New Roman"/>
                <w:noProof/>
                <w:sz w:val="20"/>
                <w:szCs w:val="20"/>
              </w:rPr>
            </w:pPr>
          </w:p>
        </w:tc>
        <w:tc>
          <w:tcPr>
            <w:tcW w:w="850" w:type="dxa"/>
            <w:tcBorders>
              <w:top w:val="nil"/>
              <w:left w:val="nil"/>
              <w:bottom w:val="single" w:sz="4" w:space="0" w:color="auto"/>
              <w:right w:val="single" w:sz="4" w:space="0" w:color="auto"/>
            </w:tcBorders>
            <w:shd w:val="clear" w:color="auto" w:fill="C6EFCE"/>
            <w:noWrap/>
          </w:tcPr>
          <w:p w14:paraId="29C69B52"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83" w:type="dxa"/>
            <w:tcBorders>
              <w:top w:val="nil"/>
              <w:left w:val="nil"/>
              <w:bottom w:val="single" w:sz="4" w:space="0" w:color="auto"/>
              <w:right w:val="single" w:sz="4" w:space="0" w:color="auto"/>
            </w:tcBorders>
            <w:shd w:val="clear" w:color="auto" w:fill="C6EFCE"/>
            <w:noWrap/>
          </w:tcPr>
          <w:p w14:paraId="43416418"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46" w:type="dxa"/>
            <w:tcBorders>
              <w:top w:val="nil"/>
              <w:left w:val="nil"/>
              <w:bottom w:val="single" w:sz="4" w:space="0" w:color="auto"/>
              <w:right w:val="single" w:sz="4" w:space="0" w:color="auto"/>
            </w:tcBorders>
            <w:shd w:val="clear" w:color="auto" w:fill="C6EFCE"/>
            <w:noWrap/>
          </w:tcPr>
          <w:p w14:paraId="3EA9B540"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498" w:type="dxa"/>
            <w:tcBorders>
              <w:top w:val="nil"/>
              <w:left w:val="nil"/>
              <w:bottom w:val="single" w:sz="4" w:space="0" w:color="auto"/>
              <w:right w:val="single" w:sz="4" w:space="0" w:color="auto"/>
            </w:tcBorders>
            <w:shd w:val="clear" w:color="auto" w:fill="C6EFCE"/>
            <w:noWrap/>
          </w:tcPr>
          <w:p w14:paraId="0F9B2B80"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 funkciji su novi postupci HZZ-a za profiliranje, segmentaciju, integraciju i aktivaciju ranjivih skupina; razvijeni su alati za usklađivanje nezaposlenih sa slobodnim radnim mjestima i operacionalizaciju sustava praćenja i ocjenjivanja aktivnih politika tržišta rada.</w:t>
            </w:r>
          </w:p>
        </w:tc>
      </w:tr>
      <w:tr w:rsidR="009926D5" w:rsidRPr="00065A0A" w14:paraId="3E75B640" w14:textId="77777777" w:rsidTr="00E25E44">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149E758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290</w:t>
            </w:r>
          </w:p>
        </w:tc>
        <w:tc>
          <w:tcPr>
            <w:tcW w:w="850" w:type="dxa"/>
            <w:tcBorders>
              <w:top w:val="nil"/>
              <w:left w:val="nil"/>
              <w:bottom w:val="single" w:sz="4" w:space="0" w:color="auto"/>
              <w:right w:val="single" w:sz="4" w:space="0" w:color="auto"/>
            </w:tcBorders>
            <w:shd w:val="clear" w:color="auto" w:fill="C6EFCE"/>
            <w:noWrap/>
          </w:tcPr>
          <w:p w14:paraId="1E109C35"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R2</w:t>
            </w:r>
          </w:p>
        </w:tc>
        <w:tc>
          <w:tcPr>
            <w:tcW w:w="850" w:type="dxa"/>
            <w:tcBorders>
              <w:top w:val="nil"/>
              <w:left w:val="nil"/>
              <w:bottom w:val="single" w:sz="4" w:space="0" w:color="auto"/>
              <w:right w:val="single" w:sz="4" w:space="0" w:color="auto"/>
            </w:tcBorders>
            <w:shd w:val="clear" w:color="auto" w:fill="C6EFCE"/>
            <w:noWrap/>
          </w:tcPr>
          <w:p w14:paraId="7E456C00"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10" w:type="dxa"/>
            <w:tcBorders>
              <w:top w:val="nil"/>
              <w:left w:val="nil"/>
              <w:bottom w:val="single" w:sz="4" w:space="0" w:color="auto"/>
              <w:right w:val="single" w:sz="4" w:space="0" w:color="auto"/>
            </w:tcBorders>
            <w:shd w:val="clear" w:color="auto" w:fill="C6EFCE"/>
            <w:noWrap/>
          </w:tcPr>
          <w:p w14:paraId="484D3888"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Bolja kvaliteta potpore za najmanje 5 000 osoba iz ranjivih skupina</w:t>
            </w:r>
          </w:p>
        </w:tc>
        <w:tc>
          <w:tcPr>
            <w:tcW w:w="1843" w:type="dxa"/>
            <w:tcBorders>
              <w:top w:val="nil"/>
              <w:left w:val="nil"/>
              <w:bottom w:val="single" w:sz="4" w:space="0" w:color="auto"/>
              <w:right w:val="single" w:sz="4" w:space="0" w:color="auto"/>
            </w:tcBorders>
            <w:shd w:val="clear" w:color="auto" w:fill="C6EFCE"/>
            <w:noWrap/>
          </w:tcPr>
          <w:p w14:paraId="557E8F0C"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2" w:type="dxa"/>
            <w:tcBorders>
              <w:top w:val="nil"/>
              <w:left w:val="nil"/>
              <w:bottom w:val="single" w:sz="4" w:space="0" w:color="auto"/>
              <w:right w:val="single" w:sz="4" w:space="0" w:color="auto"/>
            </w:tcBorders>
            <w:shd w:val="clear" w:color="auto" w:fill="C6EFCE"/>
            <w:noWrap/>
          </w:tcPr>
          <w:p w14:paraId="7342B0CC"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nil"/>
              <w:left w:val="nil"/>
              <w:bottom w:val="single" w:sz="4" w:space="0" w:color="auto"/>
              <w:right w:val="single" w:sz="4" w:space="0" w:color="auto"/>
            </w:tcBorders>
            <w:shd w:val="clear" w:color="auto" w:fill="C6EFCE"/>
            <w:noWrap/>
          </w:tcPr>
          <w:p w14:paraId="6085827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7CEAC88C"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5 000</w:t>
            </w:r>
          </w:p>
        </w:tc>
        <w:tc>
          <w:tcPr>
            <w:tcW w:w="583" w:type="dxa"/>
            <w:tcBorders>
              <w:top w:val="nil"/>
              <w:left w:val="nil"/>
              <w:bottom w:val="single" w:sz="4" w:space="0" w:color="auto"/>
              <w:right w:val="single" w:sz="4" w:space="0" w:color="auto"/>
            </w:tcBorders>
            <w:shd w:val="clear" w:color="auto" w:fill="C6EFCE"/>
            <w:noWrap/>
          </w:tcPr>
          <w:p w14:paraId="561CA15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46" w:type="dxa"/>
            <w:tcBorders>
              <w:top w:val="nil"/>
              <w:left w:val="nil"/>
              <w:bottom w:val="single" w:sz="4" w:space="0" w:color="auto"/>
              <w:right w:val="single" w:sz="4" w:space="0" w:color="auto"/>
            </w:tcBorders>
            <w:shd w:val="clear" w:color="auto" w:fill="C6EFCE"/>
            <w:noWrap/>
          </w:tcPr>
          <w:p w14:paraId="2366517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498" w:type="dxa"/>
            <w:tcBorders>
              <w:top w:val="nil"/>
              <w:left w:val="nil"/>
              <w:bottom w:val="single" w:sz="4" w:space="0" w:color="auto"/>
              <w:right w:val="single" w:sz="4" w:space="0" w:color="auto"/>
            </w:tcBorders>
            <w:shd w:val="clear" w:color="auto" w:fill="C6EFCE"/>
            <w:noWrap/>
          </w:tcPr>
          <w:p w14:paraId="274FE0F4"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Aktivnostima informiranja ranjivih skupina omogućit će se uključivanje 5 000 novih korisnika.</w:t>
            </w:r>
          </w:p>
        </w:tc>
      </w:tr>
      <w:tr w:rsidR="009926D5" w:rsidRPr="00065A0A" w14:paraId="2A61419A"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4DD854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291</w:t>
            </w:r>
          </w:p>
        </w:tc>
        <w:tc>
          <w:tcPr>
            <w:tcW w:w="850" w:type="dxa"/>
            <w:tcBorders>
              <w:top w:val="single" w:sz="4" w:space="0" w:color="auto"/>
              <w:left w:val="nil"/>
              <w:bottom w:val="single" w:sz="4" w:space="0" w:color="auto"/>
              <w:right w:val="single" w:sz="4" w:space="0" w:color="auto"/>
            </w:tcBorders>
            <w:shd w:val="clear" w:color="auto" w:fill="C6EFCE"/>
            <w:noWrap/>
          </w:tcPr>
          <w:p w14:paraId="014EA7F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R3</w:t>
            </w:r>
          </w:p>
        </w:tc>
        <w:tc>
          <w:tcPr>
            <w:tcW w:w="850" w:type="dxa"/>
            <w:tcBorders>
              <w:top w:val="single" w:sz="4" w:space="0" w:color="auto"/>
              <w:left w:val="nil"/>
              <w:bottom w:val="single" w:sz="4" w:space="0" w:color="auto"/>
              <w:right w:val="single" w:sz="4" w:space="0" w:color="auto"/>
            </w:tcBorders>
            <w:shd w:val="clear" w:color="auto" w:fill="C6EFCE"/>
            <w:noWrap/>
          </w:tcPr>
          <w:p w14:paraId="418EB141"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10" w:type="dxa"/>
            <w:tcBorders>
              <w:top w:val="single" w:sz="4" w:space="0" w:color="auto"/>
              <w:left w:val="nil"/>
              <w:bottom w:val="single" w:sz="4" w:space="0" w:color="auto"/>
              <w:right w:val="single" w:sz="4" w:space="0" w:color="auto"/>
            </w:tcBorders>
            <w:shd w:val="clear" w:color="auto" w:fill="C6EFCE"/>
            <w:noWrap/>
          </w:tcPr>
          <w:p w14:paraId="1A32F47E"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Razvoj vještina u skladu s potrebama tržišta</w:t>
            </w:r>
          </w:p>
        </w:tc>
        <w:tc>
          <w:tcPr>
            <w:tcW w:w="1843" w:type="dxa"/>
            <w:tcBorders>
              <w:top w:val="single" w:sz="4" w:space="0" w:color="auto"/>
              <w:left w:val="nil"/>
              <w:bottom w:val="single" w:sz="4" w:space="0" w:color="auto"/>
              <w:right w:val="single" w:sz="4" w:space="0" w:color="auto"/>
            </w:tcBorders>
            <w:shd w:val="clear" w:color="auto" w:fill="C6EFCE"/>
            <w:noWrap/>
          </w:tcPr>
          <w:p w14:paraId="2FDA379A"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 vaučera je u upotrebi</w:t>
            </w:r>
          </w:p>
        </w:tc>
        <w:tc>
          <w:tcPr>
            <w:tcW w:w="1072" w:type="dxa"/>
            <w:tcBorders>
              <w:top w:val="single" w:sz="4" w:space="0" w:color="auto"/>
              <w:left w:val="nil"/>
              <w:bottom w:val="single" w:sz="4" w:space="0" w:color="auto"/>
              <w:right w:val="single" w:sz="4" w:space="0" w:color="auto"/>
            </w:tcBorders>
            <w:shd w:val="clear" w:color="auto" w:fill="C6EFCE"/>
            <w:noWrap/>
          </w:tcPr>
          <w:p w14:paraId="6193E0C4"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0122A68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295B7564"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83" w:type="dxa"/>
            <w:tcBorders>
              <w:top w:val="single" w:sz="4" w:space="0" w:color="auto"/>
              <w:left w:val="nil"/>
              <w:bottom w:val="single" w:sz="4" w:space="0" w:color="auto"/>
              <w:right w:val="single" w:sz="4" w:space="0" w:color="auto"/>
            </w:tcBorders>
            <w:shd w:val="clear" w:color="auto" w:fill="C6EFCE"/>
            <w:noWrap/>
          </w:tcPr>
          <w:p w14:paraId="34B349D5"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46" w:type="dxa"/>
            <w:tcBorders>
              <w:top w:val="single" w:sz="4" w:space="0" w:color="auto"/>
              <w:left w:val="nil"/>
              <w:bottom w:val="single" w:sz="4" w:space="0" w:color="auto"/>
              <w:right w:val="single" w:sz="4" w:space="0" w:color="auto"/>
            </w:tcBorders>
            <w:shd w:val="clear" w:color="auto" w:fill="C6EFCE"/>
            <w:noWrap/>
          </w:tcPr>
          <w:p w14:paraId="5D2440D0"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498" w:type="dxa"/>
            <w:tcBorders>
              <w:top w:val="single" w:sz="4" w:space="0" w:color="auto"/>
              <w:left w:val="nil"/>
              <w:bottom w:val="single" w:sz="4" w:space="0" w:color="auto"/>
              <w:right w:val="single" w:sz="4" w:space="0" w:color="auto"/>
            </w:tcBorders>
            <w:shd w:val="clear" w:color="auto" w:fill="C6EFCE"/>
            <w:noWrap/>
          </w:tcPr>
          <w:p w14:paraId="52D7583F"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 vaučera u funkciji je i upotrebljava se za financiranje sudjelovanja isključivo u onim obrazovnim programima koji su razvijeni na temelju Hrvatskog kvalifikacijskog okvira i koje provode akreditirane ustanove u skladu s novodonesenim Zakonom o obrazovanju odraslih. Uključeno je najmanje 25 obrazovnih programa. Sustav će obuhvaćati katalog vještina, u kojem će biti mapirane postojeće i potrebne vještine na tržištu rada, kao i IT aplikaciju za upravljanje i dodjelu vaučera. Sustav vaučera koristit će zaposlene i nezaposlene osobe, a posebno osobe iz ranjivih skupina (dugotrajno nezaposlene i neaktivne osobama te mlade osobe u NEET statusu).</w:t>
            </w:r>
          </w:p>
        </w:tc>
      </w:tr>
      <w:tr w:rsidR="009926D5" w:rsidRPr="00065A0A" w14:paraId="0A68CCB9"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01E8D2E"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292</w:t>
            </w:r>
          </w:p>
        </w:tc>
        <w:tc>
          <w:tcPr>
            <w:tcW w:w="850" w:type="dxa"/>
            <w:tcBorders>
              <w:top w:val="single" w:sz="4" w:space="0" w:color="auto"/>
              <w:left w:val="nil"/>
              <w:bottom w:val="single" w:sz="4" w:space="0" w:color="auto"/>
              <w:right w:val="single" w:sz="4" w:space="0" w:color="auto"/>
            </w:tcBorders>
            <w:shd w:val="clear" w:color="auto" w:fill="C6EFCE"/>
            <w:noWrap/>
          </w:tcPr>
          <w:p w14:paraId="5F1B0E8D"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R3-I1</w:t>
            </w:r>
          </w:p>
        </w:tc>
        <w:tc>
          <w:tcPr>
            <w:tcW w:w="850" w:type="dxa"/>
            <w:tcBorders>
              <w:top w:val="single" w:sz="4" w:space="0" w:color="auto"/>
              <w:left w:val="nil"/>
              <w:bottom w:val="single" w:sz="4" w:space="0" w:color="auto"/>
              <w:right w:val="single" w:sz="4" w:space="0" w:color="auto"/>
            </w:tcBorders>
            <w:shd w:val="clear" w:color="auto" w:fill="C6EFCE"/>
            <w:noWrap/>
          </w:tcPr>
          <w:p w14:paraId="2C0A2658"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10" w:type="dxa"/>
            <w:tcBorders>
              <w:top w:val="single" w:sz="4" w:space="0" w:color="auto"/>
              <w:left w:val="nil"/>
              <w:bottom w:val="single" w:sz="4" w:space="0" w:color="auto"/>
              <w:right w:val="single" w:sz="4" w:space="0" w:color="auto"/>
            </w:tcBorders>
            <w:shd w:val="clear" w:color="auto" w:fill="C6EFCE"/>
            <w:noWrap/>
          </w:tcPr>
          <w:p w14:paraId="1C6DBFC2"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Upotreba vaučera za obrazovanje</w:t>
            </w:r>
          </w:p>
        </w:tc>
        <w:tc>
          <w:tcPr>
            <w:tcW w:w="1843" w:type="dxa"/>
            <w:tcBorders>
              <w:top w:val="single" w:sz="4" w:space="0" w:color="auto"/>
              <w:left w:val="nil"/>
              <w:bottom w:val="single" w:sz="4" w:space="0" w:color="auto"/>
              <w:right w:val="single" w:sz="4" w:space="0" w:color="auto"/>
            </w:tcBorders>
            <w:shd w:val="clear" w:color="auto" w:fill="C6EFCE"/>
            <w:noWrap/>
          </w:tcPr>
          <w:p w14:paraId="39623B63"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2" w:type="dxa"/>
            <w:tcBorders>
              <w:top w:val="single" w:sz="4" w:space="0" w:color="auto"/>
              <w:left w:val="nil"/>
              <w:bottom w:val="single" w:sz="4" w:space="0" w:color="auto"/>
              <w:right w:val="single" w:sz="4" w:space="0" w:color="auto"/>
            </w:tcBorders>
            <w:shd w:val="clear" w:color="auto" w:fill="C6EFCE"/>
            <w:noWrap/>
          </w:tcPr>
          <w:p w14:paraId="088D0A81"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25D8998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0187BA40" w14:textId="1AB2AAE2"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40 000</w:t>
            </w:r>
          </w:p>
        </w:tc>
        <w:tc>
          <w:tcPr>
            <w:tcW w:w="583" w:type="dxa"/>
            <w:tcBorders>
              <w:top w:val="single" w:sz="4" w:space="0" w:color="auto"/>
              <w:left w:val="nil"/>
              <w:bottom w:val="single" w:sz="4" w:space="0" w:color="auto"/>
              <w:right w:val="single" w:sz="4" w:space="0" w:color="auto"/>
            </w:tcBorders>
            <w:shd w:val="clear" w:color="auto" w:fill="C6EFCE"/>
            <w:noWrap/>
          </w:tcPr>
          <w:p w14:paraId="4F00DEAC"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46" w:type="dxa"/>
            <w:tcBorders>
              <w:top w:val="single" w:sz="4" w:space="0" w:color="auto"/>
              <w:left w:val="nil"/>
              <w:bottom w:val="single" w:sz="4" w:space="0" w:color="auto"/>
              <w:right w:val="single" w:sz="4" w:space="0" w:color="auto"/>
            </w:tcBorders>
            <w:shd w:val="clear" w:color="auto" w:fill="C6EFCE"/>
            <w:noWrap/>
          </w:tcPr>
          <w:p w14:paraId="6F6B59E1"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498" w:type="dxa"/>
            <w:tcBorders>
              <w:top w:val="single" w:sz="4" w:space="0" w:color="auto"/>
              <w:left w:val="nil"/>
              <w:bottom w:val="single" w:sz="4" w:space="0" w:color="auto"/>
              <w:right w:val="single" w:sz="4" w:space="0" w:color="auto"/>
            </w:tcBorders>
            <w:shd w:val="clear" w:color="auto" w:fill="C6EFCE"/>
            <w:noWrap/>
          </w:tcPr>
          <w:p w14:paraId="0463F98A" w14:textId="6077610F"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Vaučeri dodijeljeni najmanje 40 000 jedinstvenih korisnika, od čega je najmanje 12 000 dugotrajno nezaposlenih, neaktivnih ili mladih osoba u NEET statusu.</w:t>
            </w:r>
          </w:p>
        </w:tc>
      </w:tr>
      <w:tr w:rsidR="009926D5" w:rsidRPr="00065A0A" w14:paraId="26885E59"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182816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293</w:t>
            </w:r>
          </w:p>
        </w:tc>
        <w:tc>
          <w:tcPr>
            <w:tcW w:w="850" w:type="dxa"/>
            <w:tcBorders>
              <w:top w:val="single" w:sz="4" w:space="0" w:color="auto"/>
              <w:left w:val="nil"/>
              <w:bottom w:val="single" w:sz="4" w:space="0" w:color="auto"/>
              <w:right w:val="single" w:sz="4" w:space="0" w:color="auto"/>
            </w:tcBorders>
            <w:shd w:val="clear" w:color="auto" w:fill="C6EFCE"/>
            <w:noWrap/>
          </w:tcPr>
          <w:p w14:paraId="36AB9FCB"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711DF1F4"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10" w:type="dxa"/>
            <w:tcBorders>
              <w:top w:val="single" w:sz="4" w:space="0" w:color="auto"/>
              <w:left w:val="nil"/>
              <w:bottom w:val="single" w:sz="4" w:space="0" w:color="auto"/>
              <w:right w:val="single" w:sz="4" w:space="0" w:color="auto"/>
            </w:tcBorders>
            <w:shd w:val="clear" w:color="auto" w:fill="C6EFCE"/>
            <w:noWrap/>
          </w:tcPr>
          <w:p w14:paraId="24D81B39"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Zakona o minimalnoj plaći</w:t>
            </w:r>
          </w:p>
        </w:tc>
        <w:tc>
          <w:tcPr>
            <w:tcW w:w="1843" w:type="dxa"/>
            <w:tcBorders>
              <w:top w:val="single" w:sz="4" w:space="0" w:color="auto"/>
              <w:left w:val="nil"/>
              <w:bottom w:val="single" w:sz="4" w:space="0" w:color="auto"/>
              <w:right w:val="single" w:sz="4" w:space="0" w:color="auto"/>
            </w:tcBorders>
            <w:shd w:val="clear" w:color="auto" w:fill="C6EFCE"/>
            <w:noWrap/>
          </w:tcPr>
          <w:p w14:paraId="11991DAC"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Zakona o minimalnoj plaći</w:t>
            </w:r>
          </w:p>
        </w:tc>
        <w:tc>
          <w:tcPr>
            <w:tcW w:w="1072" w:type="dxa"/>
            <w:tcBorders>
              <w:top w:val="single" w:sz="4" w:space="0" w:color="auto"/>
              <w:left w:val="nil"/>
              <w:bottom w:val="single" w:sz="4" w:space="0" w:color="auto"/>
              <w:right w:val="single" w:sz="4" w:space="0" w:color="auto"/>
            </w:tcBorders>
            <w:shd w:val="clear" w:color="auto" w:fill="C6EFCE"/>
            <w:noWrap/>
          </w:tcPr>
          <w:p w14:paraId="3A13F94C"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2B4F99B9"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27C92221"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83" w:type="dxa"/>
            <w:tcBorders>
              <w:top w:val="single" w:sz="4" w:space="0" w:color="auto"/>
              <w:left w:val="nil"/>
              <w:bottom w:val="single" w:sz="4" w:space="0" w:color="auto"/>
              <w:right w:val="single" w:sz="4" w:space="0" w:color="auto"/>
            </w:tcBorders>
            <w:shd w:val="clear" w:color="auto" w:fill="C6EFCE"/>
            <w:noWrap/>
          </w:tcPr>
          <w:p w14:paraId="6A2F103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46" w:type="dxa"/>
            <w:tcBorders>
              <w:top w:val="single" w:sz="4" w:space="0" w:color="auto"/>
              <w:left w:val="nil"/>
              <w:bottom w:val="single" w:sz="4" w:space="0" w:color="auto"/>
              <w:right w:val="single" w:sz="4" w:space="0" w:color="auto"/>
            </w:tcBorders>
            <w:shd w:val="clear" w:color="auto" w:fill="C6EFCE"/>
            <w:noWrap/>
          </w:tcPr>
          <w:p w14:paraId="2A8F2CE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498" w:type="dxa"/>
            <w:tcBorders>
              <w:top w:val="single" w:sz="4" w:space="0" w:color="auto"/>
              <w:left w:val="nil"/>
              <w:bottom w:val="single" w:sz="4" w:space="0" w:color="auto"/>
              <w:right w:val="single" w:sz="4" w:space="0" w:color="auto"/>
            </w:tcBorders>
            <w:shd w:val="clear" w:color="auto" w:fill="C6EFCE"/>
            <w:noWrap/>
          </w:tcPr>
          <w:p w14:paraId="51BBA3D1"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Novim Zakonom o minimalnoj plaći iz iznosa minimalne plaće izuzet će se više dodataka na plaću te će se propisati minimalna uvećanja za prekovremeni rad, noćni rad i rad nedjeljom i neradnim danom. Zabranit će se mogućnost odricanja od minimalne plaće kako bi se spriječila zlouporaba, pojačao nadzor nad inspekcijskim tijelima i redefinirale kazne za prekršitelje.</w:t>
            </w:r>
          </w:p>
        </w:tc>
      </w:tr>
      <w:tr w:rsidR="009926D5" w:rsidRPr="00065A0A" w14:paraId="5D1F98B0"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8983281"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294</w:t>
            </w:r>
          </w:p>
        </w:tc>
        <w:tc>
          <w:tcPr>
            <w:tcW w:w="850" w:type="dxa"/>
            <w:tcBorders>
              <w:top w:val="single" w:sz="4" w:space="0" w:color="auto"/>
              <w:left w:val="nil"/>
              <w:bottom w:val="single" w:sz="4" w:space="0" w:color="auto"/>
              <w:right w:val="single" w:sz="4" w:space="0" w:color="auto"/>
            </w:tcBorders>
            <w:shd w:val="clear" w:color="auto" w:fill="C6EFCE"/>
            <w:noWrap/>
          </w:tcPr>
          <w:p w14:paraId="61D66537"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78F5CD7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210" w:type="dxa"/>
            <w:tcBorders>
              <w:top w:val="single" w:sz="4" w:space="0" w:color="auto"/>
              <w:left w:val="nil"/>
              <w:bottom w:val="single" w:sz="4" w:space="0" w:color="auto"/>
              <w:right w:val="single" w:sz="4" w:space="0" w:color="auto"/>
            </w:tcBorders>
            <w:shd w:val="clear" w:color="auto" w:fill="C6EFCE"/>
            <w:noWrap/>
          </w:tcPr>
          <w:p w14:paraId="08D829F2"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Zakona o suzbijanju neprijavljenog rada i novog Zakona o radu</w:t>
            </w:r>
          </w:p>
        </w:tc>
        <w:tc>
          <w:tcPr>
            <w:tcW w:w="1843" w:type="dxa"/>
            <w:tcBorders>
              <w:top w:val="single" w:sz="4" w:space="0" w:color="auto"/>
              <w:left w:val="nil"/>
              <w:bottom w:val="single" w:sz="4" w:space="0" w:color="auto"/>
              <w:right w:val="single" w:sz="4" w:space="0" w:color="auto"/>
            </w:tcBorders>
            <w:shd w:val="clear" w:color="auto" w:fill="C6EFCE"/>
            <w:noWrap/>
          </w:tcPr>
          <w:p w14:paraId="67CDE8FA"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Stupanja na snagu Zakona o suzbijanju neprijavljenog rada i izmjena Zakona o radu</w:t>
            </w:r>
          </w:p>
        </w:tc>
        <w:tc>
          <w:tcPr>
            <w:tcW w:w="1072" w:type="dxa"/>
            <w:tcBorders>
              <w:top w:val="single" w:sz="4" w:space="0" w:color="auto"/>
              <w:left w:val="nil"/>
              <w:bottom w:val="single" w:sz="4" w:space="0" w:color="auto"/>
              <w:right w:val="single" w:sz="4" w:space="0" w:color="auto"/>
            </w:tcBorders>
            <w:shd w:val="clear" w:color="auto" w:fill="C6EFCE"/>
            <w:noWrap/>
          </w:tcPr>
          <w:p w14:paraId="616FA44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26" w:type="dxa"/>
            <w:tcBorders>
              <w:top w:val="single" w:sz="4" w:space="0" w:color="auto"/>
              <w:left w:val="nil"/>
              <w:bottom w:val="single" w:sz="4" w:space="0" w:color="auto"/>
              <w:right w:val="single" w:sz="4" w:space="0" w:color="auto"/>
            </w:tcBorders>
            <w:shd w:val="clear" w:color="auto" w:fill="C6EFCE"/>
            <w:noWrap/>
          </w:tcPr>
          <w:p w14:paraId="12FDE906"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31E14B9F"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83" w:type="dxa"/>
            <w:tcBorders>
              <w:top w:val="single" w:sz="4" w:space="0" w:color="auto"/>
              <w:left w:val="nil"/>
              <w:bottom w:val="single" w:sz="4" w:space="0" w:color="auto"/>
              <w:right w:val="single" w:sz="4" w:space="0" w:color="auto"/>
            </w:tcBorders>
            <w:shd w:val="clear" w:color="auto" w:fill="C6EFCE"/>
            <w:noWrap/>
          </w:tcPr>
          <w:p w14:paraId="2B1ECE55"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46" w:type="dxa"/>
            <w:tcBorders>
              <w:top w:val="single" w:sz="4" w:space="0" w:color="auto"/>
              <w:left w:val="nil"/>
              <w:bottom w:val="single" w:sz="4" w:space="0" w:color="auto"/>
              <w:right w:val="single" w:sz="4" w:space="0" w:color="auto"/>
            </w:tcBorders>
            <w:shd w:val="clear" w:color="auto" w:fill="C6EFCE"/>
            <w:noWrap/>
          </w:tcPr>
          <w:p w14:paraId="57DE55DD"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498" w:type="dxa"/>
            <w:tcBorders>
              <w:top w:val="single" w:sz="4" w:space="0" w:color="auto"/>
              <w:left w:val="nil"/>
              <w:bottom w:val="single" w:sz="4" w:space="0" w:color="auto"/>
              <w:right w:val="single" w:sz="4" w:space="0" w:color="auto"/>
            </w:tcBorders>
            <w:shd w:val="clear" w:color="auto" w:fill="C6EFCE"/>
            <w:noWrap/>
          </w:tcPr>
          <w:p w14:paraId="0790E7F7"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Izmijenjenim ili novim Zakonom o radu uredit će se rad izvan radnog mjesta i platformski rad, ograničiti broj mogućih uzastopnih ugovora privremenog trajanja, ojačati pravo na rad za druge poslodavce, izmijeniti odredba o umirovljenju u dobi od 65 godina, izmijeniti odredbe o financiranju bolovanja i otpremnine radnika u dobi za umirovljenje, potaknuti dodatan rad i rad u nepunom radnom vremenu te uvesti odredbe kojima će se omogućiti fleksibilno radno vrijeme i mjesto rada te smanjiti razlika u plaćama između spolova. Novim ili izmijenjenim Zakonom o suzbijanju neprijavljenog rada definirat će se neprijavljeni rad i svi njegovi pojavni oblici, pojačati inspekcije, propisati prekršajne odredbe i urediti postupke za prelazak radnika iz neprijavljenog u prijavljeni rad. </w:t>
            </w:r>
          </w:p>
        </w:tc>
      </w:tr>
      <w:tr w:rsidR="009926D5" w:rsidRPr="00065A0A" w14:paraId="1AE93F06"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0318D5A"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295</w:t>
            </w:r>
          </w:p>
        </w:tc>
        <w:tc>
          <w:tcPr>
            <w:tcW w:w="850" w:type="dxa"/>
            <w:tcBorders>
              <w:top w:val="single" w:sz="4" w:space="0" w:color="auto"/>
              <w:left w:val="nil"/>
              <w:bottom w:val="single" w:sz="4" w:space="0" w:color="auto"/>
              <w:right w:val="single" w:sz="4" w:space="0" w:color="auto"/>
            </w:tcBorders>
            <w:shd w:val="clear" w:color="auto" w:fill="C6EFCE"/>
            <w:noWrap/>
          </w:tcPr>
          <w:p w14:paraId="28088160"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695804E2"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10" w:type="dxa"/>
            <w:tcBorders>
              <w:top w:val="single" w:sz="4" w:space="0" w:color="auto"/>
              <w:left w:val="nil"/>
              <w:bottom w:val="single" w:sz="4" w:space="0" w:color="auto"/>
              <w:right w:val="single" w:sz="4" w:space="0" w:color="auto"/>
            </w:tcBorders>
            <w:shd w:val="clear" w:color="auto" w:fill="C6EFCE"/>
            <w:noWrap/>
          </w:tcPr>
          <w:p w14:paraId="70C0371A"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Povećanje omjera minimalne plaće u odnosu na prosječnu bruto plaću 2024. na 50 % </w:t>
            </w:r>
          </w:p>
        </w:tc>
        <w:tc>
          <w:tcPr>
            <w:tcW w:w="1843" w:type="dxa"/>
            <w:tcBorders>
              <w:top w:val="single" w:sz="4" w:space="0" w:color="auto"/>
              <w:left w:val="nil"/>
              <w:bottom w:val="single" w:sz="4" w:space="0" w:color="auto"/>
              <w:right w:val="single" w:sz="4" w:space="0" w:color="auto"/>
            </w:tcBorders>
            <w:shd w:val="clear" w:color="auto" w:fill="C6EFCE"/>
            <w:noWrap/>
          </w:tcPr>
          <w:p w14:paraId="190EDAF5"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2" w:type="dxa"/>
            <w:tcBorders>
              <w:top w:val="single" w:sz="4" w:space="0" w:color="auto"/>
              <w:left w:val="nil"/>
              <w:bottom w:val="single" w:sz="4" w:space="0" w:color="auto"/>
              <w:right w:val="single" w:sz="4" w:space="0" w:color="auto"/>
            </w:tcBorders>
            <w:shd w:val="clear" w:color="auto" w:fill="C6EFCE"/>
            <w:noWrap/>
          </w:tcPr>
          <w:p w14:paraId="69F29BE1"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1B52ED65"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46,29</w:t>
            </w:r>
          </w:p>
        </w:tc>
        <w:tc>
          <w:tcPr>
            <w:tcW w:w="850" w:type="dxa"/>
            <w:tcBorders>
              <w:top w:val="single" w:sz="4" w:space="0" w:color="auto"/>
              <w:left w:val="nil"/>
              <w:bottom w:val="single" w:sz="4" w:space="0" w:color="auto"/>
              <w:right w:val="single" w:sz="4" w:space="0" w:color="auto"/>
            </w:tcBorders>
            <w:shd w:val="clear" w:color="auto" w:fill="C6EFCE"/>
            <w:noWrap/>
          </w:tcPr>
          <w:p w14:paraId="5769E952"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w:t>
            </w:r>
          </w:p>
        </w:tc>
        <w:tc>
          <w:tcPr>
            <w:tcW w:w="583" w:type="dxa"/>
            <w:tcBorders>
              <w:top w:val="single" w:sz="4" w:space="0" w:color="auto"/>
              <w:left w:val="nil"/>
              <w:bottom w:val="single" w:sz="4" w:space="0" w:color="auto"/>
              <w:right w:val="single" w:sz="4" w:space="0" w:color="auto"/>
            </w:tcBorders>
            <w:shd w:val="clear" w:color="auto" w:fill="C6EFCE"/>
            <w:noWrap/>
          </w:tcPr>
          <w:p w14:paraId="1528E062"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46" w:type="dxa"/>
            <w:tcBorders>
              <w:top w:val="single" w:sz="4" w:space="0" w:color="auto"/>
              <w:left w:val="nil"/>
              <w:bottom w:val="single" w:sz="4" w:space="0" w:color="auto"/>
              <w:right w:val="single" w:sz="4" w:space="0" w:color="auto"/>
            </w:tcBorders>
            <w:shd w:val="clear" w:color="auto" w:fill="C6EFCE"/>
            <w:noWrap/>
          </w:tcPr>
          <w:p w14:paraId="5C34D12A"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498" w:type="dxa"/>
            <w:tcBorders>
              <w:top w:val="single" w:sz="4" w:space="0" w:color="auto"/>
              <w:left w:val="nil"/>
              <w:bottom w:val="single" w:sz="4" w:space="0" w:color="auto"/>
              <w:right w:val="single" w:sz="4" w:space="0" w:color="auto"/>
            </w:tcBorders>
            <w:shd w:val="clear" w:color="auto" w:fill="C6EFCE"/>
            <w:noWrap/>
          </w:tcPr>
          <w:p w14:paraId="71490F9F"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Uz savjetovanje sa socijalnim partnerima i u suradnji sa Stručnim povjerenstvom za praćenje i analizu kretanja minimalne plaće, minimalna plaća povećava se na 50 % prosječne plaće iz prethodne godine.</w:t>
            </w:r>
          </w:p>
        </w:tc>
      </w:tr>
      <w:tr w:rsidR="009926D5" w:rsidRPr="00065A0A" w14:paraId="171F69BB" w14:textId="77777777" w:rsidTr="00E25E44">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1239131"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296</w:t>
            </w:r>
          </w:p>
        </w:tc>
        <w:tc>
          <w:tcPr>
            <w:tcW w:w="850" w:type="dxa"/>
            <w:tcBorders>
              <w:top w:val="single" w:sz="4" w:space="0" w:color="auto"/>
              <w:left w:val="nil"/>
              <w:bottom w:val="single" w:sz="4" w:space="0" w:color="auto"/>
              <w:right w:val="single" w:sz="4" w:space="0" w:color="auto"/>
            </w:tcBorders>
            <w:shd w:val="clear" w:color="auto" w:fill="C6EFCE"/>
            <w:noWrap/>
          </w:tcPr>
          <w:p w14:paraId="4C85A744"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3E6ECAD3"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210" w:type="dxa"/>
            <w:tcBorders>
              <w:top w:val="single" w:sz="4" w:space="0" w:color="auto"/>
              <w:left w:val="nil"/>
              <w:bottom w:val="single" w:sz="4" w:space="0" w:color="auto"/>
              <w:right w:val="single" w:sz="4" w:space="0" w:color="auto"/>
            </w:tcBorders>
            <w:shd w:val="clear" w:color="auto" w:fill="C6EFCE"/>
            <w:noWrap/>
          </w:tcPr>
          <w:p w14:paraId="3B67CDE7"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Smanjenje udjela ugovora na određeno vrijeme na 17 %</w:t>
            </w:r>
          </w:p>
        </w:tc>
        <w:tc>
          <w:tcPr>
            <w:tcW w:w="1843" w:type="dxa"/>
            <w:tcBorders>
              <w:top w:val="single" w:sz="4" w:space="0" w:color="auto"/>
              <w:left w:val="nil"/>
              <w:bottom w:val="single" w:sz="4" w:space="0" w:color="auto"/>
              <w:right w:val="single" w:sz="4" w:space="0" w:color="auto"/>
            </w:tcBorders>
            <w:shd w:val="clear" w:color="auto" w:fill="C6EFCE"/>
            <w:noWrap/>
          </w:tcPr>
          <w:p w14:paraId="1852FB2D"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2" w:type="dxa"/>
            <w:tcBorders>
              <w:top w:val="single" w:sz="4" w:space="0" w:color="auto"/>
              <w:left w:val="nil"/>
              <w:bottom w:val="single" w:sz="4" w:space="0" w:color="auto"/>
              <w:right w:val="single" w:sz="4" w:space="0" w:color="auto"/>
            </w:tcBorders>
            <w:shd w:val="clear" w:color="auto" w:fill="C6EFCE"/>
            <w:noWrap/>
          </w:tcPr>
          <w:p w14:paraId="427AA22C"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826" w:type="dxa"/>
            <w:tcBorders>
              <w:top w:val="single" w:sz="4" w:space="0" w:color="auto"/>
              <w:left w:val="nil"/>
              <w:bottom w:val="single" w:sz="4" w:space="0" w:color="auto"/>
              <w:right w:val="single" w:sz="4" w:space="0" w:color="auto"/>
            </w:tcBorders>
            <w:shd w:val="clear" w:color="auto" w:fill="C6EFCE"/>
            <w:noWrap/>
          </w:tcPr>
          <w:p w14:paraId="75AC4DFE"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18,1</w:t>
            </w:r>
          </w:p>
        </w:tc>
        <w:tc>
          <w:tcPr>
            <w:tcW w:w="850" w:type="dxa"/>
            <w:tcBorders>
              <w:top w:val="single" w:sz="4" w:space="0" w:color="auto"/>
              <w:left w:val="nil"/>
              <w:bottom w:val="single" w:sz="4" w:space="0" w:color="auto"/>
              <w:right w:val="single" w:sz="4" w:space="0" w:color="auto"/>
            </w:tcBorders>
            <w:shd w:val="clear" w:color="auto" w:fill="C6EFCE"/>
            <w:noWrap/>
          </w:tcPr>
          <w:p w14:paraId="6E390B92"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17</w:t>
            </w:r>
          </w:p>
        </w:tc>
        <w:tc>
          <w:tcPr>
            <w:tcW w:w="583" w:type="dxa"/>
            <w:tcBorders>
              <w:top w:val="single" w:sz="4" w:space="0" w:color="auto"/>
              <w:left w:val="nil"/>
              <w:bottom w:val="single" w:sz="4" w:space="0" w:color="auto"/>
              <w:right w:val="single" w:sz="4" w:space="0" w:color="auto"/>
            </w:tcBorders>
            <w:shd w:val="clear" w:color="auto" w:fill="C6EFCE"/>
            <w:noWrap/>
          </w:tcPr>
          <w:p w14:paraId="1D7DDB73"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46" w:type="dxa"/>
            <w:tcBorders>
              <w:top w:val="single" w:sz="4" w:space="0" w:color="auto"/>
              <w:left w:val="nil"/>
              <w:bottom w:val="single" w:sz="4" w:space="0" w:color="auto"/>
              <w:right w:val="single" w:sz="4" w:space="0" w:color="auto"/>
            </w:tcBorders>
            <w:shd w:val="clear" w:color="auto" w:fill="C6EFCE"/>
            <w:noWrap/>
          </w:tcPr>
          <w:p w14:paraId="0058848D" w14:textId="77777777" w:rsidR="00733DCA" w:rsidRPr="00065A0A"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498" w:type="dxa"/>
            <w:tcBorders>
              <w:top w:val="single" w:sz="4" w:space="0" w:color="auto"/>
              <w:left w:val="nil"/>
              <w:bottom w:val="single" w:sz="4" w:space="0" w:color="auto"/>
              <w:right w:val="single" w:sz="4" w:space="0" w:color="auto"/>
            </w:tcBorders>
            <w:shd w:val="clear" w:color="auto" w:fill="C6EFCE"/>
            <w:noWrap/>
          </w:tcPr>
          <w:p w14:paraId="5EE1CA6C" w14:textId="77777777" w:rsidR="00733DCA" w:rsidRPr="00065A0A"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Izmjenama Zakona o radu stvorit će se uvjeti za smanjenje broja ugovora na određeno vrijeme. Očekuje se da će se udio takvih ugovora smanjiti s 18,1 % na najviše 17 %.</w:t>
            </w:r>
          </w:p>
        </w:tc>
      </w:tr>
    </w:tbl>
    <w:p w14:paraId="2B27DA4A" w14:textId="77777777" w:rsidR="00733DCA" w:rsidRPr="00BC0323" w:rsidRDefault="00733DCA" w:rsidP="0001477B">
      <w:pPr>
        <w:spacing w:before="120" w:after="120" w:line="240" w:lineRule="auto"/>
        <w:ind w:left="709"/>
        <w:jc w:val="both"/>
        <w:rPr>
          <w:rFonts w:ascii="Times New Roman" w:eastAsia="Calibri" w:hAnsi="Times New Roman" w:cs="Times New Roman"/>
          <w:noProof/>
          <w:sz w:val="24"/>
        </w:rPr>
      </w:pPr>
    </w:p>
    <w:p w14:paraId="32EE1AEE" w14:textId="77777777" w:rsidR="00733DCA" w:rsidRPr="00BC0323" w:rsidRDefault="00733DCA" w:rsidP="0001477B">
      <w:pPr>
        <w:spacing w:before="120" w:after="120" w:line="240" w:lineRule="auto"/>
        <w:ind w:left="709"/>
        <w:jc w:val="both"/>
        <w:rPr>
          <w:rFonts w:ascii="Times New Roman" w:eastAsia="Calibri" w:hAnsi="Times New Roman" w:cs="Times New Roman"/>
          <w:noProof/>
          <w:sz w:val="24"/>
        </w:rPr>
      </w:pPr>
    </w:p>
    <w:p w14:paraId="09F2B51A" w14:textId="77777777" w:rsidR="00733DCA" w:rsidRPr="00BC0323" w:rsidRDefault="00733DCA" w:rsidP="00932F3F">
      <w:pPr>
        <w:pStyle w:val="paragraph"/>
        <w:spacing w:before="0" w:beforeAutospacing="0" w:after="0" w:afterAutospacing="0"/>
        <w:jc w:val="both"/>
        <w:textAlignment w:val="baseline"/>
        <w:rPr>
          <w:rStyle w:val="normaltextrun"/>
          <w:b/>
          <w:bCs/>
          <w:noProof/>
        </w:rPr>
        <w:sectPr w:rsidR="00733DCA" w:rsidRPr="00BC0323" w:rsidSect="00932F3F">
          <w:headerReference w:type="even" r:id="rId312"/>
          <w:headerReference w:type="default" r:id="rId313"/>
          <w:footerReference w:type="even" r:id="rId314"/>
          <w:footerReference w:type="default" r:id="rId315"/>
          <w:headerReference w:type="first" r:id="rId316"/>
          <w:footerReference w:type="first" r:id="rId317"/>
          <w:pgSz w:w="15840" w:h="12240" w:orient="landscape"/>
          <w:pgMar w:top="1440" w:right="1440" w:bottom="1440" w:left="1440" w:header="708" w:footer="708" w:gutter="0"/>
          <w:cols w:space="708"/>
          <w:docGrid w:linePitch="360"/>
        </w:sectPr>
      </w:pPr>
    </w:p>
    <w:p w14:paraId="4E8BE576" w14:textId="77777777" w:rsidR="00733DCA" w:rsidRPr="006A0F87" w:rsidRDefault="00733DCA" w:rsidP="00932F3F">
      <w:pPr>
        <w:keepNext/>
        <w:tabs>
          <w:tab w:val="left" w:pos="850"/>
        </w:tabs>
        <w:spacing w:before="360" w:after="120" w:line="240" w:lineRule="auto"/>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S. KOMPONENTA 4.2.: UNAPREĐENJE MIROVINSKOG SUSTAVA KROZ POVEĆANJE ADEKVATNOSTI MIROVINA</w:t>
      </w:r>
    </w:p>
    <w:p w14:paraId="67EEC1DF" w14:textId="77777777" w:rsidR="00733DCA" w:rsidRPr="006A0F8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ove komponente NPOO-a dodatno ojačati održivost mirovinskog sustava, i to poticanjem duljeg radnog vijeka, jačanjem drugog mirovinskog stupa i povećanjem najnižih mirovina. Općeniti je cilj reforme u okviru ove komponente povećanje adekvatnosti mirovina i održivost mirovinskog sustava. </w:t>
      </w:r>
    </w:p>
    <w:p w14:paraId="4D907854" w14:textId="77777777" w:rsidR="00733DCA" w:rsidRPr="006A0F87"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S.1. </w:t>
      </w:r>
      <w:r>
        <w:rPr>
          <w:rFonts w:ascii="Times New Roman" w:hAnsi="Times New Roman"/>
          <w:b/>
          <w:noProof/>
          <w:sz w:val="24"/>
          <w:u w:val="single"/>
        </w:rPr>
        <w:tab/>
        <w:t>Opis reformi i ulaganja za programe bespovratne financijske potpore</w:t>
      </w:r>
    </w:p>
    <w:p w14:paraId="3A651312" w14:textId="77777777" w:rsidR="00733DCA" w:rsidRPr="006A0F87" w:rsidRDefault="00733DCA" w:rsidP="0001477B">
      <w:pPr>
        <w:keepNext/>
        <w:spacing w:before="240" w:after="0"/>
        <w:ind w:left="850"/>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Reforma C4.2. R1. – Povećanje adekvatnosti mirovina kroz nastavak mirovinske reforme</w:t>
      </w:r>
    </w:p>
    <w:p w14:paraId="52996A3C" w14:textId="77777777" w:rsidR="00733DCA" w:rsidRPr="006A0F8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reforme trostruki: i. povećati adekvatnost mirovina, posebno za korisnike s najnižim dohotkom, ii. poboljšati održivost mirovinskog sustava jačanjem drugog mirovinskog stupa i iii. dugoročno ojačati reformski rad na socijalno uključiv način osnivanjem radne skupine koja bi uključivala sve ključne dionike i socijalne partnere.</w:t>
      </w:r>
    </w:p>
    <w:p w14:paraId="628D71B0" w14:textId="77777777" w:rsidR="00733DCA" w:rsidRPr="006A0F8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Radi poboljšanja adekvatnosti mirovina, reforma uključuje:</w:t>
      </w:r>
    </w:p>
    <w:p w14:paraId="674F4A5F" w14:textId="77777777" w:rsidR="00733DCA" w:rsidRPr="006A0F87" w:rsidRDefault="00733DCA" w:rsidP="00733DCA">
      <w:pPr>
        <w:numPr>
          <w:ilvl w:val="0"/>
          <w:numId w:val="24"/>
        </w:numPr>
        <w:spacing w:before="120"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povećanje najniže mirovine za minimalno 3 % u realnoj vrijednosti (tj. pored indeksacije),</w:t>
      </w:r>
    </w:p>
    <w:p w14:paraId="67E50BC1" w14:textId="77777777" w:rsidR="00733DCA" w:rsidRPr="006A0F87" w:rsidRDefault="00733DCA" w:rsidP="00733DCA">
      <w:pPr>
        <w:numPr>
          <w:ilvl w:val="0"/>
          <w:numId w:val="24"/>
        </w:numPr>
        <w:spacing w:before="120"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izmjene izračuna obiteljske mirovine koje dovode do povećanja ukupnog mirovinskog prihoda od barem 10 % za korisnike obiteljske mirovine i uvođenje mogućnosti da korisnici najniže mirovine uz osobnu (starosnu ili invalidsku) mirovinu koriste i dio obiteljske mirovine, prema uvjetima u pogledu dobi i prihoda.</w:t>
      </w:r>
    </w:p>
    <w:p w14:paraId="5900E4DF" w14:textId="77777777" w:rsidR="00733DCA" w:rsidRPr="006A0F8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Radi jačanja II. mirovinskog stupa, reforma uključuje:</w:t>
      </w:r>
    </w:p>
    <w:p w14:paraId="12591F39" w14:textId="77777777" w:rsidR="00733DCA" w:rsidRPr="006A0F87" w:rsidRDefault="00733DCA" w:rsidP="00733DCA">
      <w:pPr>
        <w:numPr>
          <w:ilvl w:val="0"/>
          <w:numId w:val="24"/>
        </w:numPr>
        <w:spacing w:before="120"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širenje opsega prihvatljivih ulaganja za mirovinske fondove drugog stupa,</w:t>
      </w:r>
    </w:p>
    <w:p w14:paraId="000F89E1" w14:textId="77777777" w:rsidR="00733DCA" w:rsidRPr="006A0F87" w:rsidRDefault="00733DCA" w:rsidP="00733DCA">
      <w:pPr>
        <w:numPr>
          <w:ilvl w:val="0"/>
          <w:numId w:val="24"/>
        </w:numPr>
        <w:spacing w:before="120"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donošenje Vladinog zaključka o prihvaćanju Izvješća o provedenim analizama isplativosti ulaganja obveznih mirovinskih fondova u poduzeća u državnom vlasništvu.</w:t>
      </w:r>
    </w:p>
    <w:p w14:paraId="6F292ABE" w14:textId="77777777" w:rsidR="00733DCA" w:rsidRPr="006A0F8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Radi jačanja reformskih mjera u mirovinskom sustavu, reforma uključuje:</w:t>
      </w:r>
    </w:p>
    <w:p w14:paraId="1959A919" w14:textId="77777777" w:rsidR="00733DCA" w:rsidRPr="006A0F87" w:rsidRDefault="00733DCA" w:rsidP="00733DCA">
      <w:pPr>
        <w:numPr>
          <w:ilvl w:val="0"/>
          <w:numId w:val="24"/>
        </w:numPr>
        <w:spacing w:before="120"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osnivanje Radne skupine za analizu stanja mirovinskog sustava, namijenjene povećanju adekvatnosti mirovina i osiguravanju održivosti mirovinskog sustava,</w:t>
      </w:r>
    </w:p>
    <w:p w14:paraId="1FB8DEC1" w14:textId="77777777" w:rsidR="00733DCA" w:rsidRPr="006A0F87" w:rsidRDefault="00733DCA" w:rsidP="00733DCA">
      <w:pPr>
        <w:numPr>
          <w:ilvl w:val="0"/>
          <w:numId w:val="24"/>
        </w:numPr>
        <w:spacing w:before="120" w:after="12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provedbu zaključaka Radne skupine u obliku izmjena zakonodavstva. </w:t>
      </w:r>
    </w:p>
    <w:p w14:paraId="12464E35" w14:textId="77777777" w:rsidR="00733DCA" w:rsidRPr="006A0F8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Mjere ove reforme provest će se izmjenama Zakona o mirovinskom osiguranju.</w:t>
      </w:r>
    </w:p>
    <w:p w14:paraId="2E3314A8" w14:textId="77777777" w:rsidR="00733DCA" w:rsidRPr="006A0F87"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ožujka 2026.</w:t>
      </w:r>
    </w:p>
    <w:p w14:paraId="78AC3CDB" w14:textId="77777777" w:rsidR="00733DCA" w:rsidRDefault="00733DCA">
      <w:pPr>
        <w:rPr>
          <w:noProof/>
          <w:lang w:val="en-IE"/>
        </w:rPr>
        <w:sectPr w:rsidR="00733DCA" w:rsidSect="00932F3F">
          <w:headerReference w:type="even" r:id="rId318"/>
          <w:headerReference w:type="default" r:id="rId319"/>
          <w:footerReference w:type="even" r:id="rId320"/>
          <w:footerReference w:type="default" r:id="rId321"/>
          <w:headerReference w:type="first" r:id="rId322"/>
          <w:footerReference w:type="first" r:id="rId323"/>
          <w:pgSz w:w="12240" w:h="15840"/>
          <w:pgMar w:top="1440" w:right="1440" w:bottom="1440" w:left="1440" w:header="708" w:footer="708" w:gutter="0"/>
          <w:cols w:space="708"/>
          <w:docGrid w:linePitch="360"/>
        </w:sectPr>
      </w:pPr>
    </w:p>
    <w:p w14:paraId="02A796DF" w14:textId="77777777" w:rsidR="00733DCA" w:rsidRPr="006A0F87"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S.2. </w:t>
      </w:r>
      <w:r>
        <w:rPr>
          <w:rFonts w:ascii="Times New Roman" w:hAnsi="Times New Roman"/>
          <w:b/>
          <w:noProof/>
          <w:sz w:val="24"/>
          <w:u w:val="single"/>
        </w:rPr>
        <w:tab/>
        <w:t>Ključne etape, ciljne vrijednosti, pokazatelji i vremenski raspored za praćenje i provedbu programa bespovratne financijske potpore</w:t>
      </w:r>
    </w:p>
    <w:tbl>
      <w:tblPr>
        <w:tblW w:w="15168" w:type="dxa"/>
        <w:tblInd w:w="-965" w:type="dxa"/>
        <w:tblCellMar>
          <w:top w:w="28" w:type="dxa"/>
          <w:left w:w="28" w:type="dxa"/>
          <w:bottom w:w="28" w:type="dxa"/>
          <w:right w:w="28" w:type="dxa"/>
        </w:tblCellMar>
        <w:tblLook w:val="04A0" w:firstRow="1" w:lastRow="0" w:firstColumn="1" w:lastColumn="0" w:noHBand="0" w:noVBand="1"/>
      </w:tblPr>
      <w:tblGrid>
        <w:gridCol w:w="851"/>
        <w:gridCol w:w="993"/>
        <w:gridCol w:w="992"/>
        <w:gridCol w:w="2552"/>
        <w:gridCol w:w="2093"/>
        <w:gridCol w:w="1134"/>
        <w:gridCol w:w="836"/>
        <w:gridCol w:w="850"/>
        <w:gridCol w:w="425"/>
        <w:gridCol w:w="884"/>
        <w:gridCol w:w="3685"/>
      </w:tblGrid>
      <w:tr w:rsidR="00215DFD" w:rsidRPr="006A0F87" w14:paraId="4E9C9E65" w14:textId="77777777" w:rsidTr="00E25E44">
        <w:trPr>
          <w:trHeight w:val="635"/>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2539F7B" w14:textId="77777777" w:rsidR="00733DCA" w:rsidRPr="006A0F87"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1A33EA"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Mjera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4656B9"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Ključna etapa / ciljna vrijednost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79D252"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Naziv</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8668D5"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Kvalitativni pokazatelji </w:t>
            </w:r>
            <w:r>
              <w:rPr>
                <w:rFonts w:ascii="Times New Roman" w:hAnsi="Times New Roman"/>
                <w:b/>
                <w:noProof/>
                <w:sz w:val="18"/>
              </w:rPr>
              <w:br/>
              <w:t>(za ključne etape)</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D70936F"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Kvantitativni pokazatelji </w:t>
            </w:r>
            <w:r>
              <w:rPr>
                <w:rFonts w:ascii="Times New Roman" w:hAnsi="Times New Roman"/>
                <w:b/>
                <w:noProof/>
                <w:sz w:val="18"/>
              </w:rPr>
              <w:br/>
              <w:t>(za ciljne vrijednosti)</w:t>
            </w:r>
          </w:p>
        </w:tc>
        <w:tc>
          <w:tcPr>
            <w:tcW w:w="1309" w:type="dxa"/>
            <w:gridSpan w:val="2"/>
            <w:tcBorders>
              <w:top w:val="single" w:sz="4" w:space="0" w:color="auto"/>
              <w:left w:val="nil"/>
              <w:bottom w:val="single" w:sz="4" w:space="0" w:color="auto"/>
              <w:right w:val="single" w:sz="4" w:space="0" w:color="auto"/>
            </w:tcBorders>
            <w:shd w:val="clear" w:color="auto" w:fill="BDD7EE"/>
            <w:vAlign w:val="center"/>
            <w:hideMark/>
          </w:tcPr>
          <w:p w14:paraId="62D50448"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Vrijeme</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121AD8"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Opis svake ključne etape i ciljne vrijednosti</w:t>
            </w:r>
          </w:p>
        </w:tc>
      </w:tr>
      <w:tr w:rsidR="00215DFD" w:rsidRPr="006A0F87" w14:paraId="66A42984" w14:textId="77777777" w:rsidTr="00EE1D3D">
        <w:trPr>
          <w:trHeight w:val="503"/>
          <w:tblHeader/>
        </w:trPr>
        <w:tc>
          <w:tcPr>
            <w:tcW w:w="851" w:type="dxa"/>
            <w:vMerge/>
            <w:tcBorders>
              <w:top w:val="single" w:sz="4" w:space="0" w:color="auto"/>
              <w:left w:val="single" w:sz="4" w:space="0" w:color="auto"/>
              <w:bottom w:val="single" w:sz="4" w:space="0" w:color="auto"/>
              <w:right w:val="single" w:sz="4" w:space="0" w:color="auto"/>
            </w:tcBorders>
            <w:hideMark/>
          </w:tcPr>
          <w:p w14:paraId="69755EEF"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56C7D349"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auto"/>
              <w:right w:val="single" w:sz="4" w:space="0" w:color="auto"/>
            </w:tcBorders>
            <w:hideMark/>
          </w:tcPr>
          <w:p w14:paraId="4B0176E7"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552" w:type="dxa"/>
            <w:vMerge/>
            <w:tcBorders>
              <w:top w:val="single" w:sz="4" w:space="0" w:color="auto"/>
              <w:left w:val="single" w:sz="4" w:space="0" w:color="auto"/>
              <w:bottom w:val="single" w:sz="4" w:space="0" w:color="auto"/>
              <w:right w:val="single" w:sz="4" w:space="0" w:color="auto"/>
            </w:tcBorders>
            <w:hideMark/>
          </w:tcPr>
          <w:p w14:paraId="123B5E87"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2093" w:type="dxa"/>
            <w:vMerge/>
            <w:tcBorders>
              <w:top w:val="single" w:sz="4" w:space="0" w:color="auto"/>
              <w:left w:val="single" w:sz="4" w:space="0" w:color="auto"/>
              <w:bottom w:val="single" w:sz="4" w:space="0" w:color="auto"/>
              <w:right w:val="single" w:sz="4" w:space="0" w:color="auto"/>
            </w:tcBorders>
            <w:hideMark/>
          </w:tcPr>
          <w:p w14:paraId="0AA61605"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134" w:type="dxa"/>
            <w:tcBorders>
              <w:top w:val="nil"/>
              <w:left w:val="single" w:sz="4" w:space="0" w:color="auto"/>
              <w:bottom w:val="single" w:sz="4" w:space="0" w:color="auto"/>
              <w:right w:val="single" w:sz="4" w:space="0" w:color="auto"/>
            </w:tcBorders>
            <w:shd w:val="clear" w:color="auto" w:fill="BDD7EE"/>
            <w:vAlign w:val="center"/>
            <w:hideMark/>
          </w:tcPr>
          <w:p w14:paraId="20A78167"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Jedinica</w:t>
            </w:r>
          </w:p>
        </w:tc>
        <w:tc>
          <w:tcPr>
            <w:tcW w:w="709" w:type="dxa"/>
            <w:tcBorders>
              <w:top w:val="nil"/>
              <w:left w:val="nil"/>
              <w:bottom w:val="single" w:sz="4" w:space="0" w:color="auto"/>
              <w:right w:val="single" w:sz="4" w:space="0" w:color="auto"/>
            </w:tcBorders>
            <w:shd w:val="clear" w:color="auto" w:fill="BDD7EE"/>
            <w:vAlign w:val="center"/>
            <w:hideMark/>
          </w:tcPr>
          <w:p w14:paraId="551C201D"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vAlign w:val="center"/>
            <w:hideMark/>
          </w:tcPr>
          <w:p w14:paraId="3308CE41"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Cilj</w:t>
            </w:r>
          </w:p>
        </w:tc>
        <w:tc>
          <w:tcPr>
            <w:tcW w:w="425" w:type="dxa"/>
            <w:tcBorders>
              <w:top w:val="nil"/>
              <w:left w:val="nil"/>
              <w:bottom w:val="single" w:sz="4" w:space="0" w:color="auto"/>
              <w:right w:val="single" w:sz="4" w:space="0" w:color="auto"/>
            </w:tcBorders>
            <w:shd w:val="clear" w:color="auto" w:fill="BDD7EE"/>
            <w:vAlign w:val="center"/>
            <w:hideMark/>
          </w:tcPr>
          <w:p w14:paraId="73DD65A8"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Q</w:t>
            </w:r>
          </w:p>
        </w:tc>
        <w:tc>
          <w:tcPr>
            <w:tcW w:w="884" w:type="dxa"/>
            <w:tcBorders>
              <w:top w:val="nil"/>
              <w:left w:val="nil"/>
              <w:bottom w:val="single" w:sz="4" w:space="0" w:color="auto"/>
              <w:right w:val="single" w:sz="4" w:space="0" w:color="auto"/>
            </w:tcBorders>
            <w:shd w:val="clear" w:color="auto" w:fill="BDD7EE"/>
            <w:vAlign w:val="center"/>
            <w:hideMark/>
          </w:tcPr>
          <w:p w14:paraId="0F91DA44" w14:textId="77777777" w:rsidR="00733DCA" w:rsidRPr="006A0F87" w:rsidRDefault="00733DCA" w:rsidP="0001477B">
            <w:pPr>
              <w:spacing w:after="0" w:line="276" w:lineRule="auto"/>
              <w:jc w:val="center"/>
              <w:rPr>
                <w:rFonts w:ascii="Times New Roman" w:eastAsia="Times New Roman" w:hAnsi="Times New Roman" w:cs="Times New Roman"/>
                <w:b/>
                <w:noProof/>
                <w:sz w:val="18"/>
                <w:szCs w:val="18"/>
              </w:rPr>
            </w:pPr>
            <w:r>
              <w:rPr>
                <w:rFonts w:ascii="Times New Roman" w:hAnsi="Times New Roman"/>
                <w:b/>
                <w:noProof/>
                <w:sz w:val="18"/>
              </w:rPr>
              <w:t>Godina</w:t>
            </w:r>
          </w:p>
        </w:tc>
        <w:tc>
          <w:tcPr>
            <w:tcW w:w="3685" w:type="dxa"/>
            <w:vMerge/>
            <w:tcBorders>
              <w:top w:val="single" w:sz="4" w:space="0" w:color="auto"/>
              <w:bottom w:val="single" w:sz="4" w:space="0" w:color="auto"/>
              <w:right w:val="single" w:sz="4" w:space="0" w:color="auto"/>
            </w:tcBorders>
            <w:hideMark/>
          </w:tcPr>
          <w:p w14:paraId="696F1C78" w14:textId="77777777" w:rsidR="00733DCA" w:rsidRPr="006A0F87" w:rsidRDefault="00733DCA" w:rsidP="0001477B">
            <w:pPr>
              <w:spacing w:after="0" w:line="276" w:lineRule="auto"/>
              <w:rPr>
                <w:rFonts w:ascii="Times New Roman" w:eastAsia="Times New Roman" w:hAnsi="Times New Roman" w:cs="Times New Roman"/>
                <w:b/>
                <w:noProof/>
                <w:lang w:val="en-GB" w:eastAsia="en-GB"/>
              </w:rPr>
            </w:pPr>
          </w:p>
        </w:tc>
      </w:tr>
      <w:tr w:rsidR="00215DFD" w:rsidRPr="006A0F87" w14:paraId="04341A6D" w14:textId="77777777" w:rsidTr="00EE1D3D">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2D9ABCF" w14:textId="77777777" w:rsidR="00733DCA" w:rsidRPr="006A0F87"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297</w:t>
            </w:r>
          </w:p>
        </w:tc>
        <w:tc>
          <w:tcPr>
            <w:tcW w:w="993" w:type="dxa"/>
            <w:tcBorders>
              <w:top w:val="single" w:sz="4" w:space="0" w:color="auto"/>
              <w:left w:val="nil"/>
              <w:bottom w:val="single" w:sz="4" w:space="0" w:color="auto"/>
              <w:right w:val="single" w:sz="4" w:space="0" w:color="auto"/>
            </w:tcBorders>
            <w:shd w:val="clear" w:color="auto" w:fill="C6EFCE"/>
            <w:noWrap/>
          </w:tcPr>
          <w:p w14:paraId="33A0EB88"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C4.2. R1</w:t>
            </w:r>
          </w:p>
        </w:tc>
        <w:tc>
          <w:tcPr>
            <w:tcW w:w="992" w:type="dxa"/>
            <w:tcBorders>
              <w:top w:val="single" w:sz="4" w:space="0" w:color="auto"/>
              <w:left w:val="nil"/>
              <w:bottom w:val="single" w:sz="4" w:space="0" w:color="auto"/>
              <w:right w:val="single" w:sz="4" w:space="0" w:color="auto"/>
            </w:tcBorders>
            <w:shd w:val="clear" w:color="auto" w:fill="C6EFCE"/>
            <w:noWrap/>
          </w:tcPr>
          <w:p w14:paraId="3F789740"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552" w:type="dxa"/>
            <w:tcBorders>
              <w:top w:val="single" w:sz="4" w:space="0" w:color="auto"/>
              <w:left w:val="nil"/>
              <w:bottom w:val="single" w:sz="4" w:space="0" w:color="auto"/>
              <w:right w:val="single" w:sz="4" w:space="0" w:color="auto"/>
            </w:tcBorders>
            <w:shd w:val="clear" w:color="auto" w:fill="C6EFCE"/>
            <w:noWrap/>
          </w:tcPr>
          <w:p w14:paraId="104F39BC"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izmjena Zakona o mirovinskom osiguranju</w:t>
            </w:r>
          </w:p>
        </w:tc>
        <w:tc>
          <w:tcPr>
            <w:tcW w:w="2093" w:type="dxa"/>
            <w:tcBorders>
              <w:top w:val="single" w:sz="4" w:space="0" w:color="auto"/>
              <w:left w:val="nil"/>
              <w:bottom w:val="single" w:sz="4" w:space="0" w:color="auto"/>
              <w:right w:val="single" w:sz="4" w:space="0" w:color="auto"/>
            </w:tcBorders>
            <w:shd w:val="clear" w:color="auto" w:fill="C6EFCE"/>
            <w:noWrap/>
          </w:tcPr>
          <w:p w14:paraId="4A669FB6"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novog ili izmijenjenog Zakona o mirovinskom osiguranju </w:t>
            </w:r>
          </w:p>
        </w:tc>
        <w:tc>
          <w:tcPr>
            <w:tcW w:w="1134" w:type="dxa"/>
            <w:tcBorders>
              <w:top w:val="nil"/>
              <w:left w:val="nil"/>
              <w:bottom w:val="single" w:sz="4" w:space="0" w:color="auto"/>
              <w:right w:val="single" w:sz="4" w:space="0" w:color="auto"/>
            </w:tcBorders>
            <w:shd w:val="clear" w:color="auto" w:fill="C6EFCE"/>
            <w:noWrap/>
          </w:tcPr>
          <w:p w14:paraId="5E09EEB8"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3E17EE5F"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37209112"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776A4237"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84" w:type="dxa"/>
            <w:tcBorders>
              <w:top w:val="nil"/>
              <w:left w:val="nil"/>
              <w:bottom w:val="single" w:sz="4" w:space="0" w:color="auto"/>
              <w:right w:val="single" w:sz="4" w:space="0" w:color="auto"/>
            </w:tcBorders>
            <w:shd w:val="clear" w:color="auto" w:fill="C6EFCE"/>
            <w:noWrap/>
          </w:tcPr>
          <w:p w14:paraId="427B40A6"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685" w:type="dxa"/>
            <w:tcBorders>
              <w:top w:val="single" w:sz="4" w:space="0" w:color="auto"/>
              <w:left w:val="nil"/>
              <w:bottom w:val="single" w:sz="4" w:space="0" w:color="auto"/>
              <w:right w:val="single" w:sz="4" w:space="0" w:color="auto"/>
            </w:tcBorders>
            <w:shd w:val="clear" w:color="auto" w:fill="C6EFCE"/>
            <w:noWrap/>
          </w:tcPr>
          <w:p w14:paraId="0D6C0623"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Izmjenama Zakona o mirovinskom osiguranju povećat će se najniže mirovine i mirovinski faktor za izračun iznosa obiteljske mirovine kako bi se korisnicima najniže mirovine omogućilo korištenje dijela obiteljske mirovine uz osobnu (starosnu ili invalidsku) mirovinu prema uvjetima u pogledu dobi i prihoda.</w:t>
            </w:r>
          </w:p>
        </w:tc>
      </w:tr>
      <w:tr w:rsidR="00215DFD" w:rsidRPr="006A0F87" w14:paraId="4D968275" w14:textId="77777777" w:rsidTr="00E25E44">
        <w:trPr>
          <w:trHeight w:val="283"/>
        </w:trPr>
        <w:tc>
          <w:tcPr>
            <w:tcW w:w="851" w:type="dxa"/>
            <w:tcBorders>
              <w:top w:val="nil"/>
              <w:left w:val="single" w:sz="4" w:space="0" w:color="auto"/>
              <w:bottom w:val="single" w:sz="4" w:space="0" w:color="auto"/>
              <w:right w:val="single" w:sz="4" w:space="0" w:color="auto"/>
            </w:tcBorders>
            <w:shd w:val="clear" w:color="auto" w:fill="C6EFCE"/>
            <w:noWrap/>
          </w:tcPr>
          <w:p w14:paraId="5DE6736E"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298</w:t>
            </w:r>
          </w:p>
        </w:tc>
        <w:tc>
          <w:tcPr>
            <w:tcW w:w="993" w:type="dxa"/>
            <w:tcBorders>
              <w:top w:val="nil"/>
              <w:left w:val="nil"/>
              <w:bottom w:val="single" w:sz="4" w:space="0" w:color="auto"/>
              <w:right w:val="single" w:sz="4" w:space="0" w:color="auto"/>
            </w:tcBorders>
            <w:shd w:val="clear" w:color="auto" w:fill="C6EFCE"/>
            <w:noWrap/>
          </w:tcPr>
          <w:p w14:paraId="6CE726C3"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C4.2. R1</w:t>
            </w:r>
          </w:p>
        </w:tc>
        <w:tc>
          <w:tcPr>
            <w:tcW w:w="992" w:type="dxa"/>
            <w:tcBorders>
              <w:top w:val="nil"/>
              <w:left w:val="nil"/>
              <w:bottom w:val="single" w:sz="4" w:space="0" w:color="auto"/>
              <w:right w:val="single" w:sz="4" w:space="0" w:color="auto"/>
            </w:tcBorders>
            <w:shd w:val="clear" w:color="auto" w:fill="C6EFCE"/>
            <w:noWrap/>
          </w:tcPr>
          <w:p w14:paraId="7AC704F1"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552" w:type="dxa"/>
            <w:tcBorders>
              <w:top w:val="nil"/>
              <w:left w:val="nil"/>
              <w:bottom w:val="single" w:sz="4" w:space="0" w:color="auto"/>
              <w:right w:val="single" w:sz="4" w:space="0" w:color="auto"/>
            </w:tcBorders>
            <w:shd w:val="clear" w:color="auto" w:fill="C6EFCE"/>
            <w:noWrap/>
          </w:tcPr>
          <w:p w14:paraId="4015865D"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Zaključka o prihvaćanju Izvješća o provedenim analizama isplativosti ulaganja obveznih mirovinskih fondova u poduzeća u državnom vlasništvu, </w:t>
            </w:r>
          </w:p>
        </w:tc>
        <w:tc>
          <w:tcPr>
            <w:tcW w:w="2093" w:type="dxa"/>
            <w:tcBorders>
              <w:top w:val="nil"/>
              <w:left w:val="nil"/>
              <w:bottom w:val="single" w:sz="4" w:space="0" w:color="auto"/>
              <w:right w:val="single" w:sz="4" w:space="0" w:color="auto"/>
            </w:tcBorders>
            <w:shd w:val="clear" w:color="auto" w:fill="C6EFCE"/>
            <w:noWrap/>
          </w:tcPr>
          <w:p w14:paraId="14D07E85"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Zaključka Vlade o prihvaćanju Izvješća o provedenim analizama isplativosti ulaganja obveznih mirovinskih fondova u poduzeća u državnom vlasništvu, </w:t>
            </w:r>
          </w:p>
        </w:tc>
        <w:tc>
          <w:tcPr>
            <w:tcW w:w="1134" w:type="dxa"/>
            <w:tcBorders>
              <w:top w:val="nil"/>
              <w:left w:val="nil"/>
              <w:bottom w:val="single" w:sz="4" w:space="0" w:color="auto"/>
              <w:right w:val="single" w:sz="4" w:space="0" w:color="auto"/>
            </w:tcBorders>
            <w:shd w:val="clear" w:color="auto" w:fill="C6EFCE"/>
            <w:noWrap/>
          </w:tcPr>
          <w:p w14:paraId="1D927AE7"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1781A771"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64016461"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2474BE46"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84" w:type="dxa"/>
            <w:tcBorders>
              <w:top w:val="nil"/>
              <w:left w:val="nil"/>
              <w:bottom w:val="single" w:sz="4" w:space="0" w:color="auto"/>
              <w:right w:val="single" w:sz="4" w:space="0" w:color="auto"/>
            </w:tcBorders>
            <w:shd w:val="clear" w:color="auto" w:fill="C6EFCE"/>
            <w:noWrap/>
          </w:tcPr>
          <w:p w14:paraId="2DB43F86" w14:textId="4BAF26CC" w:rsidR="00733DCA" w:rsidRPr="006A0F87" w:rsidRDefault="00733DCA" w:rsidP="0001477B">
            <w:pPr>
              <w:spacing w:after="200" w:line="276" w:lineRule="auto"/>
              <w:jc w:val="center"/>
              <w:rPr>
                <w:rFonts w:ascii="Calibri" w:eastAsia="Calibri" w:hAnsi="Calibri" w:cs="Arial"/>
                <w:noProof/>
                <w:color w:val="000000" w:themeColor="text1"/>
                <w:sz w:val="20"/>
                <w:szCs w:val="20"/>
              </w:rPr>
            </w:pPr>
            <w:r>
              <w:rPr>
                <w:rFonts w:ascii="Calibri" w:hAnsi="Calibri"/>
                <w:noProof/>
                <w:color w:val="000000" w:themeColor="text1"/>
                <w:sz w:val="20"/>
              </w:rPr>
              <w:t>2025.</w:t>
            </w:r>
          </w:p>
        </w:tc>
        <w:tc>
          <w:tcPr>
            <w:tcW w:w="3685" w:type="dxa"/>
            <w:tcBorders>
              <w:top w:val="nil"/>
              <w:left w:val="nil"/>
              <w:bottom w:val="single" w:sz="4" w:space="0" w:color="auto"/>
              <w:right w:val="single" w:sz="4" w:space="0" w:color="auto"/>
            </w:tcBorders>
            <w:shd w:val="clear" w:color="auto" w:fill="C6EFCE"/>
            <w:noWrap/>
          </w:tcPr>
          <w:p w14:paraId="76F5C514"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 xml:space="preserve">Provest će se stručne analize, nakon čega će se izraditi izvješće o analizama koje će potvrditi Vlada, kako bi se utvrdilo je li potrebna promjena zakonodavnog okvira u obliku kapitalizirane štednje radi povećanja adekvatnosti mirovina u okviru drugog stupa mirovinskog osiguranja. </w:t>
            </w:r>
          </w:p>
        </w:tc>
      </w:tr>
      <w:tr w:rsidR="00215DFD" w:rsidRPr="006A0F87" w14:paraId="31A620AF" w14:textId="77777777" w:rsidTr="00E25E44">
        <w:trPr>
          <w:trHeight w:val="283"/>
        </w:trPr>
        <w:tc>
          <w:tcPr>
            <w:tcW w:w="851" w:type="dxa"/>
            <w:tcBorders>
              <w:top w:val="nil"/>
              <w:left w:val="single" w:sz="4" w:space="0" w:color="auto"/>
              <w:bottom w:val="single" w:sz="4" w:space="0" w:color="auto"/>
              <w:right w:val="single" w:sz="4" w:space="0" w:color="auto"/>
            </w:tcBorders>
            <w:shd w:val="clear" w:color="auto" w:fill="C6EFCE"/>
            <w:noWrap/>
          </w:tcPr>
          <w:p w14:paraId="22179574"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299</w:t>
            </w:r>
          </w:p>
        </w:tc>
        <w:tc>
          <w:tcPr>
            <w:tcW w:w="993" w:type="dxa"/>
            <w:tcBorders>
              <w:top w:val="nil"/>
              <w:left w:val="nil"/>
              <w:bottom w:val="single" w:sz="4" w:space="0" w:color="auto"/>
              <w:right w:val="single" w:sz="4" w:space="0" w:color="auto"/>
            </w:tcBorders>
            <w:shd w:val="clear" w:color="auto" w:fill="C6EFCE"/>
            <w:noWrap/>
          </w:tcPr>
          <w:p w14:paraId="7DCD3989"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C4.2. R1</w:t>
            </w:r>
          </w:p>
        </w:tc>
        <w:tc>
          <w:tcPr>
            <w:tcW w:w="992" w:type="dxa"/>
            <w:tcBorders>
              <w:top w:val="nil"/>
              <w:left w:val="nil"/>
              <w:bottom w:val="single" w:sz="4" w:space="0" w:color="auto"/>
              <w:right w:val="single" w:sz="4" w:space="0" w:color="auto"/>
            </w:tcBorders>
            <w:shd w:val="clear" w:color="auto" w:fill="C6EFCE"/>
            <w:noWrap/>
          </w:tcPr>
          <w:p w14:paraId="45253807"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552" w:type="dxa"/>
            <w:tcBorders>
              <w:top w:val="nil"/>
              <w:left w:val="nil"/>
              <w:bottom w:val="single" w:sz="4" w:space="0" w:color="auto"/>
              <w:right w:val="single" w:sz="4" w:space="0" w:color="auto"/>
            </w:tcBorders>
            <w:shd w:val="clear" w:color="auto" w:fill="C6EFCE"/>
            <w:noWrap/>
          </w:tcPr>
          <w:p w14:paraId="3FE336BD"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Povećanje ukupnog mirovinskog prihoda za 10 % do 15 % za korisnike redefiniranog oblika obiteljske mirovine (najmanje 10 %).</w:t>
            </w:r>
          </w:p>
        </w:tc>
        <w:tc>
          <w:tcPr>
            <w:tcW w:w="2093" w:type="dxa"/>
            <w:tcBorders>
              <w:top w:val="nil"/>
              <w:left w:val="nil"/>
              <w:bottom w:val="single" w:sz="4" w:space="0" w:color="auto"/>
              <w:right w:val="single" w:sz="4" w:space="0" w:color="auto"/>
            </w:tcBorders>
            <w:shd w:val="clear" w:color="auto" w:fill="C6EFCE"/>
            <w:noWrap/>
          </w:tcPr>
          <w:p w14:paraId="0AB7D478"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34" w:type="dxa"/>
            <w:tcBorders>
              <w:top w:val="nil"/>
              <w:left w:val="nil"/>
              <w:bottom w:val="single" w:sz="4" w:space="0" w:color="auto"/>
              <w:right w:val="single" w:sz="4" w:space="0" w:color="auto"/>
            </w:tcBorders>
            <w:shd w:val="clear" w:color="auto" w:fill="C6EFCE"/>
            <w:noWrap/>
          </w:tcPr>
          <w:p w14:paraId="495EB0F9"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709" w:type="dxa"/>
            <w:tcBorders>
              <w:top w:val="nil"/>
              <w:left w:val="nil"/>
              <w:bottom w:val="single" w:sz="4" w:space="0" w:color="auto"/>
              <w:right w:val="single" w:sz="4" w:space="0" w:color="auto"/>
            </w:tcBorders>
            <w:shd w:val="clear" w:color="auto" w:fill="C6EFCE"/>
            <w:noWrap/>
          </w:tcPr>
          <w:p w14:paraId="50B80ED5"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401DDB12"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10–15</w:t>
            </w:r>
          </w:p>
        </w:tc>
        <w:tc>
          <w:tcPr>
            <w:tcW w:w="425" w:type="dxa"/>
            <w:tcBorders>
              <w:top w:val="nil"/>
              <w:left w:val="nil"/>
              <w:bottom w:val="single" w:sz="4" w:space="0" w:color="auto"/>
              <w:right w:val="single" w:sz="4" w:space="0" w:color="auto"/>
            </w:tcBorders>
            <w:shd w:val="clear" w:color="auto" w:fill="C6EFCE"/>
            <w:noWrap/>
          </w:tcPr>
          <w:p w14:paraId="546A0546"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84" w:type="dxa"/>
            <w:tcBorders>
              <w:top w:val="nil"/>
              <w:left w:val="nil"/>
              <w:bottom w:val="single" w:sz="4" w:space="0" w:color="auto"/>
              <w:right w:val="single" w:sz="4" w:space="0" w:color="auto"/>
            </w:tcBorders>
            <w:shd w:val="clear" w:color="auto" w:fill="C6EFCE"/>
            <w:noWrap/>
          </w:tcPr>
          <w:p w14:paraId="02593011"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685" w:type="dxa"/>
            <w:tcBorders>
              <w:top w:val="nil"/>
              <w:left w:val="nil"/>
              <w:bottom w:val="single" w:sz="4" w:space="0" w:color="auto"/>
              <w:right w:val="single" w:sz="4" w:space="0" w:color="auto"/>
            </w:tcBorders>
            <w:shd w:val="clear" w:color="auto" w:fill="C6EFCE"/>
            <w:noWrap/>
          </w:tcPr>
          <w:p w14:paraId="3295A34A"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Redefiniranjem modela obiteljske mirovine starosna mirovina povećat će se za 10 % do 15 % u odnosu na 2014. </w:t>
            </w:r>
          </w:p>
        </w:tc>
      </w:tr>
      <w:tr w:rsidR="00215DFD" w:rsidRPr="006A0F87" w14:paraId="36FB2FFE" w14:textId="77777777" w:rsidTr="00E25E44">
        <w:trPr>
          <w:trHeight w:val="283"/>
        </w:trPr>
        <w:tc>
          <w:tcPr>
            <w:tcW w:w="851" w:type="dxa"/>
            <w:tcBorders>
              <w:top w:val="nil"/>
              <w:left w:val="single" w:sz="4" w:space="0" w:color="auto"/>
              <w:bottom w:val="single" w:sz="4" w:space="0" w:color="auto"/>
              <w:right w:val="single" w:sz="4" w:space="0" w:color="auto"/>
            </w:tcBorders>
            <w:shd w:val="clear" w:color="auto" w:fill="C6EFCE"/>
            <w:noWrap/>
          </w:tcPr>
          <w:p w14:paraId="4D40990A"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300</w:t>
            </w:r>
          </w:p>
        </w:tc>
        <w:tc>
          <w:tcPr>
            <w:tcW w:w="993" w:type="dxa"/>
            <w:tcBorders>
              <w:top w:val="nil"/>
              <w:left w:val="nil"/>
              <w:bottom w:val="single" w:sz="4" w:space="0" w:color="auto"/>
              <w:right w:val="single" w:sz="4" w:space="0" w:color="auto"/>
            </w:tcBorders>
            <w:shd w:val="clear" w:color="auto" w:fill="C6EFCE"/>
            <w:noWrap/>
          </w:tcPr>
          <w:p w14:paraId="423BE8B4"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C4.2. R1</w:t>
            </w:r>
          </w:p>
        </w:tc>
        <w:tc>
          <w:tcPr>
            <w:tcW w:w="992" w:type="dxa"/>
            <w:tcBorders>
              <w:top w:val="nil"/>
              <w:left w:val="nil"/>
              <w:bottom w:val="single" w:sz="4" w:space="0" w:color="auto"/>
              <w:right w:val="single" w:sz="4" w:space="0" w:color="auto"/>
            </w:tcBorders>
            <w:shd w:val="clear" w:color="auto" w:fill="C6EFCE"/>
            <w:noWrap/>
          </w:tcPr>
          <w:p w14:paraId="0F5B1397"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552" w:type="dxa"/>
            <w:tcBorders>
              <w:top w:val="nil"/>
              <w:left w:val="nil"/>
              <w:bottom w:val="single" w:sz="4" w:space="0" w:color="auto"/>
              <w:right w:val="single" w:sz="4" w:space="0" w:color="auto"/>
            </w:tcBorders>
            <w:shd w:val="clear" w:color="auto" w:fill="C6EFCE"/>
            <w:noWrap/>
          </w:tcPr>
          <w:p w14:paraId="340B454C"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izmjena Zakona o mirovinskom osiguranju </w:t>
            </w:r>
          </w:p>
        </w:tc>
        <w:tc>
          <w:tcPr>
            <w:tcW w:w="2093" w:type="dxa"/>
            <w:tcBorders>
              <w:top w:val="nil"/>
              <w:left w:val="nil"/>
              <w:bottom w:val="single" w:sz="4" w:space="0" w:color="auto"/>
              <w:right w:val="single" w:sz="4" w:space="0" w:color="auto"/>
            </w:tcBorders>
            <w:shd w:val="clear" w:color="auto" w:fill="C6EFCE"/>
            <w:noWrap/>
          </w:tcPr>
          <w:p w14:paraId="2F6E4C5A"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novog ili izmijenjenog Zakona o mirovinskom osiguranju koji, u skladu sa zaključcima Radne skupine za analizu stanja mirovinskog sustava, sadržava mjere za povećanje adekvatnosti mirovina i održivost mirovinskog sustava (objavljeno u Narodnim novinama)</w:t>
            </w:r>
          </w:p>
        </w:tc>
        <w:tc>
          <w:tcPr>
            <w:tcW w:w="1134" w:type="dxa"/>
            <w:tcBorders>
              <w:top w:val="nil"/>
              <w:left w:val="nil"/>
              <w:bottom w:val="single" w:sz="4" w:space="0" w:color="auto"/>
              <w:right w:val="single" w:sz="4" w:space="0" w:color="auto"/>
            </w:tcBorders>
            <w:shd w:val="clear" w:color="auto" w:fill="C6EFCE"/>
            <w:noWrap/>
          </w:tcPr>
          <w:p w14:paraId="3573E712"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3A74773B"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50" w:type="dxa"/>
            <w:tcBorders>
              <w:top w:val="nil"/>
              <w:left w:val="nil"/>
              <w:bottom w:val="single" w:sz="4" w:space="0" w:color="auto"/>
              <w:right w:val="single" w:sz="4" w:space="0" w:color="auto"/>
            </w:tcBorders>
            <w:shd w:val="clear" w:color="auto" w:fill="C6EFCE"/>
            <w:noWrap/>
          </w:tcPr>
          <w:p w14:paraId="210ED62C"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5" w:type="dxa"/>
            <w:tcBorders>
              <w:top w:val="nil"/>
              <w:left w:val="nil"/>
              <w:bottom w:val="single" w:sz="4" w:space="0" w:color="auto"/>
              <w:right w:val="single" w:sz="4" w:space="0" w:color="auto"/>
            </w:tcBorders>
            <w:shd w:val="clear" w:color="auto" w:fill="C6EFCE"/>
            <w:noWrap/>
          </w:tcPr>
          <w:p w14:paraId="513B1140"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84" w:type="dxa"/>
            <w:tcBorders>
              <w:top w:val="nil"/>
              <w:left w:val="nil"/>
              <w:bottom w:val="single" w:sz="4" w:space="0" w:color="auto"/>
              <w:right w:val="single" w:sz="4" w:space="0" w:color="auto"/>
            </w:tcBorders>
            <w:shd w:val="clear" w:color="auto" w:fill="C6EFCE"/>
            <w:noWrap/>
          </w:tcPr>
          <w:p w14:paraId="6211B816"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685" w:type="dxa"/>
            <w:tcBorders>
              <w:top w:val="nil"/>
              <w:left w:val="nil"/>
              <w:bottom w:val="single" w:sz="4" w:space="0" w:color="auto"/>
              <w:right w:val="single" w:sz="4" w:space="0" w:color="auto"/>
            </w:tcBorders>
            <w:shd w:val="clear" w:color="auto" w:fill="C6EFCE"/>
            <w:noWrap/>
          </w:tcPr>
          <w:p w14:paraId="5CD01D26"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Osnovat će se radna skupina koja će analizirati stanje mirovinskog sustava i raspraviti o mogućnostima daljnjeg poboljšanja njegove primjerenosti i održivosti. Radna skupina sastojat će se od socijalnih partnera, mirovinskih udruženja, akademske zajednice, specijaliziranih savjetnika i drugih zainteresiranih dionika. Zaključci i preporuke Radne skupine uzet će se u obzir u što većoj mjeri pri izradi zakonodavnog okvira, o kojem će se provesti javna rasprava.</w:t>
            </w:r>
          </w:p>
        </w:tc>
      </w:tr>
      <w:tr w:rsidR="00215DFD" w:rsidRPr="006A0F87" w14:paraId="4971B980" w14:textId="77777777" w:rsidTr="00E25E44">
        <w:trPr>
          <w:trHeight w:val="283"/>
        </w:trPr>
        <w:tc>
          <w:tcPr>
            <w:tcW w:w="851" w:type="dxa"/>
            <w:tcBorders>
              <w:top w:val="nil"/>
              <w:left w:val="single" w:sz="4" w:space="0" w:color="auto"/>
              <w:bottom w:val="single" w:sz="4" w:space="0" w:color="auto"/>
              <w:right w:val="single" w:sz="4" w:space="0" w:color="auto"/>
            </w:tcBorders>
            <w:shd w:val="clear" w:color="auto" w:fill="C6EFCE"/>
            <w:noWrap/>
          </w:tcPr>
          <w:p w14:paraId="5D6D0068"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301</w:t>
            </w:r>
          </w:p>
        </w:tc>
        <w:tc>
          <w:tcPr>
            <w:tcW w:w="993" w:type="dxa"/>
            <w:tcBorders>
              <w:top w:val="nil"/>
              <w:left w:val="nil"/>
              <w:bottom w:val="single" w:sz="4" w:space="0" w:color="auto"/>
              <w:right w:val="single" w:sz="4" w:space="0" w:color="auto"/>
            </w:tcBorders>
            <w:shd w:val="clear" w:color="auto" w:fill="C6EFCE"/>
            <w:noWrap/>
          </w:tcPr>
          <w:p w14:paraId="39B58D84"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C4.2. R1</w:t>
            </w:r>
          </w:p>
        </w:tc>
        <w:tc>
          <w:tcPr>
            <w:tcW w:w="992" w:type="dxa"/>
            <w:tcBorders>
              <w:top w:val="nil"/>
              <w:left w:val="nil"/>
              <w:bottom w:val="single" w:sz="4" w:space="0" w:color="auto"/>
              <w:right w:val="single" w:sz="4" w:space="0" w:color="auto"/>
            </w:tcBorders>
            <w:shd w:val="clear" w:color="auto" w:fill="C6EFCE"/>
            <w:noWrap/>
          </w:tcPr>
          <w:p w14:paraId="0502E4D6"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552" w:type="dxa"/>
            <w:tcBorders>
              <w:top w:val="nil"/>
              <w:left w:val="nil"/>
              <w:bottom w:val="single" w:sz="4" w:space="0" w:color="auto"/>
              <w:right w:val="single" w:sz="4" w:space="0" w:color="auto"/>
            </w:tcBorders>
            <w:shd w:val="clear" w:color="auto" w:fill="C6EFCE"/>
            <w:noWrap/>
          </w:tcPr>
          <w:p w14:paraId="5B119E16"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Povećanje najniže mirovine za 3 %</w:t>
            </w:r>
          </w:p>
        </w:tc>
        <w:tc>
          <w:tcPr>
            <w:tcW w:w="2093" w:type="dxa"/>
            <w:tcBorders>
              <w:top w:val="nil"/>
              <w:left w:val="nil"/>
              <w:bottom w:val="single" w:sz="4" w:space="0" w:color="auto"/>
              <w:right w:val="single" w:sz="4" w:space="0" w:color="auto"/>
            </w:tcBorders>
            <w:shd w:val="clear" w:color="auto" w:fill="C6EFCE"/>
            <w:noWrap/>
          </w:tcPr>
          <w:p w14:paraId="4DEAA29C"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134" w:type="dxa"/>
            <w:tcBorders>
              <w:top w:val="nil"/>
              <w:left w:val="nil"/>
              <w:bottom w:val="single" w:sz="4" w:space="0" w:color="auto"/>
              <w:right w:val="single" w:sz="4" w:space="0" w:color="auto"/>
            </w:tcBorders>
            <w:shd w:val="clear" w:color="auto" w:fill="C6EFCE"/>
            <w:noWrap/>
          </w:tcPr>
          <w:p w14:paraId="3D6D14BC"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709" w:type="dxa"/>
            <w:tcBorders>
              <w:top w:val="nil"/>
              <w:left w:val="nil"/>
              <w:bottom w:val="single" w:sz="4" w:space="0" w:color="auto"/>
              <w:right w:val="single" w:sz="4" w:space="0" w:color="auto"/>
            </w:tcBorders>
            <w:shd w:val="clear" w:color="auto" w:fill="C6EFCE"/>
            <w:noWrap/>
          </w:tcPr>
          <w:p w14:paraId="1CC156E0"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50" w:type="dxa"/>
            <w:tcBorders>
              <w:top w:val="nil"/>
              <w:left w:val="nil"/>
              <w:bottom w:val="single" w:sz="4" w:space="0" w:color="auto"/>
              <w:right w:val="single" w:sz="4" w:space="0" w:color="auto"/>
            </w:tcBorders>
            <w:shd w:val="clear" w:color="auto" w:fill="C6EFCE"/>
            <w:noWrap/>
          </w:tcPr>
          <w:p w14:paraId="402E9C67"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425" w:type="dxa"/>
            <w:tcBorders>
              <w:top w:val="nil"/>
              <w:left w:val="nil"/>
              <w:bottom w:val="single" w:sz="4" w:space="0" w:color="auto"/>
              <w:right w:val="single" w:sz="4" w:space="0" w:color="auto"/>
            </w:tcBorders>
            <w:shd w:val="clear" w:color="auto" w:fill="C6EFCE"/>
            <w:noWrap/>
          </w:tcPr>
          <w:p w14:paraId="5732EAC4"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84" w:type="dxa"/>
            <w:tcBorders>
              <w:top w:val="nil"/>
              <w:left w:val="nil"/>
              <w:bottom w:val="single" w:sz="4" w:space="0" w:color="auto"/>
              <w:right w:val="single" w:sz="4" w:space="0" w:color="auto"/>
            </w:tcBorders>
            <w:shd w:val="clear" w:color="auto" w:fill="C6EFCE"/>
            <w:noWrap/>
          </w:tcPr>
          <w:p w14:paraId="576548C1" w14:textId="77777777" w:rsidR="00733DCA" w:rsidRPr="006A0F87"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685" w:type="dxa"/>
            <w:tcBorders>
              <w:top w:val="nil"/>
              <w:left w:val="nil"/>
              <w:bottom w:val="single" w:sz="4" w:space="0" w:color="auto"/>
              <w:right w:val="single" w:sz="4" w:space="0" w:color="auto"/>
            </w:tcBorders>
            <w:shd w:val="clear" w:color="auto" w:fill="C6EFCE"/>
            <w:noWrap/>
          </w:tcPr>
          <w:p w14:paraId="63A4EF00" w14:textId="77777777" w:rsidR="00733DCA" w:rsidRPr="006A0F87"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Povećanje najniže mirovine za minimalno ukupno 3 % u realnoj vrijednosti (tj. pored indeksacije) u odnosu na 2020.</w:t>
            </w:r>
          </w:p>
        </w:tc>
      </w:tr>
    </w:tbl>
    <w:p w14:paraId="2AE64FEC" w14:textId="77777777" w:rsidR="00733DCA" w:rsidRPr="00BC0323" w:rsidRDefault="00733DCA">
      <w:pPr>
        <w:rPr>
          <w:noProof/>
        </w:rPr>
      </w:pPr>
    </w:p>
    <w:p w14:paraId="3DD3040E" w14:textId="77777777" w:rsidR="00932F3F" w:rsidRPr="00BC0323" w:rsidRDefault="00932F3F" w:rsidP="00932F3F">
      <w:pPr>
        <w:keepNext/>
        <w:tabs>
          <w:tab w:val="left" w:pos="850"/>
        </w:tabs>
        <w:spacing w:before="360" w:after="120" w:line="240" w:lineRule="auto"/>
        <w:jc w:val="both"/>
        <w:outlineLvl w:val="0"/>
        <w:rPr>
          <w:rFonts w:ascii="Times New Roman" w:eastAsia="Calibri" w:hAnsi="Times New Roman" w:cs="Times New Roman"/>
          <w:b/>
          <w:smallCaps/>
          <w:noProof/>
          <w:sz w:val="24"/>
          <w:szCs w:val="24"/>
        </w:rPr>
        <w:sectPr w:rsidR="00932F3F" w:rsidRPr="00BC0323" w:rsidSect="0001477B">
          <w:headerReference w:type="even" r:id="rId324"/>
          <w:headerReference w:type="default" r:id="rId325"/>
          <w:footerReference w:type="even" r:id="rId326"/>
          <w:footerReference w:type="default" r:id="rId327"/>
          <w:headerReference w:type="first" r:id="rId328"/>
          <w:footerReference w:type="first" r:id="rId329"/>
          <w:pgSz w:w="15840" w:h="12240" w:orient="landscape"/>
          <w:pgMar w:top="1440" w:right="1440" w:bottom="1440" w:left="1440" w:header="708" w:footer="708" w:gutter="0"/>
          <w:cols w:space="708"/>
          <w:docGrid w:linePitch="360"/>
        </w:sectPr>
      </w:pPr>
    </w:p>
    <w:p w14:paraId="78B70C61" w14:textId="77777777" w:rsidR="00733DCA" w:rsidRPr="0074072E" w:rsidRDefault="00733DCA" w:rsidP="00932F3F">
      <w:pPr>
        <w:keepNext/>
        <w:tabs>
          <w:tab w:val="left" w:pos="850"/>
        </w:tabs>
        <w:spacing w:before="360" w:after="120" w:line="240" w:lineRule="auto"/>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T. KOMPONENTA 4.3.: UNAPREĐENJE SUSTAVA SOCIJALNE SKRBI</w:t>
      </w:r>
    </w:p>
    <w:p w14:paraId="2162D961"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Ovom se komponentom NPOO-a rješavaju problemi u sustavu socijalne skrbi, povezani sa socijalnim naknadama i socijalnim uslugama. Općeniti je cilj reformi i ulaganja u okviru ove komponente smanjenje siromaštva, sprečavanje socijalne isključenosti i razvoj socijalnih usluga prilagođenih ranjivim skupinama, radi izgradnje otpornijeg društva. </w:t>
      </w:r>
    </w:p>
    <w:p w14:paraId="683A26B1"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Komponenta uključuje sljedeće mjere: </w:t>
      </w:r>
      <w:r>
        <w:rPr>
          <w:rFonts w:ascii="Times New Roman" w:hAnsi="Times New Roman"/>
          <w:noProof/>
          <w:sz w:val="24"/>
        </w:rPr>
        <w:t xml:space="preserve"> </w:t>
      </w:r>
    </w:p>
    <w:p w14:paraId="19EB46F2"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poboljšanje pravnog okvira donošenjem novog Zakona o socijalnoj skrbi i triju strateških dokumenata,</w:t>
      </w:r>
    </w:p>
    <w:p w14:paraId="720D61F1"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povećanje adekvatnosti i obuhvata zajamčene minimalne naknade, što je glavna naknada za smanjenje siromaštva na nacionalnoj razini,</w:t>
      </w:r>
    </w:p>
    <w:p w14:paraId="067344F4"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tehničku i funkcionalnu konsolidaciju socijalnih naknada na nacionalnoj i lokalnoj razini uvođenjem redovite indeksacije i prilagodbe kriterija prihvatljivosti,</w:t>
      </w:r>
    </w:p>
    <w:p w14:paraId="0F28F56C"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usklađivanje cijena socijalnih usluga među postojećim pružateljima usluga,</w:t>
      </w:r>
    </w:p>
    <w:p w14:paraId="315BED3A"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razvoj novih socijalnih službi (socijalni mentori i obiteljski suradnici) s ciljem sprečavanja institucionalizacije i socijalne isključenosti,</w:t>
      </w:r>
    </w:p>
    <w:p w14:paraId="2EA89E5E"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poticanje prelaska na dugotrajnu skrb za starije osobe u kući i u zajednici razvojem neinstitucionalnih usluga, uz istodobno pružanje dostatnih smještajnih kapaciteta isključivo osobama kojima je potrebna dugotrajna skrb, a nemaju na raspolaganju održivu alternativu u kući ili u zajednici.</w:t>
      </w:r>
    </w:p>
    <w:p w14:paraId="15D03CE4" w14:textId="77777777" w:rsidR="00733DCA" w:rsidRPr="007A4C0B" w:rsidRDefault="00733DCA" w:rsidP="0001477B">
      <w:pPr>
        <w:spacing w:before="120" w:after="120" w:line="240" w:lineRule="auto"/>
        <w:jc w:val="both"/>
        <w:rPr>
          <w:rFonts w:ascii="Times New Roman" w:eastAsia="Calibri" w:hAnsi="Times New Roman" w:cs="Times New Roman"/>
          <w:noProof/>
          <w:sz w:val="24"/>
          <w:szCs w:val="24"/>
          <w:bdr w:val="none" w:sz="0" w:space="0" w:color="auto" w:frame="1"/>
        </w:rPr>
      </w:pPr>
      <w:r>
        <w:rPr>
          <w:rFonts w:ascii="Times New Roman" w:hAnsi="Times New Roman"/>
          <w:noProof/>
          <w:sz w:val="24"/>
          <w:bdr w:val="none" w:sz="0" w:space="0" w:color="auto" w:frame="1"/>
        </w:rPr>
        <w:t>Komponentom se ispunjuju preporuke za Hrvatsku o konsolidiranju socijalnih naknada i poboljšanju njihova učinka na smanjenje siromaštva (preporuka za Hrvatsku 2.2. iz 2019.), o poboljšanju adekvatnosti naknada za nezaposlene i minimalne zajamčene naknade (preporuka 2.2. za Hrvatsku iz 2020.), o doprinosu povećanju pristupa digitalnoj infrastrukturi i uslugama (preporuka za Hrvatsku 2.4. iz 2020.) i o promicanju stjecanja vještina (preporuka za Hrvatsku 2.4. iz 2020.).</w:t>
      </w:r>
    </w:p>
    <w:p w14:paraId="70BCA7E7" w14:textId="77777777" w:rsidR="00733DCA" w:rsidRPr="007A4C0B"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T.1. </w:t>
      </w:r>
      <w:r>
        <w:rPr>
          <w:rFonts w:ascii="Times New Roman" w:hAnsi="Times New Roman"/>
          <w:b/>
          <w:noProof/>
          <w:sz w:val="24"/>
          <w:u w:val="single"/>
        </w:rPr>
        <w:tab/>
        <w:t>Opis reformi i ulaganja za programe bespovratne financijske potpore</w:t>
      </w:r>
    </w:p>
    <w:p w14:paraId="10824826" w14:textId="77777777" w:rsidR="00733DCA" w:rsidRPr="007A4C0B" w:rsidRDefault="00733DCA" w:rsidP="0001477B">
      <w:pPr>
        <w:keepNext/>
        <w:tabs>
          <w:tab w:val="num" w:pos="850"/>
        </w:tabs>
        <w:spacing w:before="240" w:after="0"/>
        <w:ind w:left="851"/>
        <w:jc w:val="both"/>
        <w:outlineLvl w:val="2"/>
        <w:rPr>
          <w:rFonts w:ascii="Times New Roman" w:eastAsia="SimSun" w:hAnsi="Times New Roman" w:cs="Times New Roman"/>
          <w:noProof/>
          <w:sz w:val="24"/>
          <w:szCs w:val="24"/>
          <w:u w:val="single"/>
        </w:rPr>
      </w:pPr>
      <w:r>
        <w:rPr>
          <w:rFonts w:ascii="Times New Roman" w:hAnsi="Times New Roman"/>
          <w:noProof/>
          <w:sz w:val="24"/>
          <w:u w:val="single"/>
        </w:rPr>
        <w:t xml:space="preserve">Reforma C4.3. R1 – Transparentnost i adekvatnost socijalnih naknada u sustavu socijalne zaštite </w:t>
      </w:r>
    </w:p>
    <w:p w14:paraId="71169DC3"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povećati adekvatnost glavnih socijalnih naknada usmjerenih na najranjivije skupine društva i doprinijeti smanjenju nejednakosti i administrativnog opterećenja te povećanju transparentnosti sustava.</w:t>
      </w:r>
      <w:r>
        <w:rPr>
          <w:rFonts w:ascii="Times New Roman" w:hAnsi="Times New Roman"/>
          <w:noProof/>
          <w:sz w:val="24"/>
          <w:shd w:val="clear" w:color="auto" w:fill="FFFFFF"/>
        </w:rPr>
        <w:t xml:space="preserve"> Nadalje, reformom će se omogućiti brže i učinkovitije pružanje naknada spajanjem postojećih socijalnih naknada u jednu naknadu. Mjerom se nastoji postići bolja pokrivenost i pravednost poboljšanjem prihvatljivosti i primjerenosti u primjeni naknada. Očekuje se da će se određeni aspekti reforme postupno uvoditi tijekom duljeg razdoblja, dok će se drugi moći brže provesti. Zbog toga će reforma zahtijevati izmjene određenih propisa u dva navrata.</w:t>
      </w:r>
    </w:p>
    <w:p w14:paraId="0BAF3861"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 xml:space="preserve">Reforma će obuhvaćati sljedeće promjene socijalnih naknada, koje će biti uključene u novi Zakon o socijalnoj skrbi: </w:t>
      </w:r>
    </w:p>
    <w:p w14:paraId="5C12A280"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kombiniranje troškova stanovanja i naknada za grijanje,</w:t>
      </w:r>
    </w:p>
    <w:p w14:paraId="51F0EA5B"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podizanje osnovnog iznosa zajamčene minimalne naknade na 1 000 HRK i za 25 % za djecu te ublažavanje najtežih kriterija prihvatljivosti, uključujući povećanje dohodovnog praga za stjecanje prava na 1 000 HRK.</w:t>
      </w:r>
    </w:p>
    <w:p w14:paraId="225B8771"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Reforma uključuje i donošenje Nacionalnog plana za borbu protiv siromaštva i socijalne isključenosti za razdoblje 2021.–2027., kojim će se:</w:t>
      </w:r>
    </w:p>
    <w:p w14:paraId="2C67C07C"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definirati cilj smanjenja stope rizika od siromaštva na manje od 15 % u odnosu na osnovnu vrijednost od 18,3 % u 2019. i plan njegove provedbe,</w:t>
      </w:r>
    </w:p>
    <w:p w14:paraId="235024FF" w14:textId="77777777" w:rsidR="00733DCA" w:rsidRPr="007A4C0B"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osigurati uvjeti za djelotvorno smanjenje siromaštva i socijalne isključenost te poboljšanje svakodnevnog života osoba u riziku od siromaštva i onih koji žive u teškoj materijalnoj deprivaciji,</w:t>
      </w:r>
    </w:p>
    <w:p w14:paraId="54A81D35" w14:textId="77777777" w:rsidR="00733DCA" w:rsidRPr="007A4C0B"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utvrditi prioriteti u suzbijanju siromaštva i socijalne isključivosti i prepoznati posebni relevantni zahtjevi povezani s ranjivim skupinama.</w:t>
      </w:r>
    </w:p>
    <w:p w14:paraId="50755A89" w14:textId="77777777" w:rsidR="00733DCA" w:rsidRPr="007A4C0B"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Reforma uključuje donošenje izmjena Zakona o socijalnoj skrbi ili Zakona o inkluzivnom dodatku o objedinjenim socijalnim naknadama koje će:</w:t>
      </w:r>
    </w:p>
    <w:p w14:paraId="411F2345" w14:textId="5036C7BB" w:rsidR="00733DCA" w:rsidRPr="007A4C0B"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izmijeniti zajamčenu minimalnu naknadu povećanjem osnovnog iznosa na 160 EUR, Odlukom o osnovici za izračun iznosa zajamčene minimalne naknade, i za najmanje 25 % za kućanstva s djecom te osigurati potpuna integracija zajamčene minimalne naknade s drugim socijalnim naknadama, stupanje na snagu 1. siječnja 2025.,</w:t>
      </w:r>
    </w:p>
    <w:p w14:paraId="6298DE50" w14:textId="77777777" w:rsidR="00733DCA" w:rsidRPr="007A4C0B"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na temelju rezultata stručne analize, utvrditi opseg spajanja naknada s istim funkcijama i uključiti mjere namijenjene poboljšanju pokrivenosti, adekvatnosti i usmjerenosti socijalnih naknada, s posebnim naglaskom na osobe koje žive u trajnom siromaštvu, </w:t>
      </w:r>
    </w:p>
    <w:p w14:paraId="1D959182" w14:textId="77777777" w:rsidR="00733DCA" w:rsidRPr="007A4C0B"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sadržavati odredbe o vrednovanju i praćenju učinkovitosti i adekvatnosti socijalnih naknada,</w:t>
      </w:r>
    </w:p>
    <w:p w14:paraId="0DFBF807" w14:textId="77777777" w:rsidR="00733DCA" w:rsidRPr="007A4C0B"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uvesti indeksaciju kao standardno obilježje socijalnih naknada.</w:t>
      </w:r>
    </w:p>
    <w:p w14:paraId="1666E92E" w14:textId="03EB98A2" w:rsidR="00733DCA" w:rsidRPr="007A4C0B"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Reforma će biti dovršena do 30. lipnja 2026.</w:t>
      </w:r>
      <w:r>
        <w:rPr>
          <w:rFonts w:ascii="Times New Roman" w:hAnsi="Times New Roman"/>
          <w:noProof/>
          <w:sz w:val="24"/>
        </w:rPr>
        <w:t> </w:t>
      </w:r>
    </w:p>
    <w:p w14:paraId="050C4BE0"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C4.3. R1-I1 – Unapređenje digitalizacije sustava socijalnih naknada između nacionalne i lokalne razine</w:t>
      </w:r>
    </w:p>
    <w:p w14:paraId="43C792C3" w14:textId="77777777" w:rsidR="00733DCA" w:rsidRPr="0074072E" w:rsidRDefault="00733DCA" w:rsidP="0001477B">
      <w:pPr>
        <w:keepLines/>
        <w:spacing w:after="0" w:line="276" w:lineRule="auto"/>
        <w:jc w:val="both"/>
        <w:rPr>
          <w:rFonts w:ascii="Times New Roman" w:eastAsia="Calibri" w:hAnsi="Times New Roman" w:cs="Times New Roman"/>
          <w:noProof/>
          <w:sz w:val="24"/>
          <w:szCs w:val="24"/>
        </w:rPr>
      </w:pPr>
      <w:r>
        <w:rPr>
          <w:rFonts w:ascii="Times New Roman" w:hAnsi="Times New Roman"/>
          <w:noProof/>
          <w:sz w:val="24"/>
        </w:rPr>
        <w:t>Cilj je ulaganja nastaviti razvijati funkcionalni pristup svim dostupnim podacima o socijalnim naknadama za svakog pojedinačnog korisnika. U suradnji s Poreznom upravom, dohvaćanjem podataka iz Evidencije o dohocima i primicima (EDIP) i proširenjem Izvješća o primicima, porezu na dohodak i prirezu te doprinosima za obvezna osiguranja (JOPPD) o dijelu sustava socijalne zaštite koji se odnosi na socijalne naknade omogućit će se uvid u podatke o socijalnim naknadama za svakog pojedinačnog korisnika za sve lokalne i regionalne jedinice, kao i za usluge na nacionalnoj razini.</w:t>
      </w:r>
    </w:p>
    <w:p w14:paraId="5A561A21"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Ulaganje će biti dovršeno do 31. prosinca 2025. </w:t>
      </w:r>
    </w:p>
    <w:p w14:paraId="34355548"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 xml:space="preserve">Ulaganje C4.3. R1-I2 – Razvoj </w:t>
      </w:r>
      <w:r>
        <w:rPr>
          <w:rFonts w:ascii="Times New Roman" w:hAnsi="Times New Roman"/>
          <w:i/>
          <w:noProof/>
          <w:sz w:val="24"/>
          <w:u w:val="single"/>
        </w:rPr>
        <w:t>web</w:t>
      </w:r>
      <w:r>
        <w:rPr>
          <w:rFonts w:ascii="Times New Roman" w:hAnsi="Times New Roman"/>
          <w:noProof/>
          <w:sz w:val="24"/>
          <w:u w:val="single"/>
        </w:rPr>
        <w:t>-aplikacije o mogućnosti ostvarivanja socijalnih naknada na nacionalnoj razini</w:t>
      </w:r>
    </w:p>
    <w:p w14:paraId="7D157734"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bdr w:val="none" w:sz="0" w:space="0" w:color="auto" w:frame="1"/>
        </w:rPr>
        <w:t>Cilj je ulaganja stvoriti internetsku aplikaciju dostupnu građanima u kojoj će se objediniti naknade u sustavu socijalne zaštite na nacionalnoj razini i uvjeti za njihovo pružanje. U aplikaciji će biti dostupni uvjeti za dobivanje 12 vrsta socijalnih naknada u sustavu socijalne zaštite na nacionalnoj razini.</w:t>
      </w:r>
    </w:p>
    <w:p w14:paraId="3B8B141B"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Mjera će biti dovršena do 31. prosinca 2024. </w:t>
      </w:r>
    </w:p>
    <w:p w14:paraId="618F205B"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C4.3. R2 – Razvoj usluge socijalnog mentorstva</w:t>
      </w:r>
    </w:p>
    <w:p w14:paraId="4AD92703"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osigurati dostatne ljudske kapacitete za poboljšanje suradnje i razmjene podataka u pružanju socijalnih usluga korisnicima zajamčenih minimalnih naknada i skupinama korisnika u nepovoljnom položaju.</w:t>
      </w:r>
      <w:r>
        <w:rPr>
          <w:rFonts w:ascii="Times New Roman" w:hAnsi="Times New Roman"/>
          <w:noProof/>
          <w:sz w:val="24"/>
          <w:shd w:val="clear" w:color="auto" w:fill="FFFFFF"/>
        </w:rPr>
        <w:t xml:space="preserve"> Reformom će se uvesti nova usluga socijalnog mentorstva usmjerena na ugrožene osobe ili osobe koje su već u marginaliziranom položaju u društvu, a koja će biti uključena u novi Zakon o socijalnoj skrbi.</w:t>
      </w:r>
    </w:p>
    <w:p w14:paraId="07BA83C5" w14:textId="77777777" w:rsidR="00733DCA" w:rsidRPr="0074072E" w:rsidRDefault="00733DCA" w:rsidP="0001477B">
      <w:pPr>
        <w:spacing w:before="120" w:after="120" w:line="240" w:lineRule="auto"/>
        <w:jc w:val="both"/>
        <w:rPr>
          <w:rFonts w:ascii="Times New Roman" w:eastAsia="Calibri" w:hAnsi="Times New Roman" w:cs="Times New Roman"/>
          <w:noProof/>
          <w:sz w:val="24"/>
          <w:shd w:val="clear" w:color="auto" w:fill="FFFFFF"/>
        </w:rPr>
      </w:pPr>
      <w:r>
        <w:rPr>
          <w:rFonts w:ascii="Times New Roman" w:hAnsi="Times New Roman"/>
          <w:noProof/>
          <w:sz w:val="24"/>
          <w:shd w:val="clear" w:color="auto" w:fill="FFFFFF"/>
        </w:rPr>
        <w:t>Reforma će biti dovršena do 31. prosinca 2025. </w:t>
      </w:r>
    </w:p>
    <w:p w14:paraId="195DE2B4"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 xml:space="preserve">Ulaganje C4.3. R2-I1 – Uvođenje usluge socijalnog mentorstva </w:t>
      </w:r>
    </w:p>
    <w:p w14:paraId="41CEC777"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bdr w:val="none" w:sz="0" w:space="0" w:color="auto" w:frame="1"/>
        </w:rPr>
        <w:t xml:space="preserve">Cilj je ulaganja uvesti novu uslugu socijalnog mentorstva, koja će biti dostupna svim potencijalnim korisnicima, posebno korisnicima zajamčene minimalne naknade, osobama s invaliditetom, žrtvama nasilja, beskućnicima, migrantima, Romima, mladima koji napuštaju sustav socijalne skrbi, osobama koje izvršavaju kaznu zatvora i pripadnicima drugih socijalno ugroženih skupina.  Radi postizanja utjecajnijeg i učinkovitijeg sustava socijalnog mentorstva, ulaganje uključuje izradu protokola o međusobnoj suradnji i obvezama između centara za socijalnu skrb i Hrvatskog zavoda za zapošljavanje koji obuhvaća zajedničko vođenje slučajeva i razmjenu podataka. </w:t>
      </w:r>
    </w:p>
    <w:p w14:paraId="34C70349"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shd w:val="clear" w:color="auto" w:fill="FFFFFF"/>
        </w:rPr>
      </w:pPr>
      <w:r>
        <w:rPr>
          <w:rFonts w:ascii="Times New Roman" w:hAnsi="Times New Roman"/>
          <w:noProof/>
          <w:sz w:val="24"/>
          <w:shd w:val="clear" w:color="auto" w:fill="FFFFFF"/>
        </w:rPr>
        <w:t>Ulaganje će biti dovršeno do 31. prosinca 2025.</w:t>
      </w:r>
    </w:p>
    <w:p w14:paraId="51D5E64E"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C4.3. R3 – Razvoj usluga u zajednici radi prevencije institucionalizacije</w:t>
      </w:r>
    </w:p>
    <w:p w14:paraId="15F10F90"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reforme donijeti Nacionalni plan razvoja socijalnih usluga za razdoblje 2021.–2027. kojim će se:</w:t>
      </w:r>
    </w:p>
    <w:p w14:paraId="5BEEB6E4"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utvrditi prioriteti za razvoj socijalnih usluga,</w:t>
      </w:r>
    </w:p>
    <w:p w14:paraId="6FEB2FC7"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preispitati potrebe za različitim oblicima institucionalne i neinstitucionalne socijalne skrbi, s posebnim naglaskom na dugotrajno nezaposlene osobe, osobe s invaliditetom, korisnike zajamčenih minimalnih naknada, žrtve nasilja i trgovanja ljudima, mlade koji ne primaju skrb, beskućnike, migrante, Rome i osobe koje izvršavaju kaznu zatvora, </w:t>
      </w:r>
    </w:p>
    <w:p w14:paraId="2C94D52A"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utvrditi sustavni plan dugotrajne skrbi prilagođen posebnim potrebama korisnika, </w:t>
      </w:r>
    </w:p>
    <w:p w14:paraId="64C26713"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navesti ciljevi i kriteriji za razvoj usluga smještaja za korisnike koji funkcionalno u potpunosti ovise o institucionalnoj skrbi i čije potrebe nije moguće zadovoljiti izvaninstitucionalnim uslugama, uslugama pomoći u zajednici i u kući, kao i drugih usluga kojima se poboljšava kvaliteta života i korisnicima omogućuje da dulje borave u svojim kućama i u zajednici,</w:t>
      </w:r>
    </w:p>
    <w:p w14:paraId="10F9344C"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prilagoditi usluge tako da se usredotoče na osnaživanje pojedinaca da utječu na svoj socijalni status prelaskom iz isključenosti u uključenost i radom na širenju svoje društvene mreže,</w:t>
      </w:r>
    </w:p>
    <w:p w14:paraId="43580CC5"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bdr w:val="none" w:sz="0" w:space="0" w:color="auto" w:frame="1"/>
        </w:rPr>
        <w:t>razviti sustavna i integrirana dugoročna skrb za starije osobe u kojoj će se prednost dati prelasku s institucionalizirane skrbi na skrb za starije osobe u kući i u zajednici,</w:t>
      </w:r>
    </w:p>
    <w:p w14:paraId="23EEAE25"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poduprijeti razvoj usluga dugotrajnu skrb koje se pružaju u kući i u zajednici, </w:t>
      </w:r>
    </w:p>
    <w:p w14:paraId="169B8D59"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osigurati dostupnost institucionalnih usluga samo za one starije osobe koje funkcionalno u potpunosti ovise o institucionalnoj skrbi i čije potrebe nije moguće zadovoljiti izvaninstitucionalnim uslugama,</w:t>
      </w:r>
    </w:p>
    <w:p w14:paraId="688A42E1"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izraditi plan potpune ili djelomične skrbi u domovima, uz davanje prednosti uslugama kućne njege uzimajući u obzir dostupnost usluga i potrebe korisnika. </w:t>
      </w:r>
    </w:p>
    <w:p w14:paraId="1B34B0BF"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Nadalje, kao dio reforme razvit će se standardi postupanja za obiteljske suradnike.</w:t>
      </w:r>
      <w:r>
        <w:rPr>
          <w:rFonts w:ascii="Times New Roman" w:hAnsi="Times New Roman"/>
          <w:noProof/>
          <w:sz w:val="24"/>
          <w:shd w:val="clear" w:color="auto" w:fill="FFFFFF"/>
        </w:rPr>
        <w:t xml:space="preserve"> Standardizacijom profesionalnih praksi u provedbi mjera za zaštitu obitelji doprinijet će se poboljšanju zaštite djece, odraslih osoba s invaliditetom i starijih osoba, izjednačavanju kvalitete pružene usluge i sprečavanju institucionalizacije pružanjem usluga izravno u domu korisnika u suradnji s drugim relevantnim dionicima na lokalnoj razini.</w:t>
      </w:r>
    </w:p>
    <w:p w14:paraId="4F6D3E4B"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Reforma uključuje izmjene novog Zakona o socijalnoj skrbi radi:</w:t>
      </w:r>
    </w:p>
    <w:p w14:paraId="2CFB91D9"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davanja prednosti deinstitucionalizaciji u području dugotrajne skrbi kako bi se potaknule strukturne promjene u tom području socijalne politike,</w:t>
      </w:r>
    </w:p>
    <w:p w14:paraId="4A16FA10" w14:textId="77777777" w:rsidR="00733DCA" w:rsidRPr="0074072E" w:rsidRDefault="00733DCA" w:rsidP="00733DCA">
      <w:pPr>
        <w:numPr>
          <w:ilvl w:val="0"/>
          <w:numId w:val="28"/>
        </w:num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omogućivanja i promicanja koordinacije među socijalnim službama te osiguravanja koordiniranog pristupa u širokom rasponu kvalitetnih usluga koje te službe pružaju.</w:t>
      </w:r>
    </w:p>
    <w:p w14:paraId="6E84158C"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Reforma će biti dovršena do 31. prosinca 2022. </w:t>
      </w:r>
    </w:p>
    <w:p w14:paraId="5C3B7E9D"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C4.3. R3-I1 – Jačanje kapaciteta stručnjaka za pružanje usluga u zajednici</w:t>
      </w:r>
    </w:p>
    <w:p w14:paraId="71753675"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bdr w:val="none" w:sz="0" w:space="0" w:color="auto" w:frame="1"/>
        </w:rPr>
        <w:t xml:space="preserve">Cilj je mjere edukacijskim aktivnostima i zapošljavanjem stručnjaka povećati ljudske kapacitete za pružanje socijalnih usluga. Ulaganjem će se financirati osposobljavanje i licenciranje 750 voditelja mjera obiteljskopravne zaštite i 40 obiteljskih suradnika. Osim toga, u ustanovama socijalne skrbi zaposlit će se 400 stručnih radnika radi pružanja izvaninstitucijskih usluga. Ulaganje će doprinijeti razvoju i regionalnoj dostupnosti socijalnih usluga u zajednici te jačanju kompetencija stručnjaka za standardizirano postupanje u poslovima obiteljsko-pravne zaštite radi preveniranja institucionalizacije djece, mladih i ostalih socijalno osjetljivih skupina. </w:t>
      </w:r>
    </w:p>
    <w:p w14:paraId="38B71626"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Ulaganje će biti dovršeno do 31. prosinca 2024. </w:t>
      </w:r>
    </w:p>
    <w:p w14:paraId="154C6F54"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C4.3. R3-I3 – Unapređenje digitalizacije sustava socijalne skrbi i uvođenje sustava za metodologiju za izračun cijena socijalnih usluga</w:t>
      </w:r>
    </w:p>
    <w:p w14:paraId="3057A2FD"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razviti novo rješenje za upravljanje podacima za pružatelje socijalnih usluga koji se financiraju iz državnog proračuna. Glavna funkcija razvijenog rješenja za upravljanje podacima bit će automatizirano prikupljanje podataka, analiza kvalitete i izračun cijena socijalnih usluga. Ulaganjem će se financirati softverski, hardverski i obrazovni zahtjevi za omogućivanje potpune funkcionalnosti rješenja. </w:t>
      </w:r>
    </w:p>
    <w:p w14:paraId="2D14839A" w14:textId="77777777" w:rsidR="00733DCA" w:rsidRDefault="00733DCA" w:rsidP="0001477B">
      <w:pPr>
        <w:rPr>
          <w:rFonts w:ascii="Calibri" w:eastAsia="Calibri" w:hAnsi="Calibri" w:cs="Arial"/>
          <w:noProof/>
          <w:shd w:val="clear" w:color="auto" w:fill="FFFFFF"/>
        </w:rPr>
      </w:pPr>
      <w:r>
        <w:rPr>
          <w:rFonts w:ascii="Calibri" w:hAnsi="Calibri"/>
          <w:noProof/>
          <w:shd w:val="clear" w:color="auto" w:fill="FFFFFF"/>
        </w:rPr>
        <w:t>Mjera će biti dovršena do 31. prosinca 2023. </w:t>
      </w:r>
    </w:p>
    <w:p w14:paraId="07096D8F" w14:textId="77777777" w:rsidR="00733DCA" w:rsidRPr="0074072E"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shd w:val="clear" w:color="auto" w:fill="FFFFFF"/>
        </w:rPr>
        <w:t> </w:t>
      </w:r>
      <w:r>
        <w:rPr>
          <w:rFonts w:ascii="Times New Roman" w:hAnsi="Times New Roman"/>
          <w:noProof/>
          <w:sz w:val="24"/>
          <w:u w:val="single"/>
        </w:rPr>
        <w:t>Ulaganje C4.3. R3-I4 – Izgradnja i opremanje centara za starije osobe (izvaninstitucijske i institucijske usluge)</w:t>
      </w:r>
    </w:p>
    <w:p w14:paraId="0FBCCCC9"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bdr w:val="none" w:sz="0" w:space="0" w:color="auto" w:frame="1"/>
        </w:rPr>
        <w:t xml:space="preserve">Cilj je mjere izgraditi osam centara za starije osobe u kojima će biti smješteno 800 starijih osoba koje funkcionalno u potpunosti ovise o institucionalnoj skrbi i čije potrebe nije moguće zadovoljiti izvaninstitucionalnim uslugama. Nadalje, centri za starije osobe stvorit će uvjete za pružanje skrbi u zajednici i izvaninstitucionalnih usluga starijim osobama koje žive u svojim domovima. Lokacije centara za starije osobe utvrdit će se u javnom natječaju kako bi se gradovima i županijama omogućilo sudjelovanje u izgradnji i opremanju takvih centara, a kriteriji odabira temeljit će se na sposobnosti osiguravanja održivosti ulaganja, uzimajući u obzir i regionalnu dimenziju radi postizanja ravnomjerne teritorijalne pokrivenosti kapaciteta na temelju analize mapiranja. </w:t>
      </w:r>
    </w:p>
    <w:p w14:paraId="5908F995"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shd w:val="clear" w:color="auto" w:fill="FFFFFF"/>
        </w:rPr>
        <w:t>Ulaganje će biti dovršeno do 30. lipnja 2026. </w:t>
      </w:r>
    </w:p>
    <w:p w14:paraId="485BBCAB" w14:textId="77777777" w:rsidR="00733DCA" w:rsidRDefault="00733DCA" w:rsidP="0001477B">
      <w:pPr>
        <w:rPr>
          <w:rFonts w:ascii="Calibri" w:eastAsia="Calibri" w:hAnsi="Calibri" w:cs="Arial"/>
          <w:noProof/>
          <w:shd w:val="clear" w:color="auto" w:fill="FFFFFF"/>
          <w:lang w:val="en-GB"/>
        </w:rPr>
      </w:pPr>
    </w:p>
    <w:p w14:paraId="0261C969" w14:textId="77777777" w:rsidR="00733DCA" w:rsidRDefault="00733DCA" w:rsidP="0001477B">
      <w:pPr>
        <w:rPr>
          <w:rFonts w:ascii="Calibri" w:eastAsia="Calibri" w:hAnsi="Calibri" w:cs="Arial"/>
          <w:noProof/>
          <w:shd w:val="clear" w:color="auto" w:fill="FFFFFF"/>
          <w:lang w:val="en-GB"/>
        </w:rPr>
      </w:pPr>
    </w:p>
    <w:p w14:paraId="7C787A16" w14:textId="77777777" w:rsidR="00733DCA" w:rsidRDefault="00733DCA" w:rsidP="0001477B">
      <w:pPr>
        <w:rPr>
          <w:noProof/>
        </w:rPr>
        <w:sectPr w:rsidR="00733DCA" w:rsidSect="00932F3F">
          <w:headerReference w:type="even" r:id="rId330"/>
          <w:headerReference w:type="default" r:id="rId331"/>
          <w:footerReference w:type="even" r:id="rId332"/>
          <w:footerReference w:type="default" r:id="rId333"/>
          <w:headerReference w:type="first" r:id="rId334"/>
          <w:footerReference w:type="first" r:id="rId335"/>
          <w:pgSz w:w="12240" w:h="15840"/>
          <w:pgMar w:top="1440" w:right="1440" w:bottom="1440" w:left="1440" w:header="708" w:footer="708" w:gutter="0"/>
          <w:cols w:space="708"/>
          <w:docGrid w:linePitch="360"/>
        </w:sectPr>
      </w:pPr>
    </w:p>
    <w:p w14:paraId="34F09FFF" w14:textId="77777777" w:rsidR="00733DCA" w:rsidRPr="0074072E" w:rsidRDefault="00733DCA" w:rsidP="00932F3F">
      <w:pPr>
        <w:keepNext/>
        <w:tabs>
          <w:tab w:val="num" w:pos="284"/>
        </w:tabs>
        <w:spacing w:before="40" w:after="0"/>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T.2. </w:t>
      </w:r>
      <w:r>
        <w:rPr>
          <w:rFonts w:ascii="Times New Roman" w:hAnsi="Times New Roman"/>
          <w:b/>
          <w:noProof/>
          <w:sz w:val="24"/>
          <w:u w:val="single"/>
        </w:rPr>
        <w:tab/>
        <w:t>Ključne etape, ciljne vrijednosti, pokazatelji i vremenski raspored za praćenje i provedbu programa bespovratne financijske potpore</w:t>
      </w:r>
    </w:p>
    <w:p w14:paraId="0E36C9BD" w14:textId="77777777" w:rsidR="00733DCA" w:rsidRPr="00BC0323"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p>
    <w:tbl>
      <w:tblPr>
        <w:tblW w:w="14970" w:type="dxa"/>
        <w:jc w:val="center"/>
        <w:tblCellMar>
          <w:top w:w="28" w:type="dxa"/>
          <w:left w:w="28" w:type="dxa"/>
          <w:bottom w:w="28" w:type="dxa"/>
          <w:right w:w="28" w:type="dxa"/>
        </w:tblCellMar>
        <w:tblLook w:val="04A0" w:firstRow="1" w:lastRow="0" w:firstColumn="1" w:lastColumn="0" w:noHBand="0" w:noVBand="1"/>
      </w:tblPr>
      <w:tblGrid>
        <w:gridCol w:w="716"/>
        <w:gridCol w:w="825"/>
        <w:gridCol w:w="871"/>
        <w:gridCol w:w="2039"/>
        <w:gridCol w:w="2171"/>
        <w:gridCol w:w="975"/>
        <w:gridCol w:w="836"/>
        <w:gridCol w:w="874"/>
        <w:gridCol w:w="709"/>
        <w:gridCol w:w="907"/>
        <w:gridCol w:w="4127"/>
      </w:tblGrid>
      <w:tr w:rsidR="00733DCA" w:rsidRPr="0074072E" w14:paraId="52943171" w14:textId="77777777" w:rsidTr="00E25E44">
        <w:trPr>
          <w:trHeight w:val="634"/>
          <w:tblHeader/>
          <w:jc w:val="center"/>
        </w:trPr>
        <w:tc>
          <w:tcPr>
            <w:tcW w:w="7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E611CD"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45E3E1"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43F29F"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BFAD55"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695B1D"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65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0D93B15"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616" w:type="dxa"/>
            <w:gridSpan w:val="2"/>
            <w:tcBorders>
              <w:top w:val="single" w:sz="4" w:space="0" w:color="auto"/>
              <w:left w:val="nil"/>
              <w:bottom w:val="single" w:sz="4" w:space="0" w:color="auto"/>
              <w:right w:val="single" w:sz="4" w:space="0" w:color="auto"/>
            </w:tcBorders>
            <w:shd w:val="clear" w:color="auto" w:fill="BDD7EE"/>
            <w:vAlign w:val="center"/>
            <w:hideMark/>
          </w:tcPr>
          <w:p w14:paraId="18BC5C6A"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320270"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733DCA" w:rsidRPr="0074072E" w14:paraId="660EC861" w14:textId="77777777" w:rsidTr="00E25E44">
        <w:trPr>
          <w:trHeight w:val="502"/>
          <w:tblHeader/>
          <w:jc w:val="center"/>
        </w:trPr>
        <w:tc>
          <w:tcPr>
            <w:tcW w:w="716" w:type="dxa"/>
            <w:vMerge/>
            <w:tcBorders>
              <w:top w:val="single" w:sz="4" w:space="0" w:color="auto"/>
              <w:left w:val="single" w:sz="4" w:space="0" w:color="auto"/>
              <w:bottom w:val="single" w:sz="4" w:space="0" w:color="auto"/>
              <w:right w:val="single" w:sz="4" w:space="0" w:color="auto"/>
            </w:tcBorders>
            <w:hideMark/>
          </w:tcPr>
          <w:p w14:paraId="1A39A314"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25" w:type="dxa"/>
            <w:vMerge/>
            <w:tcBorders>
              <w:top w:val="single" w:sz="4" w:space="0" w:color="auto"/>
              <w:left w:val="single" w:sz="4" w:space="0" w:color="auto"/>
              <w:bottom w:val="single" w:sz="4" w:space="0" w:color="auto"/>
              <w:right w:val="single" w:sz="4" w:space="0" w:color="auto"/>
            </w:tcBorders>
            <w:hideMark/>
          </w:tcPr>
          <w:p w14:paraId="303206BD"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25" w:type="dxa"/>
            <w:vMerge/>
            <w:tcBorders>
              <w:top w:val="single" w:sz="4" w:space="0" w:color="auto"/>
              <w:left w:val="single" w:sz="4" w:space="0" w:color="auto"/>
              <w:bottom w:val="single" w:sz="4" w:space="0" w:color="auto"/>
              <w:right w:val="single" w:sz="4" w:space="0" w:color="auto"/>
            </w:tcBorders>
            <w:hideMark/>
          </w:tcPr>
          <w:p w14:paraId="0A395DA6"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039" w:type="dxa"/>
            <w:vMerge/>
            <w:tcBorders>
              <w:top w:val="single" w:sz="4" w:space="0" w:color="auto"/>
              <w:left w:val="single" w:sz="4" w:space="0" w:color="auto"/>
              <w:bottom w:val="single" w:sz="4" w:space="0" w:color="auto"/>
              <w:right w:val="single" w:sz="4" w:space="0" w:color="auto"/>
            </w:tcBorders>
            <w:hideMark/>
          </w:tcPr>
          <w:p w14:paraId="55CA6CBD"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2171" w:type="dxa"/>
            <w:vMerge/>
            <w:tcBorders>
              <w:top w:val="single" w:sz="4" w:space="0" w:color="auto"/>
              <w:left w:val="single" w:sz="4" w:space="0" w:color="auto"/>
              <w:bottom w:val="single" w:sz="4" w:space="0" w:color="auto"/>
              <w:right w:val="single" w:sz="4" w:space="0" w:color="auto"/>
            </w:tcBorders>
            <w:hideMark/>
          </w:tcPr>
          <w:p w14:paraId="51BA7AC8"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975" w:type="dxa"/>
            <w:tcBorders>
              <w:top w:val="nil"/>
              <w:left w:val="single" w:sz="4" w:space="0" w:color="auto"/>
              <w:bottom w:val="single" w:sz="4" w:space="0" w:color="auto"/>
              <w:right w:val="single" w:sz="4" w:space="0" w:color="auto"/>
            </w:tcBorders>
            <w:shd w:val="clear" w:color="auto" w:fill="BDD7EE"/>
            <w:vAlign w:val="center"/>
            <w:hideMark/>
          </w:tcPr>
          <w:p w14:paraId="7A05289D"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02" w:type="dxa"/>
            <w:tcBorders>
              <w:top w:val="nil"/>
              <w:left w:val="nil"/>
              <w:bottom w:val="single" w:sz="4" w:space="0" w:color="auto"/>
              <w:right w:val="single" w:sz="4" w:space="0" w:color="auto"/>
            </w:tcBorders>
            <w:shd w:val="clear" w:color="auto" w:fill="BDD7EE"/>
            <w:vAlign w:val="center"/>
            <w:hideMark/>
          </w:tcPr>
          <w:p w14:paraId="32F406B2"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74" w:type="dxa"/>
            <w:tcBorders>
              <w:top w:val="nil"/>
              <w:left w:val="nil"/>
              <w:bottom w:val="single" w:sz="4" w:space="0" w:color="auto"/>
              <w:right w:val="single" w:sz="4" w:space="0" w:color="auto"/>
            </w:tcBorders>
            <w:shd w:val="clear" w:color="auto" w:fill="BDD7EE"/>
            <w:vAlign w:val="center"/>
            <w:hideMark/>
          </w:tcPr>
          <w:p w14:paraId="56B1B7A6"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709" w:type="dxa"/>
            <w:tcBorders>
              <w:top w:val="nil"/>
              <w:left w:val="nil"/>
              <w:bottom w:val="single" w:sz="4" w:space="0" w:color="auto"/>
              <w:right w:val="single" w:sz="4" w:space="0" w:color="auto"/>
            </w:tcBorders>
            <w:shd w:val="clear" w:color="auto" w:fill="BDD7EE"/>
            <w:vAlign w:val="center"/>
            <w:hideMark/>
          </w:tcPr>
          <w:p w14:paraId="7ADF451A"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907" w:type="dxa"/>
            <w:tcBorders>
              <w:top w:val="nil"/>
              <w:left w:val="nil"/>
              <w:bottom w:val="single" w:sz="4" w:space="0" w:color="auto"/>
              <w:right w:val="single" w:sz="4" w:space="0" w:color="auto"/>
            </w:tcBorders>
            <w:shd w:val="clear" w:color="auto" w:fill="BDD7EE"/>
            <w:vAlign w:val="center"/>
            <w:hideMark/>
          </w:tcPr>
          <w:p w14:paraId="626AE291" w14:textId="77777777" w:rsidR="00733DCA" w:rsidRPr="0074072E"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127" w:type="dxa"/>
            <w:vMerge/>
            <w:tcBorders>
              <w:bottom w:val="single" w:sz="4" w:space="0" w:color="auto"/>
              <w:right w:val="single" w:sz="4" w:space="0" w:color="auto"/>
            </w:tcBorders>
            <w:hideMark/>
          </w:tcPr>
          <w:p w14:paraId="3982B2B6" w14:textId="77777777" w:rsidR="00733DCA" w:rsidRPr="0074072E" w:rsidRDefault="00733DCA" w:rsidP="0001477B">
            <w:pPr>
              <w:spacing w:after="0" w:line="276" w:lineRule="auto"/>
              <w:rPr>
                <w:rFonts w:ascii="Times New Roman" w:eastAsia="Times New Roman" w:hAnsi="Times New Roman" w:cs="Times New Roman"/>
                <w:b/>
                <w:noProof/>
                <w:lang w:val="en-GB" w:eastAsia="en-GB"/>
              </w:rPr>
            </w:pPr>
          </w:p>
        </w:tc>
      </w:tr>
      <w:tr w:rsidR="009926D5" w:rsidRPr="0074072E" w14:paraId="24E2C322"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602A3064" w14:textId="77777777" w:rsidR="00733DCA" w:rsidRPr="0074072E"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302</w:t>
            </w:r>
          </w:p>
        </w:tc>
        <w:tc>
          <w:tcPr>
            <w:tcW w:w="825" w:type="dxa"/>
            <w:tcBorders>
              <w:top w:val="single" w:sz="4" w:space="0" w:color="auto"/>
              <w:left w:val="nil"/>
              <w:bottom w:val="single" w:sz="4" w:space="0" w:color="auto"/>
              <w:right w:val="single" w:sz="4" w:space="0" w:color="auto"/>
            </w:tcBorders>
            <w:shd w:val="clear" w:color="auto" w:fill="C6EFCE"/>
            <w:noWrap/>
          </w:tcPr>
          <w:p w14:paraId="4D8F4F8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R1</w:t>
            </w:r>
          </w:p>
        </w:tc>
        <w:tc>
          <w:tcPr>
            <w:tcW w:w="825" w:type="dxa"/>
            <w:tcBorders>
              <w:top w:val="single" w:sz="4" w:space="0" w:color="auto"/>
              <w:left w:val="nil"/>
              <w:bottom w:val="single" w:sz="4" w:space="0" w:color="auto"/>
              <w:right w:val="single" w:sz="4" w:space="0" w:color="auto"/>
            </w:tcBorders>
            <w:shd w:val="clear" w:color="auto" w:fill="C6EFCE"/>
            <w:noWrap/>
          </w:tcPr>
          <w:p w14:paraId="0DEB012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39" w:type="dxa"/>
            <w:tcBorders>
              <w:top w:val="single" w:sz="4" w:space="0" w:color="auto"/>
              <w:left w:val="nil"/>
              <w:bottom w:val="single" w:sz="4" w:space="0" w:color="auto"/>
              <w:right w:val="single" w:sz="4" w:space="0" w:color="auto"/>
            </w:tcBorders>
            <w:shd w:val="clear" w:color="auto" w:fill="C6EFCE"/>
            <w:noWrap/>
          </w:tcPr>
          <w:p w14:paraId="0B9717F9"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Nacionalnog plana za borbu protiv siromaštva i socijalne isključenosti za razdoblje 2021.–2027.</w:t>
            </w:r>
          </w:p>
        </w:tc>
        <w:tc>
          <w:tcPr>
            <w:tcW w:w="2171" w:type="dxa"/>
            <w:tcBorders>
              <w:top w:val="single" w:sz="4" w:space="0" w:color="auto"/>
              <w:left w:val="nil"/>
              <w:bottom w:val="single" w:sz="4" w:space="0" w:color="auto"/>
              <w:right w:val="single" w:sz="4" w:space="0" w:color="auto"/>
            </w:tcBorders>
            <w:shd w:val="clear" w:color="auto" w:fill="C6EFCE"/>
            <w:noWrap/>
          </w:tcPr>
          <w:p w14:paraId="3E7F5BC9"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Donesen Nacionalni plan za borbu protiv siromaštva i socijalne isključenosti za razdoblje 2021.–2027.</w:t>
            </w:r>
          </w:p>
        </w:tc>
        <w:tc>
          <w:tcPr>
            <w:tcW w:w="975" w:type="dxa"/>
            <w:tcBorders>
              <w:top w:val="nil"/>
              <w:left w:val="nil"/>
              <w:bottom w:val="single" w:sz="4" w:space="0" w:color="auto"/>
              <w:right w:val="single" w:sz="4" w:space="0" w:color="auto"/>
            </w:tcBorders>
            <w:shd w:val="clear" w:color="auto" w:fill="C6EFCE"/>
            <w:noWrap/>
          </w:tcPr>
          <w:p w14:paraId="36F10DEE"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02" w:type="dxa"/>
            <w:tcBorders>
              <w:top w:val="nil"/>
              <w:left w:val="nil"/>
              <w:bottom w:val="single" w:sz="4" w:space="0" w:color="auto"/>
              <w:right w:val="single" w:sz="4" w:space="0" w:color="auto"/>
            </w:tcBorders>
            <w:shd w:val="clear" w:color="auto" w:fill="C6EFCE"/>
            <w:noWrap/>
          </w:tcPr>
          <w:p w14:paraId="58B02A1E"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74" w:type="dxa"/>
            <w:tcBorders>
              <w:top w:val="nil"/>
              <w:left w:val="nil"/>
              <w:bottom w:val="single" w:sz="4" w:space="0" w:color="auto"/>
              <w:right w:val="single" w:sz="4" w:space="0" w:color="auto"/>
            </w:tcBorders>
            <w:shd w:val="clear" w:color="auto" w:fill="C6EFCE"/>
            <w:noWrap/>
          </w:tcPr>
          <w:p w14:paraId="794CA5C0"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0C7FA35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nil"/>
              <w:left w:val="nil"/>
              <w:bottom w:val="single" w:sz="4" w:space="0" w:color="auto"/>
              <w:right w:val="single" w:sz="4" w:space="0" w:color="auto"/>
            </w:tcBorders>
            <w:shd w:val="clear" w:color="auto" w:fill="C6EFCE"/>
            <w:noWrap/>
          </w:tcPr>
          <w:p w14:paraId="17A9624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127" w:type="dxa"/>
            <w:tcBorders>
              <w:top w:val="single" w:sz="4" w:space="0" w:color="auto"/>
              <w:left w:val="nil"/>
              <w:bottom w:val="single" w:sz="4" w:space="0" w:color="auto"/>
              <w:right w:val="single" w:sz="4" w:space="0" w:color="auto"/>
            </w:tcBorders>
            <w:shd w:val="clear" w:color="auto" w:fill="C6EFCE"/>
            <w:noWrap/>
          </w:tcPr>
          <w:p w14:paraId="582BD6F8"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Nacionalnog plana borbe protiv siromaštva i socijalne isključenosti za razdoblje 2021.–2027., kojim će se: </w:t>
            </w:r>
            <w:r>
              <w:rPr>
                <w:rFonts w:ascii="Calibri" w:hAnsi="Calibri"/>
                <w:noProof/>
                <w:color w:val="000000"/>
                <w:sz w:val="20"/>
              </w:rPr>
              <w:br/>
            </w:r>
            <w:r>
              <w:rPr>
                <w:rFonts w:ascii="Calibri" w:hAnsi="Calibri"/>
                <w:noProof/>
                <w:color w:val="000000"/>
                <w:sz w:val="20"/>
              </w:rPr>
              <w:br/>
              <w:t>— definirati cilj smanjenja stope rizika od siromaštva na manje od 15 % u odnosu na osnovnu vrijednost od 18,3 % u 2019. i plan njegove provedbe,</w:t>
            </w:r>
            <w:r>
              <w:rPr>
                <w:rFonts w:ascii="Calibri" w:hAnsi="Calibri"/>
                <w:noProof/>
                <w:color w:val="000000"/>
                <w:sz w:val="20"/>
              </w:rPr>
              <w:br/>
              <w:t>— osigurati uvjeti za djelotvorno smanjenje siromaštva i socijalne isključenost te poboljšanje svakodnevnog života osoba u riziku od siromaštva i onih koji žive u teškoj materijalnoj deprivaciji,</w:t>
            </w:r>
            <w:r>
              <w:rPr>
                <w:rFonts w:ascii="Calibri" w:hAnsi="Calibri"/>
                <w:noProof/>
                <w:color w:val="000000"/>
                <w:sz w:val="20"/>
              </w:rPr>
              <w:br/>
              <w:t>— utvrditi razvojne prioritete u suzbijanju siromaštva i socijalne isključivosti te potrebe ranjivih skupina u sustavima.</w:t>
            </w:r>
          </w:p>
        </w:tc>
      </w:tr>
      <w:tr w:rsidR="009926D5" w:rsidRPr="0074072E" w14:paraId="411A5F7D" w14:textId="77777777" w:rsidTr="00E25E44">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2A64BD6E"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303</w:t>
            </w:r>
          </w:p>
        </w:tc>
        <w:tc>
          <w:tcPr>
            <w:tcW w:w="825" w:type="dxa"/>
            <w:tcBorders>
              <w:top w:val="nil"/>
              <w:left w:val="nil"/>
              <w:bottom w:val="single" w:sz="4" w:space="0" w:color="auto"/>
              <w:right w:val="single" w:sz="4" w:space="0" w:color="auto"/>
            </w:tcBorders>
            <w:shd w:val="clear" w:color="auto" w:fill="C6EFCE"/>
            <w:noWrap/>
          </w:tcPr>
          <w:p w14:paraId="75C3E2C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R1</w:t>
            </w:r>
          </w:p>
        </w:tc>
        <w:tc>
          <w:tcPr>
            <w:tcW w:w="825" w:type="dxa"/>
            <w:tcBorders>
              <w:top w:val="nil"/>
              <w:left w:val="nil"/>
              <w:bottom w:val="single" w:sz="4" w:space="0" w:color="auto"/>
              <w:right w:val="single" w:sz="4" w:space="0" w:color="auto"/>
            </w:tcBorders>
            <w:shd w:val="clear" w:color="auto" w:fill="C6EFCE"/>
            <w:noWrap/>
          </w:tcPr>
          <w:p w14:paraId="76DFC082"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39" w:type="dxa"/>
            <w:tcBorders>
              <w:top w:val="nil"/>
              <w:left w:val="nil"/>
              <w:bottom w:val="single" w:sz="4" w:space="0" w:color="auto"/>
              <w:right w:val="single" w:sz="4" w:space="0" w:color="auto"/>
            </w:tcBorders>
            <w:shd w:val="clear" w:color="auto" w:fill="C6EFCE"/>
            <w:noWrap/>
          </w:tcPr>
          <w:p w14:paraId="00E941BA"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novog Zakona o socijalnoj skrbi</w:t>
            </w:r>
          </w:p>
        </w:tc>
        <w:tc>
          <w:tcPr>
            <w:tcW w:w="2171" w:type="dxa"/>
            <w:tcBorders>
              <w:top w:val="nil"/>
              <w:left w:val="nil"/>
              <w:bottom w:val="single" w:sz="4" w:space="0" w:color="auto"/>
              <w:right w:val="single" w:sz="4" w:space="0" w:color="auto"/>
            </w:tcBorders>
            <w:shd w:val="clear" w:color="auto" w:fill="C6EFCE"/>
            <w:noWrap/>
          </w:tcPr>
          <w:p w14:paraId="0F8B31D9"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novog Zakona o socijalnoj skrbi</w:t>
            </w:r>
          </w:p>
        </w:tc>
        <w:tc>
          <w:tcPr>
            <w:tcW w:w="975" w:type="dxa"/>
            <w:tcBorders>
              <w:top w:val="nil"/>
              <w:left w:val="nil"/>
              <w:bottom w:val="single" w:sz="4" w:space="0" w:color="auto"/>
              <w:right w:val="single" w:sz="4" w:space="0" w:color="auto"/>
            </w:tcBorders>
            <w:shd w:val="clear" w:color="auto" w:fill="C6EFCE"/>
            <w:noWrap/>
          </w:tcPr>
          <w:p w14:paraId="6A040AE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02" w:type="dxa"/>
            <w:tcBorders>
              <w:top w:val="nil"/>
              <w:left w:val="nil"/>
              <w:bottom w:val="single" w:sz="4" w:space="0" w:color="auto"/>
              <w:right w:val="single" w:sz="4" w:space="0" w:color="auto"/>
            </w:tcBorders>
            <w:shd w:val="clear" w:color="auto" w:fill="C6EFCE"/>
            <w:noWrap/>
          </w:tcPr>
          <w:p w14:paraId="07240049" w14:textId="2EA81D14" w:rsidR="00733DCA" w:rsidRPr="0074072E" w:rsidRDefault="00733DCA" w:rsidP="00E25E44">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p w14:paraId="0B2BA5CC" w14:textId="77777777" w:rsidR="00733DCA" w:rsidRPr="00BC0323" w:rsidRDefault="00733DCA" w:rsidP="0001477B">
            <w:pPr>
              <w:spacing w:after="200" w:line="276" w:lineRule="auto"/>
              <w:rPr>
                <w:rFonts w:ascii="Times New Roman" w:eastAsia="Calibri" w:hAnsi="Times New Roman" w:cs="Times New Roman"/>
                <w:noProof/>
                <w:sz w:val="20"/>
                <w:szCs w:val="20"/>
              </w:rPr>
            </w:pPr>
          </w:p>
        </w:tc>
        <w:tc>
          <w:tcPr>
            <w:tcW w:w="874" w:type="dxa"/>
            <w:tcBorders>
              <w:top w:val="nil"/>
              <w:left w:val="nil"/>
              <w:bottom w:val="single" w:sz="4" w:space="0" w:color="auto"/>
              <w:right w:val="single" w:sz="4" w:space="0" w:color="auto"/>
            </w:tcBorders>
            <w:shd w:val="clear" w:color="auto" w:fill="C6EFCE"/>
            <w:noWrap/>
          </w:tcPr>
          <w:p w14:paraId="24843C3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0006807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907" w:type="dxa"/>
            <w:tcBorders>
              <w:top w:val="nil"/>
              <w:left w:val="nil"/>
              <w:bottom w:val="single" w:sz="4" w:space="0" w:color="auto"/>
              <w:right w:val="single" w:sz="4" w:space="0" w:color="auto"/>
            </w:tcBorders>
            <w:shd w:val="clear" w:color="auto" w:fill="C6EFCE"/>
            <w:noWrap/>
          </w:tcPr>
          <w:p w14:paraId="147B2C7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27" w:type="dxa"/>
            <w:tcBorders>
              <w:top w:val="nil"/>
              <w:left w:val="nil"/>
              <w:bottom w:val="single" w:sz="4" w:space="0" w:color="auto"/>
              <w:right w:val="single" w:sz="4" w:space="0" w:color="auto"/>
            </w:tcBorders>
            <w:shd w:val="clear" w:color="auto" w:fill="C6EFCE"/>
            <w:noWrap/>
          </w:tcPr>
          <w:p w14:paraId="5464FBBD"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Novim Zakonom o socijalnoj skrbi uvest će se sljedeće promjene: </w:t>
            </w:r>
            <w:r>
              <w:rPr>
                <w:rFonts w:ascii="Calibri" w:hAnsi="Calibri"/>
                <w:noProof/>
                <w:color w:val="000000"/>
                <w:sz w:val="20"/>
              </w:rPr>
              <w:br/>
              <w:t>– kombiniranje postojećih troškova stanovanja i naknada za grijanje u jednu integriranu naknadu;</w:t>
            </w:r>
            <w:r>
              <w:rPr>
                <w:rFonts w:ascii="Calibri" w:hAnsi="Calibri"/>
                <w:noProof/>
                <w:color w:val="000000"/>
                <w:sz w:val="20"/>
              </w:rPr>
              <w:br/>
              <w:t xml:space="preserve">– odredba o zajamčenoj minimalnoj naknadi izmijenit će se povećanjem osnovnog iznosa na 1000 kuna i povećanjem od najmanje 25 % za kućanstva s djecom ublažavanjem najtežih kriterija prihvatljivosti, uključujući povećanje dohodovnog praga za stjecanje prava na 1000 HRK; </w:t>
            </w:r>
            <w:r>
              <w:rPr>
                <w:rFonts w:ascii="Calibri" w:hAnsi="Calibri"/>
                <w:noProof/>
                <w:color w:val="000000"/>
                <w:sz w:val="20"/>
              </w:rPr>
              <w:br/>
              <w:t>– uvođenje nove usluge socijalnog mentorstva;</w:t>
            </w:r>
            <w:r>
              <w:rPr>
                <w:rFonts w:ascii="Calibri" w:hAnsi="Calibri"/>
                <w:noProof/>
                <w:color w:val="000000"/>
                <w:sz w:val="20"/>
              </w:rPr>
              <w:br/>
              <w:t>– strukturne promjene uvedene u dugotrajnu skrb kojima se olakšava deinstitucionalizacija i prelazak na usluge koje se pružaju kod kuće i u zajednici;</w:t>
            </w:r>
            <w:r>
              <w:rPr>
                <w:rFonts w:ascii="Calibri" w:hAnsi="Calibri"/>
                <w:noProof/>
                <w:color w:val="000000"/>
                <w:sz w:val="20"/>
              </w:rPr>
              <w:br/>
              <w:t>– odredba kojom se uvjetuje suradnja i redovita razmjena informacija među ustanovama koje pružaju socijalne usluge i socijalne naknade kako bi se osigurao koordinirani pristup u širokom rasponu usluga koje pružaju.</w:t>
            </w:r>
          </w:p>
        </w:tc>
      </w:tr>
      <w:tr w:rsidR="009926D5" w:rsidRPr="0074072E" w14:paraId="6EF521C0" w14:textId="77777777" w:rsidTr="00E25E44">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2BCE204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304</w:t>
            </w:r>
          </w:p>
        </w:tc>
        <w:tc>
          <w:tcPr>
            <w:tcW w:w="825" w:type="dxa"/>
            <w:tcBorders>
              <w:top w:val="nil"/>
              <w:left w:val="nil"/>
              <w:bottom w:val="single" w:sz="4" w:space="0" w:color="auto"/>
              <w:right w:val="single" w:sz="4" w:space="0" w:color="auto"/>
            </w:tcBorders>
            <w:shd w:val="clear" w:color="auto" w:fill="C6EFCE"/>
            <w:noWrap/>
          </w:tcPr>
          <w:p w14:paraId="1DB8B31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R1</w:t>
            </w:r>
          </w:p>
        </w:tc>
        <w:tc>
          <w:tcPr>
            <w:tcW w:w="825" w:type="dxa"/>
            <w:tcBorders>
              <w:top w:val="nil"/>
              <w:left w:val="nil"/>
              <w:bottom w:val="single" w:sz="4" w:space="0" w:color="auto"/>
              <w:right w:val="single" w:sz="4" w:space="0" w:color="auto"/>
            </w:tcBorders>
            <w:shd w:val="clear" w:color="auto" w:fill="C6EFCE"/>
            <w:noWrap/>
          </w:tcPr>
          <w:p w14:paraId="51BB196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nil"/>
              <w:left w:val="nil"/>
              <w:bottom w:val="single" w:sz="4" w:space="0" w:color="auto"/>
              <w:right w:val="single" w:sz="4" w:space="0" w:color="auto"/>
            </w:tcBorders>
            <w:shd w:val="clear" w:color="auto" w:fill="C6EFCE"/>
            <w:noWrap/>
          </w:tcPr>
          <w:p w14:paraId="11CB3A8D" w14:textId="77777777" w:rsidR="00733DCA" w:rsidRPr="0074072E"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Korisnici zajamčene minimalne naknade i nacionalne naknade za starije osobe </w:t>
            </w:r>
          </w:p>
        </w:tc>
        <w:tc>
          <w:tcPr>
            <w:tcW w:w="2171" w:type="dxa"/>
            <w:tcBorders>
              <w:top w:val="nil"/>
              <w:left w:val="nil"/>
              <w:bottom w:val="single" w:sz="4" w:space="0" w:color="auto"/>
              <w:right w:val="single" w:sz="4" w:space="0" w:color="auto"/>
            </w:tcBorders>
            <w:shd w:val="clear" w:color="auto" w:fill="C6EFCE"/>
            <w:noWrap/>
          </w:tcPr>
          <w:p w14:paraId="3C91DF6E"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975" w:type="dxa"/>
            <w:tcBorders>
              <w:top w:val="nil"/>
              <w:left w:val="nil"/>
              <w:bottom w:val="single" w:sz="4" w:space="0" w:color="auto"/>
              <w:right w:val="single" w:sz="4" w:space="0" w:color="auto"/>
            </w:tcBorders>
            <w:shd w:val="clear" w:color="auto" w:fill="C6EFCE"/>
            <w:noWrap/>
          </w:tcPr>
          <w:p w14:paraId="43355F3E"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02" w:type="dxa"/>
            <w:tcBorders>
              <w:top w:val="nil"/>
              <w:left w:val="nil"/>
              <w:bottom w:val="single" w:sz="4" w:space="0" w:color="auto"/>
              <w:right w:val="single" w:sz="4" w:space="0" w:color="auto"/>
            </w:tcBorders>
            <w:shd w:val="clear" w:color="auto" w:fill="C6EFCE"/>
            <w:noWrap/>
          </w:tcPr>
          <w:p w14:paraId="7193B70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56 905</w:t>
            </w:r>
          </w:p>
        </w:tc>
        <w:tc>
          <w:tcPr>
            <w:tcW w:w="874" w:type="dxa"/>
            <w:tcBorders>
              <w:top w:val="nil"/>
              <w:left w:val="nil"/>
              <w:bottom w:val="single" w:sz="4" w:space="0" w:color="auto"/>
              <w:right w:val="single" w:sz="4" w:space="0" w:color="auto"/>
            </w:tcBorders>
            <w:shd w:val="clear" w:color="auto" w:fill="C6EFCE"/>
            <w:noWrap/>
          </w:tcPr>
          <w:p w14:paraId="4AE1316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68 000</w:t>
            </w:r>
          </w:p>
        </w:tc>
        <w:tc>
          <w:tcPr>
            <w:tcW w:w="709" w:type="dxa"/>
            <w:tcBorders>
              <w:top w:val="nil"/>
              <w:left w:val="nil"/>
              <w:bottom w:val="single" w:sz="4" w:space="0" w:color="auto"/>
              <w:right w:val="single" w:sz="4" w:space="0" w:color="auto"/>
            </w:tcBorders>
            <w:shd w:val="clear" w:color="auto" w:fill="C6EFCE"/>
            <w:noWrap/>
          </w:tcPr>
          <w:p w14:paraId="3C32111E" w14:textId="6675502D"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1.</w:t>
            </w:r>
          </w:p>
        </w:tc>
        <w:tc>
          <w:tcPr>
            <w:tcW w:w="907" w:type="dxa"/>
            <w:tcBorders>
              <w:top w:val="nil"/>
              <w:left w:val="nil"/>
              <w:bottom w:val="single" w:sz="4" w:space="0" w:color="auto"/>
              <w:right w:val="single" w:sz="4" w:space="0" w:color="auto"/>
            </w:tcBorders>
            <w:shd w:val="clear" w:color="auto" w:fill="C6EFCE"/>
            <w:noWrap/>
          </w:tcPr>
          <w:p w14:paraId="67C782AA" w14:textId="3F5AC05C"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2026.</w:t>
            </w:r>
          </w:p>
        </w:tc>
        <w:tc>
          <w:tcPr>
            <w:tcW w:w="4127" w:type="dxa"/>
            <w:tcBorders>
              <w:top w:val="nil"/>
              <w:left w:val="nil"/>
              <w:bottom w:val="single" w:sz="4" w:space="0" w:color="auto"/>
              <w:right w:val="single" w:sz="4" w:space="0" w:color="auto"/>
            </w:tcBorders>
            <w:shd w:val="clear" w:color="auto" w:fill="C6EFCE"/>
            <w:noWrap/>
          </w:tcPr>
          <w:p w14:paraId="6BEC9AA2" w14:textId="77777777" w:rsidR="00733DCA" w:rsidRPr="0074072E" w:rsidRDefault="00733DCA" w:rsidP="0001477B">
            <w:pPr>
              <w:spacing w:after="200" w:line="276" w:lineRule="auto"/>
              <w:contextualSpacing/>
              <w:rPr>
                <w:rFonts w:ascii="Calibri" w:eastAsia="Calibri" w:hAnsi="Calibri" w:cs="Arial"/>
                <w:noProof/>
                <w:color w:val="000000" w:themeColor="text1"/>
                <w:sz w:val="20"/>
                <w:szCs w:val="20"/>
              </w:rPr>
            </w:pPr>
            <w:r>
              <w:rPr>
                <w:rFonts w:ascii="Calibri" w:hAnsi="Calibri"/>
                <w:noProof/>
                <w:color w:val="000000" w:themeColor="text1"/>
                <w:sz w:val="20"/>
              </w:rPr>
              <w:t>Ukupan broj korisnika koji primaju zajamčenu minimalnu naknadu ili nacionalnu naknadu za starije osobe povećat će se na 68 000.</w:t>
            </w:r>
          </w:p>
        </w:tc>
      </w:tr>
      <w:tr w:rsidR="009926D5" w:rsidRPr="0074072E" w14:paraId="537F2BAF" w14:textId="77777777" w:rsidTr="00E25E44">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4D1CA7FA"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305</w:t>
            </w:r>
          </w:p>
        </w:tc>
        <w:tc>
          <w:tcPr>
            <w:tcW w:w="825" w:type="dxa"/>
            <w:tcBorders>
              <w:top w:val="nil"/>
              <w:left w:val="nil"/>
              <w:bottom w:val="single" w:sz="4" w:space="0" w:color="auto"/>
              <w:right w:val="single" w:sz="4" w:space="0" w:color="auto"/>
            </w:tcBorders>
            <w:shd w:val="clear" w:color="auto" w:fill="C6EFCE"/>
            <w:noWrap/>
          </w:tcPr>
          <w:p w14:paraId="5F650AF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R1</w:t>
            </w:r>
          </w:p>
        </w:tc>
        <w:tc>
          <w:tcPr>
            <w:tcW w:w="825" w:type="dxa"/>
            <w:tcBorders>
              <w:top w:val="nil"/>
              <w:left w:val="nil"/>
              <w:bottom w:val="single" w:sz="4" w:space="0" w:color="auto"/>
              <w:right w:val="single" w:sz="4" w:space="0" w:color="auto"/>
            </w:tcBorders>
            <w:shd w:val="clear" w:color="auto" w:fill="C6EFCE"/>
            <w:noWrap/>
          </w:tcPr>
          <w:p w14:paraId="4261B9A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39" w:type="dxa"/>
            <w:tcBorders>
              <w:top w:val="nil"/>
              <w:left w:val="nil"/>
              <w:bottom w:val="single" w:sz="4" w:space="0" w:color="auto"/>
              <w:right w:val="single" w:sz="4" w:space="0" w:color="auto"/>
            </w:tcBorders>
            <w:shd w:val="clear" w:color="auto" w:fill="C6EFCE"/>
            <w:noWrap/>
          </w:tcPr>
          <w:p w14:paraId="3A1D4B43"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normativnog propisa o funkcionalno objedinjenim socijalnim naknadama </w:t>
            </w:r>
          </w:p>
        </w:tc>
        <w:tc>
          <w:tcPr>
            <w:tcW w:w="2171" w:type="dxa"/>
            <w:tcBorders>
              <w:top w:val="nil"/>
              <w:left w:val="nil"/>
              <w:bottom w:val="single" w:sz="4" w:space="0" w:color="auto"/>
              <w:right w:val="single" w:sz="4" w:space="0" w:color="auto"/>
            </w:tcBorders>
            <w:shd w:val="clear" w:color="auto" w:fill="C6EFCE"/>
            <w:noWrap/>
          </w:tcPr>
          <w:p w14:paraId="10DD1745"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Stupanje na snagu Zakona o socijalnoj skrbi ili Zakona o inkluzivnom dodatku </w:t>
            </w:r>
          </w:p>
        </w:tc>
        <w:tc>
          <w:tcPr>
            <w:tcW w:w="975" w:type="dxa"/>
            <w:tcBorders>
              <w:top w:val="nil"/>
              <w:left w:val="nil"/>
              <w:bottom w:val="single" w:sz="4" w:space="0" w:color="auto"/>
              <w:right w:val="single" w:sz="4" w:space="0" w:color="auto"/>
            </w:tcBorders>
            <w:shd w:val="clear" w:color="auto" w:fill="C6EFCE"/>
            <w:noWrap/>
          </w:tcPr>
          <w:p w14:paraId="0CD261F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02" w:type="dxa"/>
            <w:tcBorders>
              <w:top w:val="nil"/>
              <w:left w:val="nil"/>
              <w:bottom w:val="single" w:sz="4" w:space="0" w:color="auto"/>
              <w:right w:val="single" w:sz="4" w:space="0" w:color="auto"/>
            </w:tcBorders>
            <w:shd w:val="clear" w:color="auto" w:fill="C6EFCE"/>
            <w:noWrap/>
          </w:tcPr>
          <w:p w14:paraId="7E045D5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74" w:type="dxa"/>
            <w:tcBorders>
              <w:top w:val="nil"/>
              <w:left w:val="nil"/>
              <w:bottom w:val="single" w:sz="4" w:space="0" w:color="auto"/>
              <w:right w:val="single" w:sz="4" w:space="0" w:color="auto"/>
            </w:tcBorders>
            <w:shd w:val="clear" w:color="auto" w:fill="C6EFCE"/>
            <w:noWrap/>
          </w:tcPr>
          <w:p w14:paraId="087F0B4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0CDFC5A9"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nil"/>
              <w:left w:val="nil"/>
              <w:bottom w:val="single" w:sz="4" w:space="0" w:color="auto"/>
              <w:right w:val="single" w:sz="4" w:space="0" w:color="auto"/>
            </w:tcBorders>
            <w:shd w:val="clear" w:color="auto" w:fill="C6EFCE"/>
            <w:noWrap/>
          </w:tcPr>
          <w:p w14:paraId="7FAEA05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127" w:type="dxa"/>
            <w:tcBorders>
              <w:top w:val="nil"/>
              <w:left w:val="nil"/>
              <w:bottom w:val="single" w:sz="4" w:space="0" w:color="auto"/>
              <w:right w:val="single" w:sz="4" w:space="0" w:color="auto"/>
            </w:tcBorders>
            <w:shd w:val="clear" w:color="auto" w:fill="C6EFCE"/>
            <w:noWrap/>
          </w:tcPr>
          <w:p w14:paraId="6949E911" w14:textId="3407FBE0" w:rsidR="00733DCA" w:rsidRPr="0074072E" w:rsidRDefault="00733DCA" w:rsidP="00C67005">
            <w:pPr>
              <w:spacing w:after="0" w:line="276" w:lineRule="auto"/>
              <w:rPr>
                <w:rFonts w:ascii="Times New Roman" w:eastAsia="Calibri" w:hAnsi="Times New Roman" w:cs="Times New Roman"/>
                <w:noProof/>
                <w:sz w:val="20"/>
                <w:szCs w:val="20"/>
              </w:rPr>
            </w:pPr>
            <w:r>
              <w:rPr>
                <w:rFonts w:ascii="Calibri" w:hAnsi="Calibri"/>
                <w:noProof/>
                <w:color w:val="000000"/>
                <w:sz w:val="20"/>
              </w:rPr>
              <w:t>Izmjenama Zakona o socijalnoj skrbi ili Zakona o inkluzivnom dodatku će se:</w:t>
            </w:r>
            <w:r>
              <w:rPr>
                <w:rFonts w:ascii="Calibri" w:hAnsi="Calibri"/>
                <w:noProof/>
                <w:color w:val="000000"/>
                <w:sz w:val="20"/>
              </w:rPr>
              <w:br/>
              <w:t xml:space="preserve">– izmijeniti zajamčena minimalna naknada povećanjem osnovnog iznosa na 160 EUR, Odlukom o osnovici za izračun iznosa zajamčene minimalne naknade, i za najmanje 25 % za kućanstva s djecom te osigurati potpuna integracija zajamčene minimalne naknade s drugim socijalnim naknadama. </w:t>
            </w:r>
            <w:r>
              <w:rPr>
                <w:rFonts w:ascii="Calibri" w:hAnsi="Calibri"/>
                <w:noProof/>
                <w:color w:val="000000"/>
                <w:sz w:val="20"/>
              </w:rPr>
              <w:br/>
              <w:t>– definirati (funkcionalna) integracija socijalnih naknada na temelju stručne analize;</w:t>
            </w:r>
            <w:r>
              <w:rPr>
                <w:rFonts w:ascii="Calibri" w:hAnsi="Calibri"/>
                <w:noProof/>
                <w:color w:val="000000"/>
                <w:sz w:val="20"/>
              </w:rPr>
              <w:br/>
              <w:t>– pojačati odredbe o ispunjavanju uvjeta za primanje socijalnih naknada, među ostalim boljom primjenom provjere imovinskog stanja i prihoda;</w:t>
            </w:r>
            <w:r>
              <w:rPr>
                <w:rFonts w:ascii="Calibri" w:hAnsi="Calibri"/>
                <w:noProof/>
                <w:color w:val="000000"/>
                <w:sz w:val="20"/>
              </w:rPr>
              <w:br/>
              <w:t>– uključiti mjere i odredbe namijenjene poboljšanju pokrivenosti, adekvatnosti i usmjerenosti socijalnih naknada, na temelju stručne analize i s posebnim naglaskom na osobe koje žive u trajnom siromaštvu;</w:t>
            </w:r>
            <w:r>
              <w:rPr>
                <w:rFonts w:ascii="Calibri" w:hAnsi="Calibri"/>
                <w:noProof/>
                <w:color w:val="000000"/>
                <w:sz w:val="20"/>
              </w:rPr>
              <w:br/>
              <w:t>– unijeti odredbe o postupku praćenja i uključenosti relevantnih dionika tijekom provedbe;</w:t>
            </w:r>
            <w:r>
              <w:rPr>
                <w:rFonts w:ascii="Calibri" w:hAnsi="Calibri"/>
                <w:noProof/>
                <w:color w:val="000000"/>
                <w:sz w:val="20"/>
              </w:rPr>
              <w:br/>
              <w:t>– uvesti indeksaciju socijalnih naknada.</w:t>
            </w:r>
          </w:p>
        </w:tc>
      </w:tr>
      <w:tr w:rsidR="009926D5" w:rsidRPr="0074072E" w14:paraId="174AD6A3" w14:textId="77777777" w:rsidTr="00E25E44">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50BBB1BD" w14:textId="1CEE395B" w:rsidR="00733DCA" w:rsidRPr="0074072E" w:rsidRDefault="0084663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398</w:t>
            </w:r>
          </w:p>
        </w:tc>
        <w:tc>
          <w:tcPr>
            <w:tcW w:w="825" w:type="dxa"/>
            <w:tcBorders>
              <w:top w:val="nil"/>
              <w:left w:val="nil"/>
              <w:bottom w:val="single" w:sz="4" w:space="0" w:color="auto"/>
              <w:right w:val="single" w:sz="4" w:space="0" w:color="auto"/>
            </w:tcBorders>
            <w:shd w:val="clear" w:color="auto" w:fill="C6EFCE"/>
            <w:noWrap/>
          </w:tcPr>
          <w:p w14:paraId="4B9E7F58" w14:textId="77777777" w:rsidR="00733DCA" w:rsidRPr="0074072E"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C4.3. R1</w:t>
            </w:r>
          </w:p>
        </w:tc>
        <w:tc>
          <w:tcPr>
            <w:tcW w:w="825" w:type="dxa"/>
            <w:tcBorders>
              <w:top w:val="nil"/>
              <w:left w:val="nil"/>
              <w:bottom w:val="single" w:sz="4" w:space="0" w:color="auto"/>
              <w:right w:val="single" w:sz="4" w:space="0" w:color="auto"/>
            </w:tcBorders>
            <w:shd w:val="clear" w:color="auto" w:fill="C6EFCE"/>
            <w:noWrap/>
          </w:tcPr>
          <w:p w14:paraId="1A882B16" w14:textId="77777777" w:rsidR="00733DCA" w:rsidRPr="0074072E"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w:t>
            </w:r>
          </w:p>
        </w:tc>
        <w:tc>
          <w:tcPr>
            <w:tcW w:w="2039" w:type="dxa"/>
            <w:tcBorders>
              <w:top w:val="nil"/>
              <w:left w:val="nil"/>
              <w:bottom w:val="single" w:sz="4" w:space="0" w:color="auto"/>
              <w:right w:val="single" w:sz="4" w:space="0" w:color="auto"/>
            </w:tcBorders>
            <w:shd w:val="clear" w:color="auto" w:fill="C6EFCE"/>
            <w:noWrap/>
          </w:tcPr>
          <w:p w14:paraId="74E9B5D8" w14:textId="04582F6F" w:rsidR="00733DCA" w:rsidRPr="0074072E"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Stupanje na snagu izmjena Zakona o socijalnoj skrbi i donošenje Odluke o zajamčenoj minimalnoj naknadi</w:t>
            </w:r>
          </w:p>
        </w:tc>
        <w:tc>
          <w:tcPr>
            <w:tcW w:w="2171" w:type="dxa"/>
            <w:tcBorders>
              <w:top w:val="nil"/>
              <w:left w:val="nil"/>
              <w:bottom w:val="single" w:sz="4" w:space="0" w:color="auto"/>
              <w:right w:val="single" w:sz="4" w:space="0" w:color="auto"/>
            </w:tcBorders>
            <w:shd w:val="clear" w:color="auto" w:fill="C6EFCE"/>
            <w:noWrap/>
          </w:tcPr>
          <w:p w14:paraId="44F20AEA" w14:textId="77777777" w:rsidR="00733DCA" w:rsidRPr="0074072E"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Stupanje na snagu izmijenjenog Zakona o socijalnoj skrbi i donošenje Odluke Vlade</w:t>
            </w:r>
          </w:p>
        </w:tc>
        <w:tc>
          <w:tcPr>
            <w:tcW w:w="975" w:type="dxa"/>
            <w:tcBorders>
              <w:top w:val="nil"/>
              <w:left w:val="nil"/>
              <w:bottom w:val="single" w:sz="4" w:space="0" w:color="auto"/>
              <w:right w:val="single" w:sz="4" w:space="0" w:color="auto"/>
            </w:tcBorders>
            <w:shd w:val="clear" w:color="auto" w:fill="C6EFCE"/>
            <w:noWrap/>
          </w:tcPr>
          <w:p w14:paraId="14999F22" w14:textId="77777777" w:rsidR="00733DCA" w:rsidRPr="00BC0323" w:rsidRDefault="00733DCA" w:rsidP="0001477B">
            <w:pPr>
              <w:spacing w:after="200" w:line="276" w:lineRule="auto"/>
              <w:jc w:val="center"/>
              <w:rPr>
                <w:rFonts w:ascii="Calibri" w:eastAsia="Calibri" w:hAnsi="Calibri" w:cs="Arial"/>
                <w:noProof/>
                <w:color w:val="000000"/>
                <w:sz w:val="20"/>
                <w:szCs w:val="20"/>
              </w:rPr>
            </w:pPr>
          </w:p>
        </w:tc>
        <w:tc>
          <w:tcPr>
            <w:tcW w:w="802" w:type="dxa"/>
            <w:tcBorders>
              <w:top w:val="nil"/>
              <w:left w:val="nil"/>
              <w:bottom w:val="single" w:sz="4" w:space="0" w:color="auto"/>
              <w:right w:val="single" w:sz="4" w:space="0" w:color="auto"/>
            </w:tcBorders>
            <w:shd w:val="clear" w:color="auto" w:fill="C6EFCE"/>
            <w:noWrap/>
          </w:tcPr>
          <w:p w14:paraId="647A92F2" w14:textId="77777777" w:rsidR="00733DCA" w:rsidRPr="00BC0323" w:rsidRDefault="00733DCA" w:rsidP="0001477B">
            <w:pPr>
              <w:spacing w:after="200" w:line="276" w:lineRule="auto"/>
              <w:jc w:val="center"/>
              <w:rPr>
                <w:rFonts w:ascii="Calibri" w:eastAsia="Calibri" w:hAnsi="Calibri" w:cs="Arial"/>
                <w:noProof/>
                <w:color w:val="000000"/>
                <w:sz w:val="20"/>
                <w:szCs w:val="20"/>
              </w:rPr>
            </w:pPr>
          </w:p>
        </w:tc>
        <w:tc>
          <w:tcPr>
            <w:tcW w:w="874" w:type="dxa"/>
            <w:tcBorders>
              <w:top w:val="nil"/>
              <w:left w:val="nil"/>
              <w:bottom w:val="single" w:sz="4" w:space="0" w:color="auto"/>
              <w:right w:val="single" w:sz="4" w:space="0" w:color="auto"/>
            </w:tcBorders>
            <w:shd w:val="clear" w:color="auto" w:fill="C6EFCE"/>
            <w:noWrap/>
          </w:tcPr>
          <w:p w14:paraId="4D644593" w14:textId="77777777" w:rsidR="00733DCA" w:rsidRPr="00BC0323" w:rsidRDefault="00733DCA" w:rsidP="0001477B">
            <w:pPr>
              <w:spacing w:after="200" w:line="276" w:lineRule="auto"/>
              <w:jc w:val="center"/>
              <w:rPr>
                <w:rFonts w:ascii="Calibri" w:eastAsia="Calibri" w:hAnsi="Calibri" w:cs="Arial"/>
                <w:noProof/>
                <w:color w:val="000000"/>
                <w:sz w:val="20"/>
                <w:szCs w:val="20"/>
              </w:rPr>
            </w:pPr>
          </w:p>
        </w:tc>
        <w:tc>
          <w:tcPr>
            <w:tcW w:w="709" w:type="dxa"/>
            <w:tcBorders>
              <w:top w:val="nil"/>
              <w:left w:val="nil"/>
              <w:bottom w:val="single" w:sz="4" w:space="0" w:color="auto"/>
              <w:right w:val="single" w:sz="4" w:space="0" w:color="auto"/>
            </w:tcBorders>
            <w:shd w:val="clear" w:color="auto" w:fill="C6EFCE"/>
            <w:noWrap/>
          </w:tcPr>
          <w:p w14:paraId="1ACDF551" w14:textId="77777777" w:rsidR="00733DCA" w:rsidRPr="0074072E"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4.</w:t>
            </w:r>
          </w:p>
        </w:tc>
        <w:tc>
          <w:tcPr>
            <w:tcW w:w="907" w:type="dxa"/>
            <w:tcBorders>
              <w:top w:val="nil"/>
              <w:left w:val="nil"/>
              <w:bottom w:val="single" w:sz="4" w:space="0" w:color="auto"/>
              <w:right w:val="single" w:sz="4" w:space="0" w:color="auto"/>
            </w:tcBorders>
            <w:shd w:val="clear" w:color="auto" w:fill="C6EFCE"/>
            <w:noWrap/>
          </w:tcPr>
          <w:p w14:paraId="6A48E0E4" w14:textId="77777777" w:rsidR="00733DCA" w:rsidRPr="0074072E"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2023.</w:t>
            </w:r>
          </w:p>
        </w:tc>
        <w:tc>
          <w:tcPr>
            <w:tcW w:w="4127" w:type="dxa"/>
            <w:tcBorders>
              <w:top w:val="nil"/>
              <w:left w:val="nil"/>
              <w:bottom w:val="single" w:sz="4" w:space="0" w:color="auto"/>
              <w:right w:val="single" w:sz="4" w:space="0" w:color="auto"/>
            </w:tcBorders>
            <w:shd w:val="clear" w:color="auto" w:fill="C6EFCE"/>
            <w:noWrap/>
          </w:tcPr>
          <w:p w14:paraId="08E87B13" w14:textId="77777777" w:rsidR="00733DCA" w:rsidRDefault="00733DCA" w:rsidP="0001477B">
            <w:pPr>
              <w:spacing w:after="0" w:line="276" w:lineRule="auto"/>
              <w:rPr>
                <w:rFonts w:ascii="Calibri" w:eastAsia="Calibri" w:hAnsi="Calibri" w:cs="Arial"/>
                <w:noProof/>
                <w:color w:val="000000"/>
                <w:sz w:val="20"/>
                <w:szCs w:val="20"/>
              </w:rPr>
            </w:pPr>
            <w:r>
              <w:rPr>
                <w:rFonts w:ascii="Calibri" w:hAnsi="Calibri"/>
                <w:noProof/>
                <w:color w:val="000000"/>
                <w:sz w:val="20"/>
              </w:rPr>
              <w:t>Izmjenama Zakona o socijalnoj skrbi će se:</w:t>
            </w:r>
          </w:p>
          <w:p w14:paraId="59C63F20" w14:textId="208991CF" w:rsidR="00733DCA" w:rsidRDefault="00733DCA" w:rsidP="0001477B">
            <w:pPr>
              <w:spacing w:after="0" w:line="276" w:lineRule="auto"/>
              <w:rPr>
                <w:rFonts w:ascii="Calibri" w:eastAsia="Calibri" w:hAnsi="Calibri" w:cs="Arial"/>
                <w:noProof/>
                <w:color w:val="000000"/>
                <w:sz w:val="20"/>
                <w:szCs w:val="20"/>
              </w:rPr>
            </w:pPr>
            <w:r>
              <w:rPr>
                <w:rFonts w:ascii="Calibri" w:hAnsi="Calibri"/>
                <w:noProof/>
                <w:color w:val="000000"/>
                <w:sz w:val="20"/>
              </w:rPr>
              <w:t>– ukinuti zakonske odredbe kojima se nalaže povrat isplaćenih iznosa zajamčene minimalne naknade i upis zabilježbe tražbine na nekretnini koju korisnik ima u vlasništvu,</w:t>
            </w:r>
          </w:p>
          <w:p w14:paraId="25708372" w14:textId="77777777" w:rsidR="00733DCA" w:rsidRDefault="00733DCA" w:rsidP="0001477B">
            <w:pPr>
              <w:spacing w:after="0" w:line="276" w:lineRule="auto"/>
              <w:rPr>
                <w:rFonts w:ascii="Calibri" w:eastAsia="Calibri" w:hAnsi="Calibri" w:cs="Arial"/>
                <w:noProof/>
                <w:color w:val="000000"/>
                <w:sz w:val="20"/>
                <w:szCs w:val="20"/>
              </w:rPr>
            </w:pPr>
            <w:r>
              <w:rPr>
                <w:rFonts w:ascii="Calibri" w:hAnsi="Calibri"/>
                <w:noProof/>
                <w:color w:val="000000"/>
                <w:sz w:val="20"/>
              </w:rPr>
              <w:t xml:space="preserve">– smanjiti administrativno opterećenje korisnika zajamčene minimalne naknade uspostavom brisanja upisanih zabilježbi po sili zakona.  </w:t>
            </w:r>
          </w:p>
          <w:p w14:paraId="686F7791" w14:textId="77777777" w:rsidR="00733DCA" w:rsidRPr="0074072E" w:rsidRDefault="00733DCA" w:rsidP="00C67005">
            <w:pPr>
              <w:spacing w:after="0" w:line="276" w:lineRule="auto"/>
              <w:rPr>
                <w:rFonts w:ascii="Calibri" w:eastAsia="Calibri" w:hAnsi="Calibri" w:cs="Arial"/>
                <w:noProof/>
                <w:color w:val="000000"/>
                <w:sz w:val="20"/>
                <w:szCs w:val="20"/>
              </w:rPr>
            </w:pPr>
            <w:r>
              <w:rPr>
                <w:rFonts w:ascii="Calibri" w:hAnsi="Calibri"/>
                <w:noProof/>
                <w:color w:val="000000"/>
                <w:sz w:val="20"/>
              </w:rPr>
              <w:t>Vlada će donijeti Odluku o osnovici za izračun iznosa zajamčene minimalne naknade. Odluka će stupiti na snagu 1. siječnja 2024. i njome će se osnovica povećati na 150 EUR.</w:t>
            </w:r>
          </w:p>
        </w:tc>
      </w:tr>
      <w:tr w:rsidR="009926D5" w:rsidRPr="0074072E" w14:paraId="6ACFE69C" w14:textId="77777777" w:rsidTr="00E25E44">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2D18E057"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306</w:t>
            </w:r>
          </w:p>
        </w:tc>
        <w:tc>
          <w:tcPr>
            <w:tcW w:w="825" w:type="dxa"/>
            <w:tcBorders>
              <w:top w:val="nil"/>
              <w:left w:val="nil"/>
              <w:bottom w:val="single" w:sz="4" w:space="0" w:color="auto"/>
              <w:right w:val="single" w:sz="4" w:space="0" w:color="auto"/>
            </w:tcBorders>
            <w:shd w:val="clear" w:color="auto" w:fill="C6EFCE"/>
            <w:noWrap/>
          </w:tcPr>
          <w:p w14:paraId="2E633B2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R1</w:t>
            </w:r>
          </w:p>
        </w:tc>
        <w:tc>
          <w:tcPr>
            <w:tcW w:w="825" w:type="dxa"/>
            <w:tcBorders>
              <w:top w:val="nil"/>
              <w:left w:val="nil"/>
              <w:bottom w:val="single" w:sz="4" w:space="0" w:color="auto"/>
              <w:right w:val="single" w:sz="4" w:space="0" w:color="auto"/>
            </w:tcBorders>
            <w:shd w:val="clear" w:color="auto" w:fill="C6EFCE"/>
            <w:noWrap/>
          </w:tcPr>
          <w:p w14:paraId="2FE02C7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nil"/>
              <w:left w:val="nil"/>
              <w:bottom w:val="single" w:sz="4" w:space="0" w:color="auto"/>
              <w:right w:val="single" w:sz="4" w:space="0" w:color="auto"/>
            </w:tcBorders>
            <w:shd w:val="clear" w:color="auto" w:fill="C6EFCE"/>
            <w:noWrap/>
          </w:tcPr>
          <w:p w14:paraId="4615C185" w14:textId="0A7FB6F8"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 xml:space="preserve">Smanjenje stope rizika od siromaštva </w:t>
            </w:r>
          </w:p>
        </w:tc>
        <w:tc>
          <w:tcPr>
            <w:tcW w:w="2171" w:type="dxa"/>
            <w:tcBorders>
              <w:top w:val="nil"/>
              <w:left w:val="nil"/>
              <w:bottom w:val="single" w:sz="4" w:space="0" w:color="auto"/>
              <w:right w:val="single" w:sz="4" w:space="0" w:color="auto"/>
            </w:tcBorders>
            <w:shd w:val="clear" w:color="auto" w:fill="C6EFCE"/>
            <w:noWrap/>
          </w:tcPr>
          <w:p w14:paraId="4BADD652"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975" w:type="dxa"/>
            <w:tcBorders>
              <w:top w:val="nil"/>
              <w:left w:val="nil"/>
              <w:bottom w:val="single" w:sz="4" w:space="0" w:color="auto"/>
              <w:right w:val="single" w:sz="4" w:space="0" w:color="auto"/>
            </w:tcBorders>
            <w:shd w:val="clear" w:color="auto" w:fill="C6EFCE"/>
            <w:noWrap/>
          </w:tcPr>
          <w:p w14:paraId="6703DAC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Postotak</w:t>
            </w:r>
          </w:p>
        </w:tc>
        <w:tc>
          <w:tcPr>
            <w:tcW w:w="802" w:type="dxa"/>
            <w:tcBorders>
              <w:top w:val="nil"/>
              <w:left w:val="nil"/>
              <w:bottom w:val="single" w:sz="4" w:space="0" w:color="auto"/>
              <w:right w:val="single" w:sz="4" w:space="0" w:color="auto"/>
            </w:tcBorders>
            <w:shd w:val="clear" w:color="auto" w:fill="C6EFCE"/>
            <w:noWrap/>
          </w:tcPr>
          <w:p w14:paraId="19EE1AEE" w14:textId="644E9702"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18,3 (2019.)</w:t>
            </w:r>
          </w:p>
        </w:tc>
        <w:tc>
          <w:tcPr>
            <w:tcW w:w="874" w:type="dxa"/>
            <w:tcBorders>
              <w:top w:val="nil"/>
              <w:left w:val="nil"/>
              <w:bottom w:val="single" w:sz="4" w:space="0" w:color="auto"/>
              <w:right w:val="single" w:sz="4" w:space="0" w:color="auto"/>
            </w:tcBorders>
            <w:shd w:val="clear" w:color="auto" w:fill="C6EFCE"/>
            <w:noWrap/>
          </w:tcPr>
          <w:p w14:paraId="5E8BED3B" w14:textId="5A1A751E"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16,5</w:t>
            </w:r>
          </w:p>
        </w:tc>
        <w:tc>
          <w:tcPr>
            <w:tcW w:w="709" w:type="dxa"/>
            <w:tcBorders>
              <w:top w:val="nil"/>
              <w:left w:val="nil"/>
              <w:bottom w:val="single" w:sz="4" w:space="0" w:color="auto"/>
              <w:right w:val="single" w:sz="4" w:space="0" w:color="auto"/>
            </w:tcBorders>
            <w:shd w:val="clear" w:color="auto" w:fill="C6EFCE"/>
            <w:noWrap/>
          </w:tcPr>
          <w:p w14:paraId="3918E94B" w14:textId="0F053742"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07" w:type="dxa"/>
            <w:tcBorders>
              <w:top w:val="nil"/>
              <w:left w:val="nil"/>
              <w:bottom w:val="single" w:sz="4" w:space="0" w:color="auto"/>
              <w:right w:val="single" w:sz="4" w:space="0" w:color="auto"/>
            </w:tcBorders>
            <w:shd w:val="clear" w:color="auto" w:fill="C6EFCE"/>
            <w:noWrap/>
          </w:tcPr>
          <w:p w14:paraId="0BBABB90" w14:textId="3323C9CD"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27" w:type="dxa"/>
            <w:tcBorders>
              <w:top w:val="nil"/>
              <w:left w:val="nil"/>
              <w:bottom w:val="single" w:sz="4" w:space="0" w:color="auto"/>
              <w:right w:val="single" w:sz="4" w:space="0" w:color="auto"/>
            </w:tcBorders>
            <w:shd w:val="clear" w:color="auto" w:fill="C6EFCE"/>
            <w:noWrap/>
          </w:tcPr>
          <w:p w14:paraId="15BA4A92" w14:textId="77777777" w:rsidR="00733DCA" w:rsidRPr="0074072E" w:rsidRDefault="00733DCA" w:rsidP="0001477B">
            <w:pPr>
              <w:spacing w:after="200" w:line="276" w:lineRule="auto"/>
              <w:rPr>
                <w:rFonts w:ascii="Calibri" w:eastAsia="Calibri" w:hAnsi="Calibri" w:cs="Arial"/>
                <w:noProof/>
                <w:color w:val="000000" w:themeColor="text1"/>
                <w:sz w:val="20"/>
                <w:szCs w:val="20"/>
              </w:rPr>
            </w:pPr>
            <w:r>
              <w:rPr>
                <w:rFonts w:ascii="Calibri" w:hAnsi="Calibri"/>
                <w:noProof/>
                <w:color w:val="000000" w:themeColor="text1"/>
                <w:sz w:val="20"/>
              </w:rPr>
              <w:t xml:space="preserve"> Stopa rizika od siromaštva smanjit će se s 18,3 % na najmanje 16,5 %. </w:t>
            </w:r>
          </w:p>
          <w:p w14:paraId="26CB92EA" w14:textId="77777777" w:rsidR="00733DCA" w:rsidRPr="0074072E" w:rsidRDefault="00733DCA" w:rsidP="0001477B">
            <w:pPr>
              <w:spacing w:after="200" w:line="276" w:lineRule="auto"/>
              <w:rPr>
                <w:rFonts w:ascii="Calibri" w:eastAsia="Calibri" w:hAnsi="Calibri" w:cs="Arial"/>
                <w:noProof/>
                <w:color w:val="000000" w:themeColor="text1"/>
                <w:sz w:val="20"/>
                <w:szCs w:val="20"/>
                <w:lang w:val="en-GB"/>
              </w:rPr>
            </w:pPr>
          </w:p>
        </w:tc>
      </w:tr>
      <w:tr w:rsidR="009926D5" w:rsidRPr="0074072E" w14:paraId="66FACE18" w14:textId="77777777" w:rsidTr="00E25E44">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44CED31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307</w:t>
            </w:r>
          </w:p>
        </w:tc>
        <w:tc>
          <w:tcPr>
            <w:tcW w:w="825" w:type="dxa"/>
            <w:tcBorders>
              <w:top w:val="nil"/>
              <w:left w:val="nil"/>
              <w:bottom w:val="single" w:sz="4" w:space="0" w:color="auto"/>
              <w:right w:val="single" w:sz="4" w:space="0" w:color="auto"/>
            </w:tcBorders>
            <w:shd w:val="clear" w:color="auto" w:fill="C6EFCE"/>
            <w:noWrap/>
          </w:tcPr>
          <w:p w14:paraId="4D846907"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R1-I1</w:t>
            </w:r>
          </w:p>
        </w:tc>
        <w:tc>
          <w:tcPr>
            <w:tcW w:w="825" w:type="dxa"/>
            <w:tcBorders>
              <w:top w:val="nil"/>
              <w:left w:val="nil"/>
              <w:bottom w:val="single" w:sz="4" w:space="0" w:color="auto"/>
              <w:right w:val="single" w:sz="4" w:space="0" w:color="auto"/>
            </w:tcBorders>
            <w:shd w:val="clear" w:color="auto" w:fill="C6EFCE"/>
            <w:noWrap/>
          </w:tcPr>
          <w:p w14:paraId="6BBE054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nil"/>
              <w:left w:val="nil"/>
              <w:bottom w:val="single" w:sz="4" w:space="0" w:color="auto"/>
              <w:right w:val="single" w:sz="4" w:space="0" w:color="auto"/>
            </w:tcBorders>
            <w:shd w:val="clear" w:color="auto" w:fill="C6EFCE"/>
            <w:noWrap/>
          </w:tcPr>
          <w:p w14:paraId="73DEAABF"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Pristup jedinica lokalne uprave podacima o socijalnim naknadama za svakog pojedinog korisnika</w:t>
            </w:r>
          </w:p>
        </w:tc>
        <w:tc>
          <w:tcPr>
            <w:tcW w:w="2171" w:type="dxa"/>
            <w:tcBorders>
              <w:top w:val="nil"/>
              <w:left w:val="nil"/>
              <w:bottom w:val="single" w:sz="4" w:space="0" w:color="auto"/>
              <w:right w:val="single" w:sz="4" w:space="0" w:color="auto"/>
            </w:tcBorders>
            <w:shd w:val="clear" w:color="auto" w:fill="C6EFCE"/>
            <w:noWrap/>
          </w:tcPr>
          <w:p w14:paraId="404955C0"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975" w:type="dxa"/>
            <w:tcBorders>
              <w:top w:val="nil"/>
              <w:left w:val="nil"/>
              <w:bottom w:val="single" w:sz="4" w:space="0" w:color="auto"/>
              <w:right w:val="single" w:sz="4" w:space="0" w:color="auto"/>
            </w:tcBorders>
            <w:shd w:val="clear" w:color="auto" w:fill="C6EFCE"/>
            <w:noWrap/>
          </w:tcPr>
          <w:p w14:paraId="586B8409"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Postotak</w:t>
            </w:r>
          </w:p>
        </w:tc>
        <w:tc>
          <w:tcPr>
            <w:tcW w:w="802" w:type="dxa"/>
            <w:tcBorders>
              <w:top w:val="nil"/>
              <w:left w:val="nil"/>
              <w:bottom w:val="single" w:sz="4" w:space="0" w:color="auto"/>
              <w:right w:val="single" w:sz="4" w:space="0" w:color="auto"/>
            </w:tcBorders>
            <w:shd w:val="clear" w:color="auto" w:fill="C6EFCE"/>
            <w:noWrap/>
          </w:tcPr>
          <w:p w14:paraId="2FB52C94"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74" w:type="dxa"/>
            <w:tcBorders>
              <w:top w:val="nil"/>
              <w:left w:val="nil"/>
              <w:bottom w:val="single" w:sz="4" w:space="0" w:color="auto"/>
              <w:right w:val="single" w:sz="4" w:space="0" w:color="auto"/>
            </w:tcBorders>
            <w:shd w:val="clear" w:color="auto" w:fill="C6EFCE"/>
            <w:noWrap/>
          </w:tcPr>
          <w:p w14:paraId="547C0567"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nil"/>
              <w:left w:val="nil"/>
              <w:bottom w:val="single" w:sz="4" w:space="0" w:color="auto"/>
              <w:right w:val="single" w:sz="4" w:space="0" w:color="auto"/>
            </w:tcBorders>
            <w:shd w:val="clear" w:color="auto" w:fill="C6EFCE"/>
            <w:noWrap/>
          </w:tcPr>
          <w:p w14:paraId="34E81FE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nil"/>
              <w:left w:val="nil"/>
              <w:bottom w:val="single" w:sz="4" w:space="0" w:color="auto"/>
              <w:right w:val="single" w:sz="4" w:space="0" w:color="auto"/>
            </w:tcBorders>
            <w:shd w:val="clear" w:color="auto" w:fill="C6EFCE"/>
            <w:noWrap/>
          </w:tcPr>
          <w:p w14:paraId="481BBDF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127" w:type="dxa"/>
            <w:tcBorders>
              <w:top w:val="nil"/>
              <w:left w:val="nil"/>
              <w:bottom w:val="single" w:sz="4" w:space="0" w:color="auto"/>
              <w:right w:val="single" w:sz="4" w:space="0" w:color="auto"/>
            </w:tcBorders>
            <w:shd w:val="clear" w:color="auto" w:fill="C6EFCE"/>
            <w:noWrap/>
          </w:tcPr>
          <w:p w14:paraId="6B52EA7E"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Sve jedinice lokalne uprave imat će funkcionalni pristup svim dostupnim podacima o socijalnim naknadama za svakog pojedinačnog korisnika. U suradnji s Poreznom upravom, dohvaćanje podataka iz Evidencije o dohocima i primicima (EDIP) i proširenje Izvješća o bruto primicima, porezu na dohodak i prirezu te doprinosima za obvezna osiguranja (JOPPD) o dijelu sustava socijalne zaštite koji se odnosi na socijalne naknade omogućit će se uvid u podatke o socijalnim naknadama za svakog pojedinačnog korisnika za sve lokalne i regionalne jedinice, kao i za usluge na nacionalnoj razini. </w:t>
            </w:r>
          </w:p>
        </w:tc>
      </w:tr>
      <w:tr w:rsidR="009926D5" w:rsidRPr="0074072E" w14:paraId="7D5260BD" w14:textId="77777777" w:rsidTr="00E25E44">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3EC1655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308</w:t>
            </w:r>
          </w:p>
        </w:tc>
        <w:tc>
          <w:tcPr>
            <w:tcW w:w="825" w:type="dxa"/>
            <w:tcBorders>
              <w:top w:val="nil"/>
              <w:left w:val="nil"/>
              <w:bottom w:val="single" w:sz="4" w:space="0" w:color="auto"/>
              <w:right w:val="single" w:sz="4" w:space="0" w:color="auto"/>
            </w:tcBorders>
            <w:shd w:val="clear" w:color="auto" w:fill="C6EFCE"/>
            <w:noWrap/>
          </w:tcPr>
          <w:p w14:paraId="1C5935F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R1-I2</w:t>
            </w:r>
          </w:p>
        </w:tc>
        <w:tc>
          <w:tcPr>
            <w:tcW w:w="825" w:type="dxa"/>
            <w:tcBorders>
              <w:top w:val="nil"/>
              <w:left w:val="nil"/>
              <w:bottom w:val="single" w:sz="4" w:space="0" w:color="auto"/>
              <w:right w:val="single" w:sz="4" w:space="0" w:color="auto"/>
            </w:tcBorders>
            <w:shd w:val="clear" w:color="auto" w:fill="C6EFCE"/>
            <w:noWrap/>
          </w:tcPr>
          <w:p w14:paraId="2577EE2B"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39" w:type="dxa"/>
            <w:tcBorders>
              <w:top w:val="nil"/>
              <w:left w:val="nil"/>
              <w:bottom w:val="single" w:sz="4" w:space="0" w:color="auto"/>
              <w:right w:val="single" w:sz="4" w:space="0" w:color="auto"/>
            </w:tcBorders>
            <w:shd w:val="clear" w:color="auto" w:fill="C6EFCE"/>
            <w:noWrap/>
          </w:tcPr>
          <w:p w14:paraId="04F8AC42"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Digitalna dostupnost informacija o naknadama iz sustava socijalne zaštite na nacionalnoj razini</w:t>
            </w:r>
          </w:p>
        </w:tc>
        <w:tc>
          <w:tcPr>
            <w:tcW w:w="2171" w:type="dxa"/>
            <w:tcBorders>
              <w:top w:val="nil"/>
              <w:left w:val="nil"/>
              <w:bottom w:val="single" w:sz="4" w:space="0" w:color="auto"/>
              <w:right w:val="single" w:sz="4" w:space="0" w:color="auto"/>
            </w:tcBorders>
            <w:shd w:val="clear" w:color="auto" w:fill="C6EFCE"/>
            <w:noWrap/>
          </w:tcPr>
          <w:p w14:paraId="52F52223"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Razvijena i funkcionalna internetska aplikacija za pružanje informacija o socijalnim naknadama s primijenjenim kriterijima i uvjetima za dobivanje 12 vrsta socijalnih naknada u sustavu socijalne zaštite na nacionalnoj razini</w:t>
            </w:r>
          </w:p>
        </w:tc>
        <w:tc>
          <w:tcPr>
            <w:tcW w:w="975" w:type="dxa"/>
            <w:tcBorders>
              <w:top w:val="nil"/>
              <w:left w:val="nil"/>
              <w:bottom w:val="single" w:sz="4" w:space="0" w:color="auto"/>
              <w:right w:val="single" w:sz="4" w:space="0" w:color="auto"/>
            </w:tcBorders>
            <w:shd w:val="clear" w:color="auto" w:fill="C6EFCE"/>
            <w:noWrap/>
          </w:tcPr>
          <w:p w14:paraId="212B817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02" w:type="dxa"/>
            <w:tcBorders>
              <w:top w:val="nil"/>
              <w:left w:val="nil"/>
              <w:bottom w:val="single" w:sz="4" w:space="0" w:color="auto"/>
              <w:right w:val="single" w:sz="4" w:space="0" w:color="auto"/>
            </w:tcBorders>
            <w:shd w:val="clear" w:color="auto" w:fill="C6EFCE"/>
            <w:noWrap/>
          </w:tcPr>
          <w:p w14:paraId="1D12898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74" w:type="dxa"/>
            <w:tcBorders>
              <w:top w:val="nil"/>
              <w:left w:val="nil"/>
              <w:bottom w:val="single" w:sz="4" w:space="0" w:color="auto"/>
              <w:right w:val="single" w:sz="4" w:space="0" w:color="auto"/>
            </w:tcBorders>
            <w:shd w:val="clear" w:color="auto" w:fill="C6EFCE"/>
            <w:noWrap/>
          </w:tcPr>
          <w:p w14:paraId="6B32A49B"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nil"/>
              <w:left w:val="nil"/>
              <w:bottom w:val="single" w:sz="4" w:space="0" w:color="auto"/>
              <w:right w:val="single" w:sz="4" w:space="0" w:color="auto"/>
            </w:tcBorders>
            <w:shd w:val="clear" w:color="auto" w:fill="C6EFCE"/>
            <w:noWrap/>
          </w:tcPr>
          <w:p w14:paraId="10E1C0BA"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nil"/>
              <w:left w:val="nil"/>
              <w:bottom w:val="single" w:sz="4" w:space="0" w:color="auto"/>
              <w:right w:val="single" w:sz="4" w:space="0" w:color="auto"/>
            </w:tcBorders>
            <w:shd w:val="clear" w:color="auto" w:fill="C6EFCE"/>
            <w:noWrap/>
          </w:tcPr>
          <w:p w14:paraId="3FAB6122"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127" w:type="dxa"/>
            <w:tcBorders>
              <w:top w:val="nil"/>
              <w:left w:val="nil"/>
              <w:bottom w:val="single" w:sz="4" w:space="0" w:color="auto"/>
              <w:right w:val="single" w:sz="4" w:space="0" w:color="auto"/>
            </w:tcBorders>
            <w:shd w:val="clear" w:color="auto" w:fill="C6EFCE"/>
            <w:noWrap/>
          </w:tcPr>
          <w:p w14:paraId="2CBA2CB8"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 temelju projektne dokumentacije i tehničke specifikacije razvit će se i staviti na raspolaganje javnosti internetska aplikacija dostupna svim građanima.  Aplikacija će omogućiti pristup informacijama o svim postojećim socijalnim naknadama iz sustava socijalne zaštite i mogućnosti njihova ostvarivanja na nacionalnoj razini. U aplikaciji će biti dostupni kriteriji i uvjeti za dobivanje 12 vrsta socijalnih naknada iz sustava socijalne zaštite na nacionalnoj razini.</w:t>
            </w:r>
          </w:p>
        </w:tc>
      </w:tr>
      <w:tr w:rsidR="009926D5" w:rsidRPr="0074072E" w14:paraId="36F44259"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C5620F4"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309</w:t>
            </w:r>
          </w:p>
        </w:tc>
        <w:tc>
          <w:tcPr>
            <w:tcW w:w="825" w:type="dxa"/>
            <w:tcBorders>
              <w:top w:val="single" w:sz="4" w:space="0" w:color="auto"/>
              <w:left w:val="nil"/>
              <w:bottom w:val="single" w:sz="4" w:space="0" w:color="auto"/>
              <w:right w:val="single" w:sz="4" w:space="0" w:color="auto"/>
            </w:tcBorders>
            <w:shd w:val="clear" w:color="auto" w:fill="C6EFCE"/>
            <w:noWrap/>
          </w:tcPr>
          <w:p w14:paraId="6F3B18D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R2</w:t>
            </w:r>
          </w:p>
        </w:tc>
        <w:tc>
          <w:tcPr>
            <w:tcW w:w="825" w:type="dxa"/>
            <w:tcBorders>
              <w:top w:val="single" w:sz="4" w:space="0" w:color="auto"/>
              <w:left w:val="nil"/>
              <w:bottom w:val="single" w:sz="4" w:space="0" w:color="auto"/>
              <w:right w:val="single" w:sz="4" w:space="0" w:color="auto"/>
            </w:tcBorders>
            <w:shd w:val="clear" w:color="auto" w:fill="C6EFCE"/>
            <w:noWrap/>
          </w:tcPr>
          <w:p w14:paraId="4935C98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single" w:sz="4" w:space="0" w:color="auto"/>
              <w:left w:val="nil"/>
              <w:bottom w:val="single" w:sz="4" w:space="0" w:color="auto"/>
              <w:right w:val="single" w:sz="4" w:space="0" w:color="auto"/>
            </w:tcBorders>
            <w:shd w:val="clear" w:color="auto" w:fill="C6EFCE"/>
            <w:noWrap/>
          </w:tcPr>
          <w:p w14:paraId="2F81019B"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Osposobljavanje stručnjaka za socijalno mentorstvo </w:t>
            </w:r>
          </w:p>
        </w:tc>
        <w:tc>
          <w:tcPr>
            <w:tcW w:w="2171" w:type="dxa"/>
            <w:tcBorders>
              <w:top w:val="single" w:sz="4" w:space="0" w:color="auto"/>
              <w:left w:val="nil"/>
              <w:bottom w:val="single" w:sz="4" w:space="0" w:color="auto"/>
              <w:right w:val="single" w:sz="4" w:space="0" w:color="auto"/>
            </w:tcBorders>
            <w:shd w:val="clear" w:color="auto" w:fill="C6EFCE"/>
            <w:noWrap/>
          </w:tcPr>
          <w:p w14:paraId="03276EAE"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975" w:type="dxa"/>
            <w:tcBorders>
              <w:top w:val="single" w:sz="4" w:space="0" w:color="auto"/>
              <w:left w:val="nil"/>
              <w:bottom w:val="single" w:sz="4" w:space="0" w:color="auto"/>
              <w:right w:val="single" w:sz="4" w:space="0" w:color="auto"/>
            </w:tcBorders>
            <w:shd w:val="clear" w:color="auto" w:fill="C6EFCE"/>
            <w:noWrap/>
          </w:tcPr>
          <w:p w14:paraId="1ACDB4B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02" w:type="dxa"/>
            <w:tcBorders>
              <w:top w:val="single" w:sz="4" w:space="0" w:color="auto"/>
              <w:left w:val="nil"/>
              <w:bottom w:val="single" w:sz="4" w:space="0" w:color="auto"/>
              <w:right w:val="single" w:sz="4" w:space="0" w:color="auto"/>
            </w:tcBorders>
            <w:shd w:val="clear" w:color="auto" w:fill="C6EFCE"/>
            <w:noWrap/>
          </w:tcPr>
          <w:p w14:paraId="609BCB52"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74" w:type="dxa"/>
            <w:tcBorders>
              <w:top w:val="single" w:sz="4" w:space="0" w:color="auto"/>
              <w:left w:val="nil"/>
              <w:bottom w:val="single" w:sz="4" w:space="0" w:color="auto"/>
              <w:right w:val="single" w:sz="4" w:space="0" w:color="auto"/>
            </w:tcBorders>
            <w:shd w:val="clear" w:color="auto" w:fill="C6EFCE"/>
            <w:noWrap/>
          </w:tcPr>
          <w:p w14:paraId="53D3E1A7"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220</w:t>
            </w:r>
          </w:p>
        </w:tc>
        <w:tc>
          <w:tcPr>
            <w:tcW w:w="709" w:type="dxa"/>
            <w:tcBorders>
              <w:top w:val="single" w:sz="4" w:space="0" w:color="auto"/>
              <w:left w:val="nil"/>
              <w:bottom w:val="single" w:sz="4" w:space="0" w:color="auto"/>
              <w:right w:val="single" w:sz="4" w:space="0" w:color="auto"/>
            </w:tcBorders>
            <w:shd w:val="clear" w:color="auto" w:fill="C6EFCE"/>
            <w:noWrap/>
          </w:tcPr>
          <w:p w14:paraId="0284ADD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07" w:type="dxa"/>
            <w:tcBorders>
              <w:top w:val="single" w:sz="4" w:space="0" w:color="auto"/>
              <w:left w:val="nil"/>
              <w:bottom w:val="single" w:sz="4" w:space="0" w:color="auto"/>
              <w:right w:val="single" w:sz="4" w:space="0" w:color="auto"/>
            </w:tcBorders>
            <w:shd w:val="clear" w:color="auto" w:fill="C6EFCE"/>
            <w:noWrap/>
          </w:tcPr>
          <w:p w14:paraId="370DF9B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27" w:type="dxa"/>
            <w:tcBorders>
              <w:top w:val="single" w:sz="4" w:space="0" w:color="auto"/>
              <w:left w:val="nil"/>
              <w:bottom w:val="single" w:sz="4" w:space="0" w:color="auto"/>
              <w:right w:val="single" w:sz="4" w:space="0" w:color="auto"/>
            </w:tcBorders>
            <w:shd w:val="clear" w:color="auto" w:fill="C6EFCE"/>
            <w:noWrap/>
          </w:tcPr>
          <w:p w14:paraId="2E315E1D"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Osposobljavanje socijalnih mentora provest će se u okviru 15 modula, a završit će ga 220 stručnjaka. Ta će usluga slijediti načela struke socijalnog rada i dopunjavati već postojeće aktivnosti centara za socijalnu skrb. Zadovoljavat će potrebu za suradnjom s drugim pružateljima socijalnih usluga u zajednici i potrebu za aktivnim uključivanjem korisnika sustava socijalne skrbi u prevladavanje njihove socijalne isključenosti.</w:t>
            </w:r>
          </w:p>
        </w:tc>
      </w:tr>
      <w:tr w:rsidR="009926D5" w:rsidRPr="0074072E" w14:paraId="5AC5E3C0"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3A2129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310</w:t>
            </w:r>
          </w:p>
        </w:tc>
        <w:tc>
          <w:tcPr>
            <w:tcW w:w="825" w:type="dxa"/>
            <w:tcBorders>
              <w:top w:val="single" w:sz="4" w:space="0" w:color="auto"/>
              <w:left w:val="nil"/>
              <w:bottom w:val="single" w:sz="4" w:space="0" w:color="auto"/>
              <w:right w:val="single" w:sz="4" w:space="0" w:color="auto"/>
            </w:tcBorders>
            <w:shd w:val="clear" w:color="auto" w:fill="C6EFCE"/>
            <w:noWrap/>
          </w:tcPr>
          <w:p w14:paraId="0BAF346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R2</w:t>
            </w:r>
          </w:p>
        </w:tc>
        <w:tc>
          <w:tcPr>
            <w:tcW w:w="825" w:type="dxa"/>
            <w:tcBorders>
              <w:top w:val="single" w:sz="4" w:space="0" w:color="auto"/>
              <w:left w:val="nil"/>
              <w:bottom w:val="single" w:sz="4" w:space="0" w:color="auto"/>
              <w:right w:val="single" w:sz="4" w:space="0" w:color="auto"/>
            </w:tcBorders>
            <w:shd w:val="clear" w:color="auto" w:fill="C6EFCE"/>
            <w:noWrap/>
          </w:tcPr>
          <w:p w14:paraId="5B79D9DC"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single" w:sz="4" w:space="0" w:color="auto"/>
              <w:left w:val="nil"/>
              <w:bottom w:val="single" w:sz="4" w:space="0" w:color="auto"/>
              <w:right w:val="single" w:sz="4" w:space="0" w:color="auto"/>
            </w:tcBorders>
            <w:shd w:val="clear" w:color="auto" w:fill="C6EFCE"/>
            <w:noWrap/>
          </w:tcPr>
          <w:p w14:paraId="6CA7BE96"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Zapošljavanje stručnjaka za socijalno mentorstvo </w:t>
            </w:r>
          </w:p>
        </w:tc>
        <w:tc>
          <w:tcPr>
            <w:tcW w:w="2171" w:type="dxa"/>
            <w:tcBorders>
              <w:top w:val="single" w:sz="4" w:space="0" w:color="auto"/>
              <w:left w:val="nil"/>
              <w:bottom w:val="single" w:sz="4" w:space="0" w:color="auto"/>
              <w:right w:val="single" w:sz="4" w:space="0" w:color="auto"/>
            </w:tcBorders>
            <w:shd w:val="clear" w:color="auto" w:fill="C6EFCE"/>
            <w:noWrap/>
          </w:tcPr>
          <w:p w14:paraId="7A476F62"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2188FC3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02" w:type="dxa"/>
            <w:tcBorders>
              <w:top w:val="single" w:sz="4" w:space="0" w:color="auto"/>
              <w:left w:val="nil"/>
              <w:bottom w:val="single" w:sz="4" w:space="0" w:color="auto"/>
              <w:right w:val="single" w:sz="4" w:space="0" w:color="auto"/>
            </w:tcBorders>
            <w:shd w:val="clear" w:color="auto" w:fill="C6EFCE"/>
            <w:noWrap/>
          </w:tcPr>
          <w:p w14:paraId="1F4075F7"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74" w:type="dxa"/>
            <w:tcBorders>
              <w:top w:val="single" w:sz="4" w:space="0" w:color="auto"/>
              <w:left w:val="nil"/>
              <w:bottom w:val="single" w:sz="4" w:space="0" w:color="auto"/>
              <w:right w:val="single" w:sz="4" w:space="0" w:color="auto"/>
            </w:tcBorders>
            <w:shd w:val="clear" w:color="auto" w:fill="C6EFCE"/>
            <w:noWrap/>
          </w:tcPr>
          <w:p w14:paraId="06FA501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220</w:t>
            </w:r>
          </w:p>
        </w:tc>
        <w:tc>
          <w:tcPr>
            <w:tcW w:w="709" w:type="dxa"/>
            <w:tcBorders>
              <w:top w:val="single" w:sz="4" w:space="0" w:color="auto"/>
              <w:left w:val="nil"/>
              <w:bottom w:val="single" w:sz="4" w:space="0" w:color="auto"/>
              <w:right w:val="single" w:sz="4" w:space="0" w:color="auto"/>
            </w:tcBorders>
            <w:shd w:val="clear" w:color="auto" w:fill="C6EFCE"/>
            <w:noWrap/>
          </w:tcPr>
          <w:p w14:paraId="4BE011AC"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single" w:sz="4" w:space="0" w:color="auto"/>
              <w:left w:val="nil"/>
              <w:bottom w:val="single" w:sz="4" w:space="0" w:color="auto"/>
              <w:right w:val="single" w:sz="4" w:space="0" w:color="auto"/>
            </w:tcBorders>
            <w:shd w:val="clear" w:color="auto" w:fill="C6EFCE"/>
            <w:noWrap/>
          </w:tcPr>
          <w:p w14:paraId="6E12C29B"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127" w:type="dxa"/>
            <w:tcBorders>
              <w:top w:val="single" w:sz="4" w:space="0" w:color="auto"/>
              <w:left w:val="nil"/>
              <w:bottom w:val="single" w:sz="4" w:space="0" w:color="auto"/>
              <w:right w:val="single" w:sz="4" w:space="0" w:color="auto"/>
            </w:tcBorders>
            <w:shd w:val="clear" w:color="auto" w:fill="C6EFCE"/>
            <w:noWrap/>
          </w:tcPr>
          <w:p w14:paraId="60C0AD51"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Zapošljavanje 220 stručnjaka za socijalno mentorstvo koji su završili osposobljavanje o socijalnom mentorstvu preduvjet je za uvođenje usluge socijalnog mentorstva za skupine korisnika u nepovoljnom položaju i socijalno isključene skupine korisnika koji će dobiti individualizirani pristup i pomoć u obliku razvoja vještina potrebnih za aktivno uključivanje na tržište rada i život u zajednici. </w:t>
            </w:r>
          </w:p>
        </w:tc>
      </w:tr>
      <w:tr w:rsidR="009926D5" w:rsidRPr="0074072E" w14:paraId="49CA63D4"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74BF291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311</w:t>
            </w:r>
          </w:p>
        </w:tc>
        <w:tc>
          <w:tcPr>
            <w:tcW w:w="825" w:type="dxa"/>
            <w:tcBorders>
              <w:top w:val="single" w:sz="4" w:space="0" w:color="auto"/>
              <w:left w:val="nil"/>
              <w:bottom w:val="single" w:sz="4" w:space="0" w:color="auto"/>
              <w:right w:val="single" w:sz="4" w:space="0" w:color="auto"/>
            </w:tcBorders>
            <w:shd w:val="clear" w:color="auto" w:fill="C6EFCE"/>
            <w:noWrap/>
          </w:tcPr>
          <w:p w14:paraId="6498709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R2-I1</w:t>
            </w:r>
          </w:p>
        </w:tc>
        <w:tc>
          <w:tcPr>
            <w:tcW w:w="825" w:type="dxa"/>
            <w:tcBorders>
              <w:top w:val="single" w:sz="4" w:space="0" w:color="auto"/>
              <w:left w:val="nil"/>
              <w:bottom w:val="single" w:sz="4" w:space="0" w:color="auto"/>
              <w:right w:val="single" w:sz="4" w:space="0" w:color="auto"/>
            </w:tcBorders>
            <w:shd w:val="clear" w:color="auto" w:fill="C6EFCE"/>
            <w:noWrap/>
          </w:tcPr>
          <w:p w14:paraId="4723EF80"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single" w:sz="4" w:space="0" w:color="auto"/>
              <w:left w:val="nil"/>
              <w:bottom w:val="single" w:sz="4" w:space="0" w:color="auto"/>
              <w:right w:val="single" w:sz="4" w:space="0" w:color="auto"/>
            </w:tcBorders>
            <w:shd w:val="clear" w:color="auto" w:fill="C6EFCE"/>
            <w:noWrap/>
          </w:tcPr>
          <w:p w14:paraId="48A7E681"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Usluge socijalnog mentorstva koje se pružaju korisnicima</w:t>
            </w:r>
          </w:p>
        </w:tc>
        <w:tc>
          <w:tcPr>
            <w:tcW w:w="2171" w:type="dxa"/>
            <w:tcBorders>
              <w:top w:val="single" w:sz="4" w:space="0" w:color="auto"/>
              <w:left w:val="nil"/>
              <w:bottom w:val="single" w:sz="4" w:space="0" w:color="auto"/>
              <w:right w:val="single" w:sz="4" w:space="0" w:color="auto"/>
            </w:tcBorders>
            <w:shd w:val="clear" w:color="auto" w:fill="C6EFCE"/>
            <w:noWrap/>
          </w:tcPr>
          <w:p w14:paraId="6C42B701"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5673A0E4"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02" w:type="dxa"/>
            <w:tcBorders>
              <w:top w:val="single" w:sz="4" w:space="0" w:color="auto"/>
              <w:left w:val="nil"/>
              <w:bottom w:val="single" w:sz="4" w:space="0" w:color="auto"/>
              <w:right w:val="single" w:sz="4" w:space="0" w:color="auto"/>
            </w:tcBorders>
            <w:shd w:val="clear" w:color="auto" w:fill="C6EFCE"/>
            <w:noWrap/>
          </w:tcPr>
          <w:p w14:paraId="2CF02AAA"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74" w:type="dxa"/>
            <w:tcBorders>
              <w:top w:val="single" w:sz="4" w:space="0" w:color="auto"/>
              <w:left w:val="nil"/>
              <w:bottom w:val="single" w:sz="4" w:space="0" w:color="auto"/>
              <w:right w:val="single" w:sz="4" w:space="0" w:color="auto"/>
            </w:tcBorders>
            <w:shd w:val="clear" w:color="auto" w:fill="C6EFCE"/>
            <w:noWrap/>
          </w:tcPr>
          <w:p w14:paraId="14A17B7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30 000</w:t>
            </w:r>
          </w:p>
        </w:tc>
        <w:tc>
          <w:tcPr>
            <w:tcW w:w="709" w:type="dxa"/>
            <w:tcBorders>
              <w:top w:val="single" w:sz="4" w:space="0" w:color="auto"/>
              <w:left w:val="nil"/>
              <w:bottom w:val="single" w:sz="4" w:space="0" w:color="auto"/>
              <w:right w:val="single" w:sz="4" w:space="0" w:color="auto"/>
            </w:tcBorders>
            <w:shd w:val="clear" w:color="auto" w:fill="C6EFCE"/>
            <w:noWrap/>
          </w:tcPr>
          <w:p w14:paraId="1209AD64"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single" w:sz="4" w:space="0" w:color="auto"/>
              <w:left w:val="nil"/>
              <w:bottom w:val="single" w:sz="4" w:space="0" w:color="auto"/>
              <w:right w:val="single" w:sz="4" w:space="0" w:color="auto"/>
            </w:tcBorders>
            <w:shd w:val="clear" w:color="auto" w:fill="C6EFCE"/>
            <w:noWrap/>
          </w:tcPr>
          <w:p w14:paraId="184D9B2A"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127" w:type="dxa"/>
            <w:tcBorders>
              <w:top w:val="single" w:sz="4" w:space="0" w:color="auto"/>
              <w:left w:val="nil"/>
              <w:bottom w:val="single" w:sz="4" w:space="0" w:color="auto"/>
              <w:right w:val="single" w:sz="4" w:space="0" w:color="auto"/>
            </w:tcBorders>
            <w:shd w:val="clear" w:color="auto" w:fill="C6EFCE"/>
            <w:noWrap/>
          </w:tcPr>
          <w:p w14:paraId="744658D2"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Osnivanje službe socijalnog mentorstva doprinijet će zapošljavanju dugotrajno nezaposlenih osoba. Usluge socijalnog mentorstva postupno će se uvesti u svih 118 centara za socijalnu skrb, uključujući njihove podružnice, te će konačnici od tu uslugu aktivno koristiti najmanje 30 000 korisnika.</w:t>
            </w:r>
          </w:p>
        </w:tc>
      </w:tr>
      <w:tr w:rsidR="009926D5" w:rsidRPr="0074072E" w14:paraId="254EE52F"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74649973"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312</w:t>
            </w:r>
          </w:p>
        </w:tc>
        <w:tc>
          <w:tcPr>
            <w:tcW w:w="825" w:type="dxa"/>
            <w:tcBorders>
              <w:top w:val="single" w:sz="4" w:space="0" w:color="auto"/>
              <w:left w:val="nil"/>
              <w:bottom w:val="single" w:sz="4" w:space="0" w:color="auto"/>
              <w:right w:val="single" w:sz="4" w:space="0" w:color="auto"/>
            </w:tcBorders>
            <w:shd w:val="clear" w:color="auto" w:fill="C6EFCE"/>
            <w:noWrap/>
          </w:tcPr>
          <w:p w14:paraId="525FBE0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R3</w:t>
            </w:r>
          </w:p>
        </w:tc>
        <w:tc>
          <w:tcPr>
            <w:tcW w:w="825" w:type="dxa"/>
            <w:tcBorders>
              <w:top w:val="single" w:sz="4" w:space="0" w:color="auto"/>
              <w:left w:val="nil"/>
              <w:bottom w:val="single" w:sz="4" w:space="0" w:color="auto"/>
              <w:right w:val="single" w:sz="4" w:space="0" w:color="auto"/>
            </w:tcBorders>
            <w:shd w:val="clear" w:color="auto" w:fill="C6EFCE"/>
            <w:noWrap/>
          </w:tcPr>
          <w:p w14:paraId="3E09BFBA"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39" w:type="dxa"/>
            <w:tcBorders>
              <w:top w:val="single" w:sz="4" w:space="0" w:color="auto"/>
              <w:left w:val="nil"/>
              <w:bottom w:val="single" w:sz="4" w:space="0" w:color="auto"/>
              <w:right w:val="single" w:sz="4" w:space="0" w:color="auto"/>
            </w:tcBorders>
            <w:shd w:val="clear" w:color="auto" w:fill="C6EFCE"/>
            <w:noWrap/>
          </w:tcPr>
          <w:p w14:paraId="170D0A5B"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Nacionalnog plana razvoja socijalnih usluga za razdoblje 2021.–2027.</w:t>
            </w:r>
          </w:p>
        </w:tc>
        <w:tc>
          <w:tcPr>
            <w:tcW w:w="2171" w:type="dxa"/>
            <w:tcBorders>
              <w:top w:val="single" w:sz="4" w:space="0" w:color="auto"/>
              <w:left w:val="nil"/>
              <w:bottom w:val="single" w:sz="4" w:space="0" w:color="auto"/>
              <w:right w:val="single" w:sz="4" w:space="0" w:color="auto"/>
            </w:tcBorders>
            <w:shd w:val="clear" w:color="auto" w:fill="C6EFCE"/>
            <w:noWrap/>
          </w:tcPr>
          <w:p w14:paraId="6A52F8FB"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Nacionalnog plana razvoja socijalnih usluga za razdoblje 2021.–2027.</w:t>
            </w:r>
          </w:p>
        </w:tc>
        <w:tc>
          <w:tcPr>
            <w:tcW w:w="975" w:type="dxa"/>
            <w:tcBorders>
              <w:top w:val="single" w:sz="4" w:space="0" w:color="auto"/>
              <w:left w:val="nil"/>
              <w:bottom w:val="single" w:sz="4" w:space="0" w:color="auto"/>
              <w:right w:val="single" w:sz="4" w:space="0" w:color="auto"/>
            </w:tcBorders>
            <w:shd w:val="clear" w:color="auto" w:fill="C6EFCE"/>
            <w:noWrap/>
          </w:tcPr>
          <w:p w14:paraId="0C26B0AB"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02" w:type="dxa"/>
            <w:tcBorders>
              <w:top w:val="single" w:sz="4" w:space="0" w:color="auto"/>
              <w:left w:val="nil"/>
              <w:bottom w:val="single" w:sz="4" w:space="0" w:color="auto"/>
              <w:right w:val="single" w:sz="4" w:space="0" w:color="auto"/>
            </w:tcBorders>
            <w:shd w:val="clear" w:color="auto" w:fill="C6EFCE"/>
            <w:noWrap/>
          </w:tcPr>
          <w:p w14:paraId="435450C9"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74" w:type="dxa"/>
            <w:tcBorders>
              <w:top w:val="single" w:sz="4" w:space="0" w:color="auto"/>
              <w:left w:val="nil"/>
              <w:bottom w:val="single" w:sz="4" w:space="0" w:color="auto"/>
              <w:right w:val="single" w:sz="4" w:space="0" w:color="auto"/>
            </w:tcBorders>
            <w:shd w:val="clear" w:color="auto" w:fill="C6EFCE"/>
            <w:noWrap/>
          </w:tcPr>
          <w:p w14:paraId="14ABFF7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single" w:sz="4" w:space="0" w:color="auto"/>
              <w:left w:val="nil"/>
              <w:bottom w:val="single" w:sz="4" w:space="0" w:color="auto"/>
              <w:right w:val="single" w:sz="4" w:space="0" w:color="auto"/>
            </w:tcBorders>
            <w:shd w:val="clear" w:color="auto" w:fill="C6EFCE"/>
            <w:noWrap/>
          </w:tcPr>
          <w:p w14:paraId="257561C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907" w:type="dxa"/>
            <w:tcBorders>
              <w:top w:val="single" w:sz="4" w:space="0" w:color="auto"/>
              <w:left w:val="nil"/>
              <w:bottom w:val="single" w:sz="4" w:space="0" w:color="auto"/>
              <w:right w:val="single" w:sz="4" w:space="0" w:color="auto"/>
            </w:tcBorders>
            <w:shd w:val="clear" w:color="auto" w:fill="C6EFCE"/>
            <w:noWrap/>
          </w:tcPr>
          <w:p w14:paraId="23343947"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127" w:type="dxa"/>
            <w:tcBorders>
              <w:top w:val="single" w:sz="4" w:space="0" w:color="auto"/>
              <w:left w:val="nil"/>
              <w:bottom w:val="single" w:sz="4" w:space="0" w:color="auto"/>
              <w:right w:val="single" w:sz="4" w:space="0" w:color="auto"/>
            </w:tcBorders>
            <w:shd w:val="clear" w:color="auto" w:fill="C6EFCE"/>
            <w:noWrap/>
          </w:tcPr>
          <w:p w14:paraId="25861E8E" w14:textId="77777777" w:rsidR="00733DCA" w:rsidRPr="0074072E" w:rsidRDefault="00733DCA" w:rsidP="00C67005">
            <w:pPr>
              <w:spacing w:after="200" w:line="276" w:lineRule="auto"/>
              <w:contextualSpacing/>
              <w:rPr>
                <w:rFonts w:ascii="Times New Roman" w:eastAsia="Calibri" w:hAnsi="Times New Roman" w:cs="Times New Roman"/>
                <w:noProof/>
                <w:sz w:val="20"/>
                <w:szCs w:val="20"/>
              </w:rPr>
            </w:pPr>
            <w:r>
              <w:rPr>
                <w:rFonts w:ascii="Calibri" w:hAnsi="Calibri"/>
                <w:noProof/>
                <w:color w:val="000000" w:themeColor="text1"/>
                <w:sz w:val="20"/>
              </w:rPr>
              <w:t>Nacionalnim planom razvoja socijalnih usluga za razdoblje 2021.–2027. utvrdit će se prioriteti razvoja socijalnih usluga te iskazati potrebe svih korisničkih skupina za različitim oblicima skrbi, izvaninstitucijskim i institucijskim, s ciljem postizanja sustavnog i cjelovitog plana skrbi usklađenog s potrebama korisnika. Planom će se definirati i utvrditi kriteriji potrebni za razvoj usluga smještaja, usluga u kući i u zajednici te drugih usluga kojima se poboljšava kvaliteta života korisnika i omogućuje im se da dulje ostanu u svojim domovima i u zajednici. Planom će se predvidjeti i uvođenje usluge socijalnog mentorstva, kao i prelazak s institucionalnih usluga u području skrbi za starije osobe na one koje se pružaju u kući i u zajednici, a kojima će se:</w:t>
            </w:r>
            <w:r>
              <w:rPr>
                <w:noProof/>
              </w:rPr>
              <w:br/>
            </w:r>
            <w:r>
              <w:rPr>
                <w:rFonts w:ascii="Calibri" w:hAnsi="Calibri"/>
                <w:noProof/>
                <w:color w:val="000000" w:themeColor="text1"/>
                <w:sz w:val="20"/>
              </w:rPr>
              <w:t xml:space="preserve">– poduprijeti razvoj usluga dugotrajnu skrb koje se pružaju u kući i u zajednici, </w:t>
            </w:r>
            <w:r>
              <w:rPr>
                <w:noProof/>
              </w:rPr>
              <w:br/>
            </w:r>
            <w:r>
              <w:rPr>
                <w:rFonts w:ascii="Calibri" w:hAnsi="Calibri"/>
                <w:noProof/>
                <w:color w:val="000000" w:themeColor="text1"/>
                <w:sz w:val="20"/>
              </w:rPr>
              <w:t>– osigurati dostupnost institucionalnih usluga samo za one starije osobe koje funkcionalno u potpunosti ovise o institucionalnoj skrbi i čije potrebe nije moguće zadovoljiti izvaninstitucionalnim uslugama,</w:t>
            </w:r>
            <w:r>
              <w:rPr>
                <w:noProof/>
              </w:rPr>
              <w:br/>
            </w:r>
            <w:r>
              <w:rPr>
                <w:rFonts w:ascii="Calibri" w:hAnsi="Calibri"/>
                <w:noProof/>
                <w:color w:val="000000" w:themeColor="text1"/>
                <w:sz w:val="20"/>
              </w:rPr>
              <w:t>– izraditi plan potpune ili djelomične skrbi u domovima, uz davanje prednosti uslugama kućne njege uzimajući u obzir dostupnost usluga i potrebe korisnika.</w:t>
            </w:r>
          </w:p>
        </w:tc>
      </w:tr>
      <w:tr w:rsidR="009926D5" w:rsidRPr="0074072E" w14:paraId="066E6627"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EBB0D5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313</w:t>
            </w:r>
          </w:p>
        </w:tc>
        <w:tc>
          <w:tcPr>
            <w:tcW w:w="825" w:type="dxa"/>
            <w:tcBorders>
              <w:top w:val="single" w:sz="4" w:space="0" w:color="auto"/>
              <w:left w:val="nil"/>
              <w:bottom w:val="single" w:sz="4" w:space="0" w:color="auto"/>
              <w:right w:val="single" w:sz="4" w:space="0" w:color="auto"/>
            </w:tcBorders>
            <w:shd w:val="clear" w:color="auto" w:fill="C6EFCE"/>
            <w:noWrap/>
          </w:tcPr>
          <w:p w14:paraId="48FCD26C"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R3</w:t>
            </w:r>
          </w:p>
        </w:tc>
        <w:tc>
          <w:tcPr>
            <w:tcW w:w="825" w:type="dxa"/>
            <w:tcBorders>
              <w:top w:val="single" w:sz="4" w:space="0" w:color="auto"/>
              <w:left w:val="nil"/>
              <w:bottom w:val="single" w:sz="4" w:space="0" w:color="auto"/>
              <w:right w:val="single" w:sz="4" w:space="0" w:color="auto"/>
            </w:tcBorders>
            <w:shd w:val="clear" w:color="auto" w:fill="C6EFCE"/>
            <w:noWrap/>
          </w:tcPr>
          <w:p w14:paraId="26215C1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39" w:type="dxa"/>
            <w:tcBorders>
              <w:top w:val="single" w:sz="4" w:space="0" w:color="auto"/>
              <w:left w:val="nil"/>
              <w:bottom w:val="single" w:sz="4" w:space="0" w:color="auto"/>
              <w:right w:val="single" w:sz="4" w:space="0" w:color="auto"/>
            </w:tcBorders>
            <w:shd w:val="clear" w:color="auto" w:fill="C6EFCE"/>
            <w:noWrap/>
          </w:tcPr>
          <w:p w14:paraId="68D5C20E"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standarda postupanja za obiteljske suradnike </w:t>
            </w:r>
          </w:p>
        </w:tc>
        <w:tc>
          <w:tcPr>
            <w:tcW w:w="2171" w:type="dxa"/>
            <w:tcBorders>
              <w:top w:val="single" w:sz="4" w:space="0" w:color="auto"/>
              <w:left w:val="nil"/>
              <w:bottom w:val="single" w:sz="4" w:space="0" w:color="auto"/>
              <w:right w:val="single" w:sz="4" w:space="0" w:color="auto"/>
            </w:tcBorders>
            <w:shd w:val="clear" w:color="auto" w:fill="C6EFCE"/>
            <w:noWrap/>
          </w:tcPr>
          <w:p w14:paraId="6B8270AB"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standarda postupanja za obiteljske suradnike   </w:t>
            </w:r>
          </w:p>
        </w:tc>
        <w:tc>
          <w:tcPr>
            <w:tcW w:w="975" w:type="dxa"/>
            <w:tcBorders>
              <w:top w:val="single" w:sz="4" w:space="0" w:color="auto"/>
              <w:left w:val="nil"/>
              <w:bottom w:val="single" w:sz="4" w:space="0" w:color="auto"/>
              <w:right w:val="single" w:sz="4" w:space="0" w:color="auto"/>
            </w:tcBorders>
            <w:shd w:val="clear" w:color="auto" w:fill="C6EFCE"/>
            <w:noWrap/>
          </w:tcPr>
          <w:p w14:paraId="06294B4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02" w:type="dxa"/>
            <w:tcBorders>
              <w:top w:val="single" w:sz="4" w:space="0" w:color="auto"/>
              <w:left w:val="nil"/>
              <w:bottom w:val="single" w:sz="4" w:space="0" w:color="auto"/>
              <w:right w:val="single" w:sz="4" w:space="0" w:color="auto"/>
            </w:tcBorders>
            <w:shd w:val="clear" w:color="auto" w:fill="C6EFCE"/>
            <w:noWrap/>
          </w:tcPr>
          <w:p w14:paraId="793ABA7C"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874" w:type="dxa"/>
            <w:tcBorders>
              <w:top w:val="single" w:sz="4" w:space="0" w:color="auto"/>
              <w:left w:val="nil"/>
              <w:bottom w:val="single" w:sz="4" w:space="0" w:color="auto"/>
              <w:right w:val="single" w:sz="4" w:space="0" w:color="auto"/>
            </w:tcBorders>
            <w:shd w:val="clear" w:color="auto" w:fill="C6EFCE"/>
            <w:noWrap/>
          </w:tcPr>
          <w:p w14:paraId="5D112E5E"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9" w:type="dxa"/>
            <w:tcBorders>
              <w:top w:val="single" w:sz="4" w:space="0" w:color="auto"/>
              <w:left w:val="nil"/>
              <w:bottom w:val="single" w:sz="4" w:space="0" w:color="auto"/>
              <w:right w:val="single" w:sz="4" w:space="0" w:color="auto"/>
            </w:tcBorders>
            <w:shd w:val="clear" w:color="auto" w:fill="C6EFCE"/>
            <w:noWrap/>
          </w:tcPr>
          <w:p w14:paraId="772CA7C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single" w:sz="4" w:space="0" w:color="auto"/>
              <w:left w:val="nil"/>
              <w:bottom w:val="single" w:sz="4" w:space="0" w:color="auto"/>
              <w:right w:val="single" w:sz="4" w:space="0" w:color="auto"/>
            </w:tcBorders>
            <w:shd w:val="clear" w:color="auto" w:fill="C6EFCE"/>
            <w:noWrap/>
          </w:tcPr>
          <w:p w14:paraId="072DA97B"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27" w:type="dxa"/>
            <w:tcBorders>
              <w:top w:val="single" w:sz="4" w:space="0" w:color="auto"/>
              <w:left w:val="nil"/>
              <w:bottom w:val="single" w:sz="4" w:space="0" w:color="auto"/>
              <w:right w:val="single" w:sz="4" w:space="0" w:color="auto"/>
            </w:tcBorders>
            <w:shd w:val="clear" w:color="auto" w:fill="C6EFCE"/>
            <w:noWrap/>
          </w:tcPr>
          <w:p w14:paraId="7DCB970A"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Razvijene norme za uređenje djelatnosti obiteljskih suradnika omogućuju usklađeno pružanje usluga u domu korisnika u suradnji s drugim dionicima na razini lokalne zajednice.</w:t>
            </w:r>
          </w:p>
        </w:tc>
      </w:tr>
      <w:tr w:rsidR="009926D5" w:rsidRPr="0074072E" w14:paraId="57BC8ABB"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451A209"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314</w:t>
            </w:r>
          </w:p>
        </w:tc>
        <w:tc>
          <w:tcPr>
            <w:tcW w:w="825" w:type="dxa"/>
            <w:tcBorders>
              <w:top w:val="single" w:sz="4" w:space="0" w:color="auto"/>
              <w:left w:val="nil"/>
              <w:bottom w:val="single" w:sz="4" w:space="0" w:color="auto"/>
              <w:right w:val="single" w:sz="4" w:space="0" w:color="auto"/>
            </w:tcBorders>
            <w:shd w:val="clear" w:color="auto" w:fill="C6EFCE"/>
            <w:noWrap/>
          </w:tcPr>
          <w:p w14:paraId="5AC2122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R3-I1</w:t>
            </w:r>
          </w:p>
        </w:tc>
        <w:tc>
          <w:tcPr>
            <w:tcW w:w="825" w:type="dxa"/>
            <w:tcBorders>
              <w:top w:val="single" w:sz="4" w:space="0" w:color="auto"/>
              <w:left w:val="nil"/>
              <w:bottom w:val="single" w:sz="4" w:space="0" w:color="auto"/>
              <w:right w:val="single" w:sz="4" w:space="0" w:color="auto"/>
            </w:tcBorders>
            <w:shd w:val="clear" w:color="auto" w:fill="C6EFCE"/>
            <w:noWrap/>
          </w:tcPr>
          <w:p w14:paraId="623E542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single" w:sz="4" w:space="0" w:color="auto"/>
              <w:left w:val="nil"/>
              <w:bottom w:val="single" w:sz="4" w:space="0" w:color="auto"/>
              <w:right w:val="single" w:sz="4" w:space="0" w:color="auto"/>
            </w:tcBorders>
            <w:shd w:val="clear" w:color="auto" w:fill="C6EFCE"/>
            <w:noWrap/>
          </w:tcPr>
          <w:p w14:paraId="0C303A89"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Jačanje ljudskih kapaciteta za pružanje usluga u zajednici</w:t>
            </w:r>
          </w:p>
        </w:tc>
        <w:tc>
          <w:tcPr>
            <w:tcW w:w="2171" w:type="dxa"/>
            <w:tcBorders>
              <w:top w:val="single" w:sz="4" w:space="0" w:color="auto"/>
              <w:left w:val="nil"/>
              <w:bottom w:val="single" w:sz="4" w:space="0" w:color="auto"/>
              <w:right w:val="single" w:sz="4" w:space="0" w:color="auto"/>
            </w:tcBorders>
            <w:shd w:val="clear" w:color="auto" w:fill="C6EFCE"/>
            <w:noWrap/>
          </w:tcPr>
          <w:p w14:paraId="31425ABC"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975" w:type="dxa"/>
            <w:tcBorders>
              <w:top w:val="single" w:sz="4" w:space="0" w:color="auto"/>
              <w:left w:val="nil"/>
              <w:bottom w:val="single" w:sz="4" w:space="0" w:color="auto"/>
              <w:right w:val="single" w:sz="4" w:space="0" w:color="auto"/>
            </w:tcBorders>
            <w:shd w:val="clear" w:color="auto" w:fill="C6EFCE"/>
            <w:noWrap/>
          </w:tcPr>
          <w:p w14:paraId="599FA447"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02" w:type="dxa"/>
            <w:tcBorders>
              <w:top w:val="single" w:sz="4" w:space="0" w:color="auto"/>
              <w:left w:val="nil"/>
              <w:bottom w:val="single" w:sz="4" w:space="0" w:color="auto"/>
              <w:right w:val="single" w:sz="4" w:space="0" w:color="auto"/>
            </w:tcBorders>
            <w:shd w:val="clear" w:color="auto" w:fill="C6EFCE"/>
            <w:noWrap/>
          </w:tcPr>
          <w:p w14:paraId="5C6E2AA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74" w:type="dxa"/>
            <w:tcBorders>
              <w:top w:val="single" w:sz="4" w:space="0" w:color="auto"/>
              <w:left w:val="nil"/>
              <w:bottom w:val="single" w:sz="4" w:space="0" w:color="auto"/>
              <w:right w:val="single" w:sz="4" w:space="0" w:color="auto"/>
            </w:tcBorders>
            <w:shd w:val="clear" w:color="auto" w:fill="C6EFCE"/>
            <w:noWrap/>
          </w:tcPr>
          <w:p w14:paraId="09675A5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400</w:t>
            </w:r>
          </w:p>
        </w:tc>
        <w:tc>
          <w:tcPr>
            <w:tcW w:w="709" w:type="dxa"/>
            <w:tcBorders>
              <w:top w:val="single" w:sz="4" w:space="0" w:color="auto"/>
              <w:left w:val="nil"/>
              <w:bottom w:val="single" w:sz="4" w:space="0" w:color="auto"/>
              <w:right w:val="single" w:sz="4" w:space="0" w:color="auto"/>
            </w:tcBorders>
            <w:shd w:val="clear" w:color="auto" w:fill="C6EFCE"/>
            <w:noWrap/>
          </w:tcPr>
          <w:p w14:paraId="5D01268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07" w:type="dxa"/>
            <w:tcBorders>
              <w:top w:val="single" w:sz="4" w:space="0" w:color="auto"/>
              <w:left w:val="nil"/>
              <w:bottom w:val="single" w:sz="4" w:space="0" w:color="auto"/>
              <w:right w:val="single" w:sz="4" w:space="0" w:color="auto"/>
            </w:tcBorders>
            <w:shd w:val="clear" w:color="auto" w:fill="C6EFCE"/>
            <w:noWrap/>
          </w:tcPr>
          <w:p w14:paraId="1030C77E"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127" w:type="dxa"/>
            <w:tcBorders>
              <w:top w:val="single" w:sz="4" w:space="0" w:color="auto"/>
              <w:left w:val="nil"/>
              <w:bottom w:val="single" w:sz="4" w:space="0" w:color="auto"/>
              <w:right w:val="single" w:sz="4" w:space="0" w:color="auto"/>
            </w:tcBorders>
            <w:shd w:val="clear" w:color="auto" w:fill="C6EFCE"/>
            <w:noWrap/>
          </w:tcPr>
          <w:p w14:paraId="3A61DF33"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Prevencija institucionalizacije postići će se zapošljavanjem novih stručnjaka u socijalnim službama radi pružanja izvaninstitucionalnih usluga te edukacijom i licenciranjem voditelja mjera obiteljskopravne zaštite. Konkretno, provest će se kontinuirane ciljane edukacije te licenciranje stručnih radnika ustanova socijalne skrbi za provođenje mjera obiteljsko-pravne zaštite djece (edukacije i licenciranje za ukupno 750 stručnih radnika u socijalnim službama – voditelja mjera obiteljskopravne zaštite te edukacije 30 radnika za uslugu obiteljskog suradnika). Ustanove socijalne skrbi i pružatelji socijalnih usluga zaposlit će 400 stručnih radnika.</w:t>
            </w:r>
          </w:p>
        </w:tc>
      </w:tr>
      <w:tr w:rsidR="009926D5" w:rsidRPr="0074072E" w14:paraId="25DE1FFA"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C04CC02"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316</w:t>
            </w:r>
          </w:p>
        </w:tc>
        <w:tc>
          <w:tcPr>
            <w:tcW w:w="825" w:type="dxa"/>
            <w:tcBorders>
              <w:top w:val="single" w:sz="4" w:space="0" w:color="auto"/>
              <w:left w:val="nil"/>
              <w:bottom w:val="single" w:sz="4" w:space="0" w:color="auto"/>
              <w:right w:val="single" w:sz="4" w:space="0" w:color="auto"/>
            </w:tcBorders>
            <w:shd w:val="clear" w:color="auto" w:fill="C6EFCE"/>
            <w:noWrap/>
          </w:tcPr>
          <w:p w14:paraId="3F136316"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R3-I3</w:t>
            </w:r>
          </w:p>
        </w:tc>
        <w:tc>
          <w:tcPr>
            <w:tcW w:w="825" w:type="dxa"/>
            <w:tcBorders>
              <w:top w:val="single" w:sz="4" w:space="0" w:color="auto"/>
              <w:left w:val="nil"/>
              <w:bottom w:val="single" w:sz="4" w:space="0" w:color="auto"/>
              <w:right w:val="single" w:sz="4" w:space="0" w:color="auto"/>
            </w:tcBorders>
            <w:shd w:val="clear" w:color="auto" w:fill="C6EFCE"/>
            <w:noWrap/>
          </w:tcPr>
          <w:p w14:paraId="65CD0E3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39" w:type="dxa"/>
            <w:tcBorders>
              <w:top w:val="single" w:sz="4" w:space="0" w:color="auto"/>
              <w:left w:val="nil"/>
              <w:bottom w:val="single" w:sz="4" w:space="0" w:color="auto"/>
              <w:right w:val="single" w:sz="4" w:space="0" w:color="auto"/>
            </w:tcBorders>
            <w:shd w:val="clear" w:color="auto" w:fill="C6EFCE"/>
            <w:noWrap/>
          </w:tcPr>
          <w:p w14:paraId="06A76246"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IT sustav izračunavanja cijena za socijalne usluge i pružatelje usluga u mreži </w:t>
            </w:r>
          </w:p>
        </w:tc>
        <w:tc>
          <w:tcPr>
            <w:tcW w:w="2171" w:type="dxa"/>
            <w:tcBorders>
              <w:top w:val="single" w:sz="4" w:space="0" w:color="auto"/>
              <w:left w:val="nil"/>
              <w:bottom w:val="single" w:sz="4" w:space="0" w:color="auto"/>
              <w:right w:val="single" w:sz="4" w:space="0" w:color="auto"/>
            </w:tcBorders>
            <w:shd w:val="clear" w:color="auto" w:fill="C6EFCE"/>
            <w:noWrap/>
          </w:tcPr>
          <w:p w14:paraId="5E71C86E"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Razvijen i funkcionalan IT sustav za izračunavanje cijena za sve socijalne usluge i sve pružatelje usluga u mreži </w:t>
            </w:r>
          </w:p>
        </w:tc>
        <w:tc>
          <w:tcPr>
            <w:tcW w:w="975" w:type="dxa"/>
            <w:tcBorders>
              <w:top w:val="single" w:sz="4" w:space="0" w:color="auto"/>
              <w:left w:val="nil"/>
              <w:bottom w:val="single" w:sz="4" w:space="0" w:color="auto"/>
              <w:right w:val="single" w:sz="4" w:space="0" w:color="auto"/>
            </w:tcBorders>
            <w:shd w:val="clear" w:color="auto" w:fill="C6EFCE"/>
            <w:noWrap/>
          </w:tcPr>
          <w:p w14:paraId="4E231C38"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02" w:type="dxa"/>
            <w:tcBorders>
              <w:top w:val="single" w:sz="4" w:space="0" w:color="auto"/>
              <w:left w:val="nil"/>
              <w:bottom w:val="single" w:sz="4" w:space="0" w:color="auto"/>
              <w:right w:val="single" w:sz="4" w:space="0" w:color="auto"/>
            </w:tcBorders>
            <w:shd w:val="clear" w:color="auto" w:fill="C6EFCE"/>
            <w:noWrap/>
          </w:tcPr>
          <w:p w14:paraId="33FE7EA4"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74" w:type="dxa"/>
            <w:tcBorders>
              <w:top w:val="single" w:sz="4" w:space="0" w:color="auto"/>
              <w:left w:val="nil"/>
              <w:bottom w:val="single" w:sz="4" w:space="0" w:color="auto"/>
              <w:right w:val="single" w:sz="4" w:space="0" w:color="auto"/>
            </w:tcBorders>
            <w:shd w:val="clear" w:color="auto" w:fill="C6EFCE"/>
            <w:noWrap/>
          </w:tcPr>
          <w:p w14:paraId="454D1B71"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09" w:type="dxa"/>
            <w:tcBorders>
              <w:top w:val="single" w:sz="4" w:space="0" w:color="auto"/>
              <w:left w:val="nil"/>
              <w:bottom w:val="single" w:sz="4" w:space="0" w:color="auto"/>
              <w:right w:val="single" w:sz="4" w:space="0" w:color="auto"/>
            </w:tcBorders>
            <w:shd w:val="clear" w:color="auto" w:fill="C6EFCE"/>
            <w:noWrap/>
          </w:tcPr>
          <w:p w14:paraId="3A228AEE"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07" w:type="dxa"/>
            <w:tcBorders>
              <w:top w:val="single" w:sz="4" w:space="0" w:color="auto"/>
              <w:left w:val="nil"/>
              <w:bottom w:val="single" w:sz="4" w:space="0" w:color="auto"/>
              <w:right w:val="single" w:sz="4" w:space="0" w:color="auto"/>
            </w:tcBorders>
            <w:shd w:val="clear" w:color="auto" w:fill="C6EFCE"/>
            <w:noWrap/>
          </w:tcPr>
          <w:p w14:paraId="5A388DDF"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127" w:type="dxa"/>
            <w:tcBorders>
              <w:top w:val="single" w:sz="4" w:space="0" w:color="auto"/>
              <w:left w:val="nil"/>
              <w:bottom w:val="single" w:sz="4" w:space="0" w:color="auto"/>
              <w:right w:val="single" w:sz="4" w:space="0" w:color="auto"/>
            </w:tcBorders>
            <w:shd w:val="clear" w:color="auto" w:fill="C6EFCE"/>
            <w:noWrap/>
          </w:tcPr>
          <w:p w14:paraId="46A793CE"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Razvijen IT sustav za upravljanje podacima koji provodi automatsko prikupljanje i analizu podataka te izračunava cijene za sve vrste pruženih socijalnih usluga i sve pružatelje socijalnih usluga u mreži. Ulaganjem će se financirati softverski, hardverski i obrazovni zahtjevi za omogućivanje potpune funkcionalnosti rješenja.</w:t>
            </w:r>
          </w:p>
        </w:tc>
      </w:tr>
      <w:tr w:rsidR="009926D5" w:rsidRPr="0074072E" w14:paraId="031399FE" w14:textId="77777777" w:rsidTr="00E25E44">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57D8100"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317</w:t>
            </w:r>
          </w:p>
        </w:tc>
        <w:tc>
          <w:tcPr>
            <w:tcW w:w="825" w:type="dxa"/>
            <w:tcBorders>
              <w:top w:val="single" w:sz="4" w:space="0" w:color="auto"/>
              <w:left w:val="nil"/>
              <w:bottom w:val="single" w:sz="4" w:space="0" w:color="auto"/>
              <w:right w:val="single" w:sz="4" w:space="0" w:color="auto"/>
            </w:tcBorders>
            <w:shd w:val="clear" w:color="auto" w:fill="C6EFCE"/>
            <w:noWrap/>
          </w:tcPr>
          <w:p w14:paraId="4ACACC45"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R3-I4</w:t>
            </w:r>
          </w:p>
        </w:tc>
        <w:tc>
          <w:tcPr>
            <w:tcW w:w="825" w:type="dxa"/>
            <w:tcBorders>
              <w:top w:val="single" w:sz="4" w:space="0" w:color="auto"/>
              <w:left w:val="nil"/>
              <w:bottom w:val="single" w:sz="4" w:space="0" w:color="auto"/>
              <w:right w:val="single" w:sz="4" w:space="0" w:color="auto"/>
            </w:tcBorders>
            <w:shd w:val="clear" w:color="auto" w:fill="C6EFCE"/>
            <w:noWrap/>
          </w:tcPr>
          <w:p w14:paraId="610B42CA"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single" w:sz="4" w:space="0" w:color="auto"/>
              <w:left w:val="nil"/>
              <w:bottom w:val="single" w:sz="4" w:space="0" w:color="auto"/>
              <w:right w:val="single" w:sz="4" w:space="0" w:color="auto"/>
            </w:tcBorders>
            <w:shd w:val="clear" w:color="auto" w:fill="C6EFCE"/>
            <w:noWrap/>
          </w:tcPr>
          <w:p w14:paraId="080E236A"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Izgradnja centara za institucionalnu skrb, kućnu njegu i skrb u zajednici za starije osobe </w:t>
            </w:r>
          </w:p>
        </w:tc>
        <w:tc>
          <w:tcPr>
            <w:tcW w:w="2171" w:type="dxa"/>
            <w:tcBorders>
              <w:top w:val="single" w:sz="4" w:space="0" w:color="auto"/>
              <w:left w:val="nil"/>
              <w:bottom w:val="single" w:sz="4" w:space="0" w:color="auto"/>
              <w:right w:val="single" w:sz="4" w:space="0" w:color="auto"/>
            </w:tcBorders>
            <w:shd w:val="clear" w:color="auto" w:fill="C6EFCE"/>
            <w:noWrap/>
          </w:tcPr>
          <w:p w14:paraId="21715FCB"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1574B0C3"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02" w:type="dxa"/>
            <w:tcBorders>
              <w:top w:val="single" w:sz="4" w:space="0" w:color="auto"/>
              <w:left w:val="nil"/>
              <w:bottom w:val="single" w:sz="4" w:space="0" w:color="auto"/>
              <w:right w:val="single" w:sz="4" w:space="0" w:color="auto"/>
            </w:tcBorders>
            <w:shd w:val="clear" w:color="auto" w:fill="C6EFCE"/>
            <w:noWrap/>
          </w:tcPr>
          <w:p w14:paraId="38ADDD4A"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74" w:type="dxa"/>
            <w:tcBorders>
              <w:top w:val="single" w:sz="4" w:space="0" w:color="auto"/>
              <w:left w:val="nil"/>
              <w:bottom w:val="single" w:sz="4" w:space="0" w:color="auto"/>
              <w:right w:val="single" w:sz="4" w:space="0" w:color="auto"/>
            </w:tcBorders>
            <w:shd w:val="clear" w:color="auto" w:fill="C6EFCE"/>
            <w:noWrap/>
          </w:tcPr>
          <w:p w14:paraId="010F3F6C"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w:t>
            </w:r>
          </w:p>
        </w:tc>
        <w:tc>
          <w:tcPr>
            <w:tcW w:w="709" w:type="dxa"/>
            <w:tcBorders>
              <w:top w:val="single" w:sz="4" w:space="0" w:color="auto"/>
              <w:left w:val="nil"/>
              <w:bottom w:val="single" w:sz="4" w:space="0" w:color="auto"/>
              <w:right w:val="single" w:sz="4" w:space="0" w:color="auto"/>
            </w:tcBorders>
            <w:shd w:val="clear" w:color="auto" w:fill="C6EFCE"/>
            <w:noWrap/>
          </w:tcPr>
          <w:p w14:paraId="4100B60D"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907" w:type="dxa"/>
            <w:tcBorders>
              <w:top w:val="single" w:sz="4" w:space="0" w:color="auto"/>
              <w:left w:val="nil"/>
              <w:bottom w:val="single" w:sz="4" w:space="0" w:color="auto"/>
              <w:right w:val="single" w:sz="4" w:space="0" w:color="auto"/>
            </w:tcBorders>
            <w:shd w:val="clear" w:color="auto" w:fill="C6EFCE"/>
            <w:noWrap/>
          </w:tcPr>
          <w:p w14:paraId="5354E3D2" w14:textId="77777777" w:rsidR="00733DCA" w:rsidRPr="0074072E"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27" w:type="dxa"/>
            <w:tcBorders>
              <w:top w:val="single" w:sz="4" w:space="0" w:color="auto"/>
              <w:left w:val="nil"/>
              <w:bottom w:val="single" w:sz="4" w:space="0" w:color="auto"/>
              <w:right w:val="single" w:sz="4" w:space="0" w:color="auto"/>
            </w:tcBorders>
            <w:shd w:val="clear" w:color="auto" w:fill="C6EFCE"/>
            <w:noWrap/>
          </w:tcPr>
          <w:p w14:paraId="7AB4BF16" w14:textId="77777777" w:rsidR="00733DCA" w:rsidRPr="0074072E"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Izgradnjom i početkom rada centara za starije osobe stvorit će se uvjeti za pružanje integrirane skrbi. Na temelju podataka dobivenih analizom predviđena je izgradnja smještaja u osam centara za 800 korisnika, i to isključivo za osobe koje funkcionalno u potpunosti ovise o institucionalnoj skrbi i čije potrebe nije moguće zadovoljiti u kući ili u zajednici. Lokacije centara za starije osobe utvrdit će se u javnom natječaju kako bi se gradovima i županijama omogućilo sudjelovanje u izgradnji i opremanju takvih centara, a kriteriji odabira temeljit će se na sposobnosti osiguravanja održivosti ulaganja, uzimajući u obzir i regionalnu dimenziju radi postizanja ravnomjerne teritorijalne pokrivenosti kapaciteta na temelju analize mapiranja.  Sve nove gradnje moraju biti gotovo nulte energetske zgrade u skladu s Direktivom o energetskim svojstvima zgrada, dok se rekonstrukcijom postojećih zgrada mora postići u prosjeku barem obnova srednje dubine, kako je definirano u Preporuci Komisije o obnovi zgrada ili postići u prosjeku najmanje 30 % smanjenja izravne i neizravne emisije stakleničkih plinova u odnosu na emisije prije obnove. U svim zgradama posebnu pozornost treba posvetiti osiguravanju zdravih unutarnjih klimatskih uvjeta, protupožarnoj zaštiti i otklanjanju rizika povezanih s povećanom seizmološkom aktivnošću.</w:t>
            </w:r>
          </w:p>
        </w:tc>
      </w:tr>
    </w:tbl>
    <w:p w14:paraId="22076770" w14:textId="77777777" w:rsidR="00733DCA" w:rsidRDefault="00733DCA">
      <w:pPr>
        <w:rPr>
          <w:noProof/>
        </w:rPr>
      </w:pPr>
      <w:r>
        <w:rPr>
          <w:noProof/>
        </w:rPr>
        <w:br w:type="page"/>
      </w:r>
    </w:p>
    <w:p w14:paraId="1117F614" w14:textId="77777777" w:rsidR="00733DCA" w:rsidRPr="00BC0323" w:rsidRDefault="00733DCA" w:rsidP="0001477B">
      <w:pPr>
        <w:rPr>
          <w:noProof/>
        </w:rPr>
        <w:sectPr w:rsidR="00733DCA" w:rsidRPr="00BC0323" w:rsidSect="0001477B">
          <w:headerReference w:type="even" r:id="rId336"/>
          <w:headerReference w:type="default" r:id="rId337"/>
          <w:footerReference w:type="even" r:id="rId338"/>
          <w:footerReference w:type="default" r:id="rId339"/>
          <w:headerReference w:type="first" r:id="rId340"/>
          <w:footerReference w:type="first" r:id="rId341"/>
          <w:pgSz w:w="15840" w:h="12240" w:orient="landscape"/>
          <w:pgMar w:top="1440" w:right="1440" w:bottom="1440" w:left="1440" w:header="708" w:footer="708" w:gutter="0"/>
          <w:cols w:space="708"/>
          <w:docGrid w:linePitch="360"/>
        </w:sectPr>
      </w:pPr>
    </w:p>
    <w:p w14:paraId="6DC7D763"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T.3. </w:t>
      </w:r>
      <w:r>
        <w:rPr>
          <w:rStyle w:val="tabchar"/>
          <w:rFonts w:ascii="Calibri" w:hAnsi="Calibri"/>
          <w:noProof/>
        </w:rPr>
        <w:tab/>
      </w:r>
      <w:r>
        <w:rPr>
          <w:rStyle w:val="normaltextrun"/>
          <w:b/>
          <w:noProof/>
        </w:rPr>
        <w:t>Opis reformi i ulaganja za zajam </w:t>
      </w:r>
      <w:r>
        <w:rPr>
          <w:rStyle w:val="eop"/>
          <w:noProof/>
        </w:rPr>
        <w:t> </w:t>
      </w:r>
    </w:p>
    <w:p w14:paraId="38A586D1" w14:textId="77777777" w:rsidR="00733DCA" w:rsidRDefault="00733DCA" w:rsidP="0001477B">
      <w:pPr>
        <w:pStyle w:val="paragraph"/>
        <w:spacing w:before="0" w:beforeAutospacing="0" w:after="0" w:afterAutospacing="0"/>
        <w:ind w:left="840"/>
        <w:jc w:val="both"/>
        <w:textAlignment w:val="baseline"/>
        <w:rPr>
          <w:rStyle w:val="eop"/>
          <w:noProof/>
        </w:rPr>
      </w:pPr>
      <w:r>
        <w:rPr>
          <w:rStyle w:val="normaltextrun"/>
          <w:noProof/>
        </w:rPr>
        <w:t> </w:t>
      </w:r>
      <w:r>
        <w:rPr>
          <w:rStyle w:val="eop"/>
          <w:noProof/>
        </w:rPr>
        <w:t> </w:t>
      </w:r>
    </w:p>
    <w:p w14:paraId="4131D74B" w14:textId="77777777" w:rsidR="00733DCA" w:rsidRPr="0074072E" w:rsidRDefault="00733DCA" w:rsidP="0001477B">
      <w:pPr>
        <w:keepNext/>
        <w:spacing w:before="120" w:after="120" w:line="240" w:lineRule="auto"/>
        <w:ind w:left="851"/>
        <w:jc w:val="both"/>
        <w:rPr>
          <w:rFonts w:ascii="Times New Roman" w:eastAsia="Calibri" w:hAnsi="Times New Roman" w:cs="Times New Roman"/>
          <w:noProof/>
          <w:sz w:val="24"/>
          <w:u w:val="single"/>
        </w:rPr>
      </w:pPr>
      <w:r>
        <w:rPr>
          <w:rFonts w:ascii="Times New Roman" w:hAnsi="Times New Roman"/>
          <w:noProof/>
          <w:sz w:val="24"/>
          <w:u w:val="single"/>
        </w:rPr>
        <w:t>Ulaganje C4.3. R3-I2 – Unapređenje digitalizacije sustava socijalne skrbi i povezivanje centara za socijalnu skrb i pružatelja socijalnih usluga</w:t>
      </w:r>
    </w:p>
    <w:p w14:paraId="301D2A25" w14:textId="77777777" w:rsidR="00733DCA" w:rsidRPr="0074072E"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bdr w:val="none" w:sz="0" w:space="0" w:color="auto" w:frame="1"/>
        </w:rPr>
        <w:t xml:space="preserve">Cilj je ulaganja unaprijediti aplikaciju za domove socijalne skrbi koja upravlja i evidentira postupke koji se odnose na priznavanje prava na socijalne usluge od strane pojedinačnih pružatelja usluga. Ulaganje uključuje integraciju aplikacije u jedinstveni IT sustav socijalne skrbi čime će se omogućiti jedinstvena digitalna platforma za praćenje i analizu podataka o korisnicima i uslugama u sustavu socijalne skrbi. </w:t>
      </w:r>
    </w:p>
    <w:p w14:paraId="69E6955F" w14:textId="77777777" w:rsidR="00733DCA" w:rsidRPr="0074072E" w:rsidRDefault="00733DCA" w:rsidP="0001477B">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shd w:val="clear" w:color="auto" w:fill="FFFFFF"/>
        </w:rPr>
        <w:t>Ulaganje će biti dovršeno do 31. prosinca 2024. </w:t>
      </w:r>
    </w:p>
    <w:p w14:paraId="4DFD45BD" w14:textId="77777777" w:rsidR="00733DCA" w:rsidRDefault="00733DCA" w:rsidP="0001477B">
      <w:pPr>
        <w:rPr>
          <w:noProof/>
          <w:lang w:val="en-GB"/>
        </w:rPr>
        <w:sectPr w:rsidR="00733DCA" w:rsidSect="0001477B">
          <w:headerReference w:type="even" r:id="rId342"/>
          <w:headerReference w:type="default" r:id="rId343"/>
          <w:footerReference w:type="even" r:id="rId344"/>
          <w:footerReference w:type="default" r:id="rId345"/>
          <w:headerReference w:type="first" r:id="rId346"/>
          <w:footerReference w:type="first" r:id="rId347"/>
          <w:pgSz w:w="12240" w:h="15840"/>
          <w:pgMar w:top="1440" w:right="1440" w:bottom="1440" w:left="1440" w:header="708" w:footer="708" w:gutter="0"/>
          <w:cols w:space="708"/>
          <w:docGrid w:linePitch="360"/>
        </w:sectPr>
      </w:pPr>
    </w:p>
    <w:p w14:paraId="0869308A"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T.4.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tbl>
      <w:tblPr>
        <w:tblW w:w="15159" w:type="dxa"/>
        <w:jc w:val="center"/>
        <w:tblCellMar>
          <w:top w:w="28" w:type="dxa"/>
          <w:left w:w="28" w:type="dxa"/>
          <w:bottom w:w="28" w:type="dxa"/>
          <w:right w:w="28" w:type="dxa"/>
        </w:tblCellMar>
        <w:tblLook w:val="04A0" w:firstRow="1" w:lastRow="0" w:firstColumn="1" w:lastColumn="0" w:noHBand="0" w:noVBand="1"/>
      </w:tblPr>
      <w:tblGrid>
        <w:gridCol w:w="696"/>
        <w:gridCol w:w="825"/>
        <w:gridCol w:w="871"/>
        <w:gridCol w:w="2039"/>
        <w:gridCol w:w="2010"/>
        <w:gridCol w:w="975"/>
        <w:gridCol w:w="836"/>
        <w:gridCol w:w="826"/>
        <w:gridCol w:w="749"/>
        <w:gridCol w:w="942"/>
        <w:gridCol w:w="4470"/>
      </w:tblGrid>
      <w:tr w:rsidR="009926D5" w:rsidRPr="0074072E" w14:paraId="368F9E94" w14:textId="77777777" w:rsidTr="00A2668F">
        <w:trPr>
          <w:trHeight w:val="634"/>
          <w:tblHeader/>
          <w:jc w:val="center"/>
        </w:trPr>
        <w:tc>
          <w:tcPr>
            <w:tcW w:w="6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FC7C749"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E353C06"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B4C7970"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039" w:type="dxa"/>
            <w:vMerge w:val="restart"/>
            <w:tcBorders>
              <w:top w:val="single" w:sz="4" w:space="0" w:color="auto"/>
              <w:left w:val="nil"/>
              <w:bottom w:val="single" w:sz="4" w:space="0" w:color="000000"/>
              <w:right w:val="single" w:sz="4" w:space="0" w:color="auto"/>
            </w:tcBorders>
            <w:shd w:val="clear" w:color="auto" w:fill="BDD7EE"/>
            <w:vAlign w:val="center"/>
            <w:hideMark/>
          </w:tcPr>
          <w:p w14:paraId="4FDB8D8F"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01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4D298EB"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2603" w:type="dxa"/>
            <w:gridSpan w:val="3"/>
            <w:tcBorders>
              <w:top w:val="single" w:sz="4" w:space="0" w:color="auto"/>
              <w:left w:val="nil"/>
              <w:bottom w:val="single" w:sz="4" w:space="0" w:color="auto"/>
              <w:right w:val="single" w:sz="4" w:space="0" w:color="auto"/>
            </w:tcBorders>
            <w:shd w:val="clear" w:color="auto" w:fill="BDD7EE"/>
            <w:vAlign w:val="center"/>
            <w:hideMark/>
          </w:tcPr>
          <w:p w14:paraId="0E412D6A"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691" w:type="dxa"/>
            <w:gridSpan w:val="2"/>
            <w:tcBorders>
              <w:top w:val="single" w:sz="4" w:space="0" w:color="auto"/>
              <w:left w:val="nil"/>
              <w:bottom w:val="single" w:sz="4" w:space="0" w:color="auto"/>
              <w:right w:val="single" w:sz="4" w:space="0" w:color="auto"/>
            </w:tcBorders>
            <w:shd w:val="clear" w:color="auto" w:fill="BDD7EE"/>
            <w:vAlign w:val="center"/>
            <w:hideMark/>
          </w:tcPr>
          <w:p w14:paraId="7577FE44"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47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6270D7"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9926D5" w:rsidRPr="0074072E" w14:paraId="1F26CF52" w14:textId="77777777" w:rsidTr="00A2668F">
        <w:trPr>
          <w:trHeight w:val="502"/>
          <w:tblHeader/>
          <w:jc w:val="center"/>
        </w:trPr>
        <w:tc>
          <w:tcPr>
            <w:tcW w:w="696" w:type="dxa"/>
            <w:vMerge/>
            <w:tcBorders>
              <w:top w:val="single" w:sz="4" w:space="0" w:color="auto"/>
              <w:left w:val="single" w:sz="4" w:space="0" w:color="auto"/>
              <w:bottom w:val="single" w:sz="4" w:space="0" w:color="000000"/>
              <w:right w:val="single" w:sz="4" w:space="0" w:color="auto"/>
            </w:tcBorders>
            <w:hideMark/>
          </w:tcPr>
          <w:p w14:paraId="3EC36FA1"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825" w:type="dxa"/>
            <w:vMerge/>
            <w:tcBorders>
              <w:top w:val="single" w:sz="4" w:space="0" w:color="auto"/>
              <w:left w:val="single" w:sz="4" w:space="0" w:color="auto"/>
              <w:bottom w:val="single" w:sz="4" w:space="0" w:color="000000"/>
              <w:right w:val="single" w:sz="4" w:space="0" w:color="auto"/>
            </w:tcBorders>
            <w:hideMark/>
          </w:tcPr>
          <w:p w14:paraId="6A9E417D"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825" w:type="dxa"/>
            <w:vMerge/>
            <w:tcBorders>
              <w:top w:val="single" w:sz="4" w:space="0" w:color="auto"/>
              <w:left w:val="single" w:sz="4" w:space="0" w:color="auto"/>
              <w:bottom w:val="single" w:sz="4" w:space="0" w:color="000000"/>
              <w:right w:val="single" w:sz="4" w:space="0" w:color="auto"/>
            </w:tcBorders>
            <w:hideMark/>
          </w:tcPr>
          <w:p w14:paraId="5443359F"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2039" w:type="dxa"/>
            <w:vMerge/>
            <w:tcBorders>
              <w:top w:val="single" w:sz="4" w:space="0" w:color="auto"/>
              <w:left w:val="nil"/>
              <w:bottom w:val="single" w:sz="4" w:space="0" w:color="000000"/>
              <w:right w:val="single" w:sz="4" w:space="0" w:color="auto"/>
            </w:tcBorders>
            <w:hideMark/>
          </w:tcPr>
          <w:p w14:paraId="316CED1A"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2010" w:type="dxa"/>
            <w:vMerge/>
            <w:tcBorders>
              <w:top w:val="single" w:sz="4" w:space="0" w:color="auto"/>
              <w:left w:val="single" w:sz="4" w:space="0" w:color="auto"/>
              <w:bottom w:val="single" w:sz="4" w:space="0" w:color="000000"/>
              <w:right w:val="single" w:sz="4" w:space="0" w:color="auto"/>
            </w:tcBorders>
            <w:hideMark/>
          </w:tcPr>
          <w:p w14:paraId="3AD0DE34"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975" w:type="dxa"/>
            <w:tcBorders>
              <w:top w:val="nil"/>
              <w:left w:val="nil"/>
              <w:bottom w:val="single" w:sz="4" w:space="0" w:color="auto"/>
              <w:right w:val="single" w:sz="4" w:space="0" w:color="auto"/>
            </w:tcBorders>
            <w:shd w:val="clear" w:color="auto" w:fill="BDD7EE"/>
            <w:vAlign w:val="center"/>
            <w:hideMark/>
          </w:tcPr>
          <w:p w14:paraId="79E94FF9"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02" w:type="dxa"/>
            <w:tcBorders>
              <w:top w:val="nil"/>
              <w:left w:val="nil"/>
              <w:bottom w:val="single" w:sz="4" w:space="0" w:color="auto"/>
              <w:right w:val="single" w:sz="4" w:space="0" w:color="auto"/>
            </w:tcBorders>
            <w:shd w:val="clear" w:color="auto" w:fill="BDD7EE"/>
            <w:vAlign w:val="center"/>
            <w:hideMark/>
          </w:tcPr>
          <w:p w14:paraId="06ADF08E"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26" w:type="dxa"/>
            <w:tcBorders>
              <w:top w:val="nil"/>
              <w:left w:val="nil"/>
              <w:bottom w:val="single" w:sz="4" w:space="0" w:color="auto"/>
              <w:right w:val="single" w:sz="4" w:space="0" w:color="auto"/>
            </w:tcBorders>
            <w:shd w:val="clear" w:color="auto" w:fill="BDD7EE"/>
            <w:vAlign w:val="center"/>
            <w:hideMark/>
          </w:tcPr>
          <w:p w14:paraId="59F23D0B"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749" w:type="dxa"/>
            <w:tcBorders>
              <w:top w:val="nil"/>
              <w:left w:val="nil"/>
              <w:bottom w:val="single" w:sz="4" w:space="0" w:color="auto"/>
              <w:right w:val="single" w:sz="4" w:space="0" w:color="auto"/>
            </w:tcBorders>
            <w:shd w:val="clear" w:color="auto" w:fill="BDD7EE"/>
            <w:vAlign w:val="center"/>
            <w:hideMark/>
          </w:tcPr>
          <w:p w14:paraId="3D1CB772"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942" w:type="dxa"/>
            <w:tcBorders>
              <w:top w:val="nil"/>
              <w:left w:val="nil"/>
              <w:bottom w:val="single" w:sz="4" w:space="0" w:color="auto"/>
              <w:right w:val="single" w:sz="4" w:space="0" w:color="auto"/>
            </w:tcBorders>
            <w:shd w:val="clear" w:color="auto" w:fill="BDD7EE"/>
            <w:vAlign w:val="center"/>
            <w:hideMark/>
          </w:tcPr>
          <w:p w14:paraId="11B67233" w14:textId="77777777" w:rsidR="00733DCA" w:rsidRPr="0074072E"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470" w:type="dxa"/>
            <w:vMerge/>
            <w:tcBorders>
              <w:top w:val="single" w:sz="4" w:space="0" w:color="auto"/>
              <w:left w:val="single" w:sz="4" w:space="0" w:color="auto"/>
              <w:bottom w:val="single" w:sz="4" w:space="0" w:color="auto"/>
              <w:right w:val="single" w:sz="4" w:space="0" w:color="auto"/>
            </w:tcBorders>
            <w:hideMark/>
          </w:tcPr>
          <w:p w14:paraId="1F47C394" w14:textId="77777777" w:rsidR="00733DCA" w:rsidRPr="0074072E" w:rsidRDefault="00733DCA">
            <w:pPr>
              <w:spacing w:after="0" w:line="276" w:lineRule="auto"/>
              <w:rPr>
                <w:rFonts w:ascii="Times New Roman" w:eastAsia="Times New Roman" w:hAnsi="Times New Roman" w:cs="Times New Roman"/>
                <w:b/>
                <w:noProof/>
                <w:lang w:val="en-GB" w:eastAsia="en-GB"/>
              </w:rPr>
            </w:pPr>
          </w:p>
        </w:tc>
      </w:tr>
      <w:tr w:rsidR="009926D5" w:rsidRPr="0074072E" w14:paraId="071BE3D3" w14:textId="77777777" w:rsidTr="00A2668F">
        <w:trPr>
          <w:trHeight w:val="282"/>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tcPr>
          <w:p w14:paraId="2EEC4C5D"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315</w:t>
            </w:r>
          </w:p>
        </w:tc>
        <w:tc>
          <w:tcPr>
            <w:tcW w:w="825" w:type="dxa"/>
            <w:tcBorders>
              <w:top w:val="single" w:sz="4" w:space="0" w:color="auto"/>
              <w:left w:val="nil"/>
              <w:bottom w:val="single" w:sz="4" w:space="0" w:color="auto"/>
              <w:right w:val="single" w:sz="4" w:space="0" w:color="auto"/>
            </w:tcBorders>
            <w:shd w:val="clear" w:color="auto" w:fill="C6EFCE"/>
            <w:noWrap/>
          </w:tcPr>
          <w:p w14:paraId="3A3A61E1"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C4.3. R3-I2</w:t>
            </w:r>
          </w:p>
        </w:tc>
        <w:tc>
          <w:tcPr>
            <w:tcW w:w="825" w:type="dxa"/>
            <w:tcBorders>
              <w:top w:val="single" w:sz="4" w:space="0" w:color="auto"/>
              <w:left w:val="nil"/>
              <w:bottom w:val="single" w:sz="4" w:space="0" w:color="auto"/>
              <w:right w:val="single" w:sz="4" w:space="0" w:color="auto"/>
            </w:tcBorders>
            <w:shd w:val="clear" w:color="auto" w:fill="C6EFCE"/>
            <w:noWrap/>
          </w:tcPr>
          <w:p w14:paraId="6CC9C343"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39" w:type="dxa"/>
            <w:tcBorders>
              <w:top w:val="single" w:sz="4" w:space="0" w:color="auto"/>
              <w:left w:val="nil"/>
              <w:bottom w:val="single" w:sz="4" w:space="0" w:color="auto"/>
              <w:right w:val="single" w:sz="4" w:space="0" w:color="auto"/>
            </w:tcBorders>
            <w:shd w:val="clear" w:color="auto" w:fill="C6EFCE"/>
            <w:noWrap/>
          </w:tcPr>
          <w:p w14:paraId="1354C8F8" w14:textId="77777777" w:rsidR="00733DCA" w:rsidRPr="0074072E"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Jedinstveni informacijski sustav (informacijski sustav SocSkrb)</w:t>
            </w:r>
          </w:p>
        </w:tc>
        <w:tc>
          <w:tcPr>
            <w:tcW w:w="2010" w:type="dxa"/>
            <w:tcBorders>
              <w:top w:val="single" w:sz="4" w:space="0" w:color="auto"/>
              <w:left w:val="nil"/>
              <w:bottom w:val="single" w:sz="4" w:space="0" w:color="auto"/>
              <w:right w:val="single" w:sz="4" w:space="0" w:color="auto"/>
            </w:tcBorders>
            <w:shd w:val="clear" w:color="auto" w:fill="C6EFCE"/>
            <w:noWrap/>
          </w:tcPr>
          <w:p w14:paraId="36AE8DAA" w14:textId="77777777" w:rsidR="00733DCA" w:rsidRPr="0074072E"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617D75BE"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Postotak</w:t>
            </w:r>
          </w:p>
        </w:tc>
        <w:tc>
          <w:tcPr>
            <w:tcW w:w="802" w:type="dxa"/>
            <w:tcBorders>
              <w:top w:val="single" w:sz="4" w:space="0" w:color="auto"/>
              <w:left w:val="nil"/>
              <w:bottom w:val="single" w:sz="4" w:space="0" w:color="auto"/>
              <w:right w:val="single" w:sz="4" w:space="0" w:color="auto"/>
            </w:tcBorders>
            <w:shd w:val="clear" w:color="auto" w:fill="C6EFCE"/>
            <w:noWrap/>
          </w:tcPr>
          <w:p w14:paraId="251AE2B3"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826" w:type="dxa"/>
            <w:tcBorders>
              <w:top w:val="single" w:sz="4" w:space="0" w:color="auto"/>
              <w:left w:val="nil"/>
              <w:bottom w:val="single" w:sz="4" w:space="0" w:color="auto"/>
              <w:right w:val="single" w:sz="4" w:space="0" w:color="auto"/>
            </w:tcBorders>
            <w:shd w:val="clear" w:color="auto" w:fill="C6EFCE"/>
            <w:noWrap/>
          </w:tcPr>
          <w:p w14:paraId="1377BD5B"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749" w:type="dxa"/>
            <w:tcBorders>
              <w:top w:val="single" w:sz="4" w:space="0" w:color="auto"/>
              <w:left w:val="nil"/>
              <w:bottom w:val="single" w:sz="4" w:space="0" w:color="auto"/>
              <w:right w:val="single" w:sz="4" w:space="0" w:color="auto"/>
            </w:tcBorders>
            <w:shd w:val="clear" w:color="auto" w:fill="C6EFCE"/>
            <w:noWrap/>
          </w:tcPr>
          <w:p w14:paraId="73A7F4BE"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942" w:type="dxa"/>
            <w:tcBorders>
              <w:top w:val="single" w:sz="4" w:space="0" w:color="auto"/>
              <w:left w:val="nil"/>
              <w:bottom w:val="single" w:sz="4" w:space="0" w:color="auto"/>
              <w:right w:val="single" w:sz="4" w:space="0" w:color="auto"/>
            </w:tcBorders>
            <w:shd w:val="clear" w:color="auto" w:fill="C6EFCE"/>
            <w:noWrap/>
          </w:tcPr>
          <w:p w14:paraId="0D650F11" w14:textId="77777777" w:rsidR="00733DCA" w:rsidRPr="0074072E"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2024.</w:t>
            </w:r>
          </w:p>
        </w:tc>
        <w:tc>
          <w:tcPr>
            <w:tcW w:w="4470" w:type="dxa"/>
            <w:tcBorders>
              <w:top w:val="single" w:sz="4" w:space="0" w:color="auto"/>
              <w:left w:val="nil"/>
              <w:bottom w:val="single" w:sz="4" w:space="0" w:color="auto"/>
              <w:right w:val="single" w:sz="4" w:space="0" w:color="auto"/>
            </w:tcBorders>
            <w:shd w:val="clear" w:color="auto" w:fill="C6EFCE"/>
            <w:noWrap/>
          </w:tcPr>
          <w:p w14:paraId="78FFC455" w14:textId="77777777" w:rsidR="00733DCA" w:rsidRPr="0074072E"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Cilj je ulaganja unaprijediti aplikaciju za domove socijalne skrbi koja upravlja postupcima koji se odnose na priznavanje prava na socijalne usluge i bilježi ih u jedinstveni funkcionalni informatički sustav u koji će biti uključeni svi dionici u postupku priznavanja prava i pružanja usluga korisniku, čime će se omogućiti praćenje i analiza podataka o korisnicima i uslugama u sustavu socijalne skrbi, kao što su informacije o dostupnim mjestima, pružateljima usluga i cijenama njihovih usluga. Razvijeno softversko rješenje integrirat će se u postojeći informacijski sustav SocSkrb kojim se koriste centri socijalne skrbi. Time će se omogućiti informatička povezanost svih centara za socijalnu skrb s pružateljima socijalnih usluga koji se financiraju iz državnog proračuna.</w:t>
            </w:r>
          </w:p>
        </w:tc>
      </w:tr>
    </w:tbl>
    <w:p w14:paraId="53FFBB57" w14:textId="77777777" w:rsidR="00733DCA" w:rsidRPr="00BC0323" w:rsidRDefault="00733DCA" w:rsidP="0001477B">
      <w:pPr>
        <w:pStyle w:val="paragraph"/>
        <w:spacing w:before="0" w:beforeAutospacing="0" w:after="0" w:afterAutospacing="0"/>
        <w:ind w:left="840"/>
        <w:jc w:val="both"/>
        <w:textAlignment w:val="baseline"/>
        <w:rPr>
          <w:rStyle w:val="eop"/>
          <w:noProof/>
          <w:color w:val="4F81BD"/>
        </w:rPr>
      </w:pPr>
    </w:p>
    <w:p w14:paraId="14C2E076"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p>
    <w:p w14:paraId="1329B8E8" w14:textId="77777777" w:rsidR="00733DCA" w:rsidRPr="00BC0323" w:rsidRDefault="00733DCA" w:rsidP="0001477B">
      <w:pPr>
        <w:rPr>
          <w:noProof/>
        </w:rPr>
      </w:pPr>
    </w:p>
    <w:p w14:paraId="42A74BF0" w14:textId="77777777" w:rsidR="00733DCA" w:rsidRPr="00BC0323" w:rsidRDefault="00733DCA" w:rsidP="0001477B">
      <w:pPr>
        <w:rPr>
          <w:noProof/>
        </w:rPr>
      </w:pPr>
    </w:p>
    <w:p w14:paraId="52BD2528" w14:textId="77777777" w:rsidR="00932F3F" w:rsidRPr="00BC0323" w:rsidRDefault="00932F3F" w:rsidP="0001477B">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szCs w:val="24"/>
        </w:rPr>
        <w:sectPr w:rsidR="00932F3F" w:rsidRPr="00BC0323" w:rsidSect="0001477B">
          <w:headerReference w:type="even" r:id="rId348"/>
          <w:headerReference w:type="default" r:id="rId349"/>
          <w:footerReference w:type="even" r:id="rId350"/>
          <w:footerReference w:type="default" r:id="rId351"/>
          <w:headerReference w:type="first" r:id="rId352"/>
          <w:footerReference w:type="first" r:id="rId353"/>
          <w:pgSz w:w="15840" w:h="12240" w:orient="landscape"/>
          <w:pgMar w:top="1440" w:right="1440" w:bottom="1440" w:left="1440" w:header="708" w:footer="708" w:gutter="0"/>
          <w:cols w:space="708"/>
          <w:docGrid w:linePitch="360"/>
        </w:sectPr>
      </w:pPr>
    </w:p>
    <w:p w14:paraId="3E28F813" w14:textId="77777777" w:rsidR="00733DCA" w:rsidRPr="00F656F1" w:rsidRDefault="00733DCA" w:rsidP="0001477B">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szCs w:val="24"/>
        </w:rPr>
      </w:pPr>
      <w:r>
        <w:rPr>
          <w:rFonts w:ascii="Times New Roman" w:hAnsi="Times New Roman"/>
          <w:b/>
          <w:smallCaps/>
          <w:noProof/>
          <w:sz w:val="24"/>
        </w:rPr>
        <w:t>U. KOMPONENTA 5.1.: JAČANJE OTPORNOSTI ZDRAVSTVENOG SUSTAVA</w:t>
      </w:r>
    </w:p>
    <w:p w14:paraId="44C1BC0E"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Ovom komponentom hrvatskog plana za oporavak i otpornost nastoji se odgovoriti na izazove uzrokovane pandemijom bolesti COVID-19 koji se odnose na otpornost i održivost zdravstvenog sustava u vezi s očekivanim životnim vijekom kraćim od prosjeka EU-a te slabom preventivnom, kroničnom i dugotrajnom skrbi. Općeniti je cilj reformi i ulaganja u okviru ove komponente poboljšanje učinkovitosti, kvalitete i financijske održivosti zdravstvenog sustava. </w:t>
      </w:r>
    </w:p>
    <w:p w14:paraId="5758460B"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Komponenta uključuje sljedeće mjere:</w:t>
      </w:r>
    </w:p>
    <w:p w14:paraId="7083EF7B"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uvođenje novih modela skrbi za pacijente, s posebnim naglaskom na preventivnu i kroničnu skrb za oboljele od raka,</w:t>
      </w:r>
    </w:p>
    <w:p w14:paraId="10873992"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funkcionalna integracija bolnica i jačanje dnevnih bolnica na sekundarnoj i tercijarnoj razini (horizontalno i vertikalno),</w:t>
      </w:r>
    </w:p>
    <w:p w14:paraId="2EB8617E"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povećanje udjela specijalista obiteljske medicine u ukupnom broju doktora ugovorenih u timovima opće i obiteljske medicine,</w:t>
      </w:r>
    </w:p>
    <w:p w14:paraId="7280F53D"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poboljšanje digitaliziranog sustava zajedničke javne nabave kako bi se obuhvatile i bolnice u vlasništvu županija kako bi se ostvarile znatne uštede u sustavu i poboljšala kvaliteta,</w:t>
      </w:r>
    </w:p>
    <w:p w14:paraId="584D1687"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široka upotreba središnjeg sustava pripreme u osam bolnica i uvođenje sustava distribucije jediničnih terapija u 40 bolnica.</w:t>
      </w:r>
    </w:p>
    <w:p w14:paraId="20660C24"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Komponentom se doprinosi ispunjenju preporuke za Hrvatsku o jačanju otpornosti zdravstvenog sustava, uravnoteženoj zemljopisnoj raspodjeli zdravstvenih radnika i ustanova, bližoj suradnji upravnih tijela na svim razinama i ulaganju e-zdravstvo (preporuka za Hrvatsku 1.2. iz 2020.), o doprinosu povećanju pristupa digitalnoj infrastrukturi i uslugama (preporuka za Hrvatsku 2.3. iz 2020.) i o promicanju stjecanja vještina (preporuka za Hrvatsku 2.4. iz 2020.).</w:t>
      </w:r>
    </w:p>
    <w:p w14:paraId="05EC856B"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Očekuje se da nijedna mjera u ovoj komponenti ne nanosi bitnu štetu okolišnim ciljevima u smislu članka 17. Uredbe (EU) 2020/852, uzimajući u obzir opis mjera i korake ublažavanja utvrđene u planu za oporavak i otpornost u skladu s Tehničkim smjernicama za primjenu načela nenanošenja bitne štete (2021/C58/01).</w:t>
      </w:r>
    </w:p>
    <w:p w14:paraId="21CA3B76" w14:textId="77777777" w:rsidR="00A2668F" w:rsidRPr="00BC0323" w:rsidRDefault="00A2668F" w:rsidP="0001477B">
      <w:pPr>
        <w:spacing w:before="120" w:after="120" w:line="240" w:lineRule="auto"/>
        <w:jc w:val="both"/>
        <w:rPr>
          <w:rFonts w:ascii="Times New Roman" w:eastAsia="Calibri" w:hAnsi="Times New Roman" w:cs="Times New Roman"/>
          <w:iCs/>
          <w:noProof/>
          <w:sz w:val="24"/>
        </w:rPr>
      </w:pPr>
    </w:p>
    <w:p w14:paraId="5DC70028" w14:textId="77777777" w:rsidR="00733DCA" w:rsidRPr="00F656F1" w:rsidRDefault="00733DCA" w:rsidP="0001477B">
      <w:pPr>
        <w:keepNext/>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U.1. </w:t>
      </w:r>
      <w:r>
        <w:rPr>
          <w:rFonts w:ascii="Times New Roman" w:hAnsi="Times New Roman"/>
          <w:b/>
          <w:noProof/>
          <w:sz w:val="24"/>
          <w:u w:val="single"/>
        </w:rPr>
        <w:tab/>
        <w:t>Opis reformi i ulaganja za programe bespovratne financijske potpore</w:t>
      </w:r>
    </w:p>
    <w:p w14:paraId="365DF7C4"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Reforma C5.1. R1 – Unapređenje učinkovitosti, kvalitete i dostupnosti zdravstvenog sustava</w:t>
      </w:r>
    </w:p>
    <w:p w14:paraId="4DF6EFFF"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 xml:space="preserve">Cilj je mjere povećati jednak pristup primarnoj zdravstvenoj zaštiti, posebno na ruralnim, udaljenim i otočnim područjima, poboljšanjem opsega i kvalitete usluga na razini obiteljskih liječnika (liječnici opće prakse) te smanjiti opterećenje bolnica. Kako bi se bolje pratili zdravstveni ishodi, uspostavlja se okvir za procjenu učinkovitosti zdravstvenog sustava kako bi se doprinijelo stvaranju ključnih pokazatelja uspješnosti u skladu s utvrđenom metodologijom, a radi povezivanja mjera s ciljevima utvrđenima u nacionalnim strateškim dokumentima i reformama te poboljšanja pravodobnosti zdravstvenih podataka dostupnih za stratešku analizu i analizu politika. </w:t>
      </w:r>
    </w:p>
    <w:p w14:paraId="41A0ACDE" w14:textId="6E71C314" w:rsidR="00733DCA" w:rsidRPr="00932F3F"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prosinca 2023.</w:t>
      </w:r>
    </w:p>
    <w:p w14:paraId="7BB93FDF" w14:textId="77777777" w:rsidR="00733DCA" w:rsidRPr="00F656F1" w:rsidRDefault="00733DCA" w:rsidP="0001477B">
      <w:pPr>
        <w:spacing w:before="120" w:after="120" w:line="240" w:lineRule="auto"/>
        <w:ind w:left="850"/>
        <w:jc w:val="both"/>
        <w:rPr>
          <w:rFonts w:ascii="Times New Roman" w:eastAsia="Calibri" w:hAnsi="Times New Roman" w:cs="Times New Roman"/>
          <w:iCs/>
          <w:noProof/>
          <w:sz w:val="24"/>
        </w:rPr>
      </w:pPr>
      <w:r>
        <w:rPr>
          <w:rFonts w:ascii="Times New Roman" w:hAnsi="Times New Roman"/>
          <w:noProof/>
          <w:sz w:val="24"/>
          <w:u w:val="single"/>
        </w:rPr>
        <w:t>Ulaganje C5.1. R1-I4 – Digitalna slikovna dijagnostika KBC-a Split</w:t>
      </w:r>
    </w:p>
    <w:p w14:paraId="0CD44BD2"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unaprijediti digitalnu slikovnu dijagnostiku KBC-a Split, čime bi se poboljšala zdravstvena skrb u području prevencije, liječenja i dijagnosticiranja bolesti. Ulaganjem će se nastojati podići kvaliteta i dostupnost zdravstvene zaštite za sve kategorije pacijenata, poboljšati klinički ishodi i pružiti ranija i kvalitetnija dijagnostike, osobito u pedijatrijskih i onkoloških pacijenata. Naime, digitalizirati će se zdravstvene usluge i procesi, osigurati transparentnost u pružanju zdravstvene usluge, optimizirati korištenje resursa bolničkog sustava te osigurati buduća financijska stabilnost. Ulaganjem će se prostor prilagođava za smještaj novostečene medicinske opreme, uključujući magnetsku rezonancu 3T, neurointervencijsku digitalnu DSA angiosalu, digitalni dijaskopski RTG uređaj i endoskopsku gastroenterološku salu.</w:t>
      </w:r>
    </w:p>
    <w:p w14:paraId="476D69DE"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31. prosinca 2022.</w:t>
      </w:r>
    </w:p>
    <w:p w14:paraId="4B83346D"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R1-I5 – Izgradnja i opremanje zgrade centralnog operacijskog bloka OB-a Varaždin</w:t>
      </w:r>
    </w:p>
    <w:p w14:paraId="037F1E15"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izgraditi i opremiti središnji operativni blok jedinicom intenzivnog liječenja (JIL), središnjom sterilizacijom, RTG dijagnostikom, transfuziologijom i medicinsko-biokemijskim laboratorijem te izgraditi spojni hodnik prema postojećim medicinskim objektima. Očekuje se da će se ulaganjem optimizirati resursi bolničkog zdravstvenog sustava, povećati sigurnost pacijenata i omogućiti odgovarajući uvjeti za rad zdravstvenog osoblja. Nadalje, očekuje se da će se objedinjavanjem suvremenih i funkcionalnih prostora svih pratećih djelatnosti operacijskog bloka povećati kvaliteta usluge i sigurnost pacijenata pri premještanju s odjela na odjel. Opća bolnica Varaždin će iz paviljonskog tipa bolnice prijeći u jedinstveno funkcionalno povezanu zgradu kao jednu cjelinu. Očekuje se da će se time osigurati i financijska održivost.</w:t>
      </w:r>
    </w:p>
    <w:p w14:paraId="3EB1AEFF"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31. prosinca 2025.</w:t>
      </w:r>
    </w:p>
    <w:p w14:paraId="41933C49"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R1-I6 – Digitalna slikovna dijagnostika KBC-a Dubrava</w:t>
      </w:r>
    </w:p>
    <w:p w14:paraId="487C9995"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nabaviti digitalnu radiološku opremu za Klinički zavod za dijagnostičku i intervencijsku radiologiju KB-a Dubrava, koji pruža usluge za više od 350 000 pacijenata. Općenito se očekuje da će se ovim ulaganjem znatno poboljšati kvaliteta i dostupnost zdravstvene zaštite za sve kategorije bolesnika, poboljšati dijagnostika, liječenje i praćenje nakon liječenja, a time i klinički ishodi za sve skupine bolesnika, uključujući pacijente kojima je potrebno najkompleksnije liječenje u klinikama i ustrojbenim jedinicama bolnice. Očekuje se da će se uslijed skratiti trajanje hospitalizacije te smanjiti komplikacije, potreba za liječenjem u jedinicama intenzivne skrbi, troškovi liječenja i liste čekanja. Ulaganje uključuje nabavu suvremene opreme.  </w:t>
      </w:r>
    </w:p>
    <w:p w14:paraId="6F1CB388"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30. lipnja 2023.</w:t>
      </w:r>
    </w:p>
    <w:p w14:paraId="3B205068" w14:textId="77777777" w:rsidR="00733DCA" w:rsidRDefault="00733DCA" w:rsidP="0001477B">
      <w:pPr>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 xml:space="preserve">Ulaganje C5.1. R1-I7 – Opremanje novih objekata objedinjenog hitnog bolničkog prijema, dnevnih bolnica i jednodnevnih kirurgija te uređenje Klinike za neurokirurgiju KBC-a Sestre milosrdnice </w:t>
      </w:r>
    </w:p>
    <w:p w14:paraId="61B9841D"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mjere je povećanje kapaciteta za liječenje bolesnika za najmanje 22 % u odnosu na dosadašnji broj pacijenata. Očekuje se da će se ulaganjem znatno poboljšati kvaliteta zdravstvene zaštite za otprilike 700 000 pacijenata koji se liječe u KBC-u od kojih je otprilike 300 000 hitnih slučajeva i oko 40 000 pacijenata koji se liječe u dnevnim bolnicama i jednodnevnim kirurgijama. Mjerom će se opremiti novi objekti za dnevnu bolnicu i jednodnevnu kirurgiju i integrirani bolnički prijem te će se adaptirati Klinika za neurokirurgiju KBC-a Sestre milosrdnice. </w:t>
      </w:r>
    </w:p>
    <w:p w14:paraId="250E40AD" w14:textId="35ED3D4D"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31. ožujka 2024.</w:t>
      </w:r>
    </w:p>
    <w:p w14:paraId="2ED3F528"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R1-I8 – Preoperativna obrada i liječenje bolesnika s farmakorezistentnom epilepsijom u KB-u Dubrava</w:t>
      </w:r>
    </w:p>
    <w:p w14:paraId="1470BDE0"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dalje razvijati Zavod za neurologiju KB-a Dubrava, kao i predoperativne metode i terapije epilepsije kod farmakorezistentnih pacijenata. Ulaganje uključuje nabavu suvremene opreme i prilagodbu prostornih kapaciteta. </w:t>
      </w:r>
    </w:p>
    <w:p w14:paraId="4430F2A5"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30. lipnja 2023.</w:t>
      </w:r>
    </w:p>
    <w:p w14:paraId="24D98D98"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R1-I9 – III. faza razvoja KBC-a Zagreb – opremanje medicinskom i nemedicinskom opremom</w:t>
      </w:r>
    </w:p>
    <w:p w14:paraId="4919B80A"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Cilj je mjere osigurati postizanje nužnih tehničkih uvjeta za optimizaciju provođenja postojećih oblika skrbi te razvoj novih usluga koji će omogućiti primjenu suvremenih tehnologija te povećati dostupnost skrbi na tercijarnoj i kvartarnoj razini zdravstvene zaštite. Kao dio projekta razvoja KBC-a Zagreb u okviru ulaganja nabavlja se medicinska i nemedicinska oprema. Mjera će biti dovršena do 31. ožujka 2026.</w:t>
      </w:r>
    </w:p>
    <w:p w14:paraId="7AB63DD5"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C5.1. R2 – Uvođenje novog modela skrbi za ključne zdravstvene izazove</w:t>
      </w:r>
    </w:p>
    <w:p w14:paraId="3C6F0B4A"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poboljšati i uskladiti kvalitetu zdravstvenih usluga izradom integriranih kliničkih e-smjernica. Sustav će uključivati jasno definiranu organizaciju liječenja kroz nacionalnu mrežu te ključne kliničke smjernice i praćenje pacijenata koji će odrediti konkretne korake u liječenju i prihvatljiva vremena čekanja. </w:t>
      </w:r>
    </w:p>
    <w:p w14:paraId="0B10F9EA"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30. rujna 2025.</w:t>
      </w:r>
    </w:p>
    <w:p w14:paraId="25504C4B"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R2-I1 – Nabava opreme za prevenciju, dijagnostiku i liječenje osoba oboljelih od raka</w:t>
      </w:r>
    </w:p>
    <w:p w14:paraId="148B9B43" w14:textId="67DF3BE3" w:rsidR="00733DCA" w:rsidRPr="00C67005"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osigurati optimalnu terapiju svim onkološkim bolesnicima u Hrvatskoj bez čekanja na liječenje, primjenom modernih radioterapijskih tehnika u cilju optimalne iskorištenosti opreme i kontrole kvalitete radioterapijskog procesa te na taj način poboljšati kvalitetu usluga i poboljšati zdravstvene ishode u liječenju onkoloških pacijenata. Mjera podrazumijeva provedbu sljedećeg: izgradnja osam bunkera za smještaj linearnih akceleratora, radioterapijska oprema, 17 linearnih akceleratora VMAT, četiri linearna akceleratora SBRT, četiri HDR brahiterapije, devet simulatora CT-a, radioterapijska mrežna oprema, dozimetrijska oprema, fiksacijska oprema.</w:t>
      </w:r>
    </w:p>
    <w:p w14:paraId="4AD00DCA"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31. prosinca 2025.</w:t>
      </w:r>
    </w:p>
    <w:p w14:paraId="2AADDDEB"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R2-I2 – Nabava i primjena opreme za uspostavu Nacionalne onkološke mreže i nacionalne baze onkoloških podataka</w:t>
      </w:r>
    </w:p>
    <w:p w14:paraId="6B274A8C"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uspostaviti Nacionalnu onkološku mrežu za potrebe Nacionalne baze onkoloških podataka u kojoj će se automatski povezivati i u koju će se automatski upisivati podaci iz bolničkih informacijskih sustava i drugih sustava i koja će bila kompatibilna i paralelna s bolničkim informatičkim sustavima, a koja neće dodatno opteretiti zdravstvene radnike. Nadalje, uspostavit će jedinstvenu, uniformnu informatičku platformu za povezivanje, praćenje i optimalno liječenje onkoloških pacijenata, omogućiti planiranje organizacijskih i strukturnih promjena, prepoznavanje rizika i pružiti temelj za provedbu daljnjih faza strategije, uključujući uspostavu radioterapijske mreže. U sveobuhvatnoj Nacionalnu mreži onkoloških podataka na informatičkoj platformi svi pacijenti dobit će onkološku skrb u skladu sa smjernicama i jedinstvenom/kompletnom bazom podataka o kvaliteti onkološke skrbi.</w:t>
      </w:r>
    </w:p>
    <w:p w14:paraId="5D63D651"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31. prosinca 2025.</w:t>
      </w:r>
    </w:p>
    <w:p w14:paraId="5A21CC33"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C5.1. R3 – Uvođenje sustava strateškog upravljanja ljudskim resursima u zdravstvu</w:t>
      </w:r>
    </w:p>
    <w:p w14:paraId="5DA39425"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reforme povećati dostupnost zdravstvene zaštite svim građanima, osobito onima u ruralnim i slabije naseljenim područjima, te poboljšati učinkovitost hitne medicine i osigurati visokokvalitetan i učinkovit sustav zdravstvene zaštite. Radi postizanja tog cilja omogućit će se specijalističko usavršavanje zdravstvenih djelatnika, u prvom redu doktora medicine na primarnoj razini zdravstvene zaštite te medicinskih sestara i tehničara u djelatnosti hitne medicine i na taj način ostvariti ravnomjerna geografska raspodjela zdravstvenih radnika i dostatna popunjenost Mreže javne zdravstvene službe. Nadalje, reforma uključuje donošenje Nacionalnog plana razvoja zdravstva za razdoblje 2021.–2027., kojim će se: </w:t>
      </w:r>
    </w:p>
    <w:p w14:paraId="6777448D"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definirati razvojne potrebe za postizanje fleksibilnog, učinkovitog i holističkog upravljanja zdravstvenim sustavom,</w:t>
      </w:r>
    </w:p>
    <w:p w14:paraId="658DD1C0"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utvrditi mjere za uspješno promicanje zdravlja i prevenciju bolesti,</w:t>
      </w:r>
    </w:p>
    <w:p w14:paraId="0CB4AE9C"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uvesti koordinacija pružatelja zdravstvene zaštite i preobrazbu modela liječenja i rehabilitacije prema aktivnom upravljanju procesom skrbi u svim fazama i na svim razinama,</w:t>
      </w:r>
    </w:p>
    <w:p w14:paraId="0A9B53D1"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definirati integracija zdravstvenih usluga i socijalne skrbi te razvoj integriranih modela dugotrajne skrbi,</w:t>
      </w:r>
    </w:p>
    <w:p w14:paraId="03EB34CC"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uvesti mjere za kontrolu i poboljšanje kvalitete zdravstvene skrbi i sigurnosti pacijenata,</w:t>
      </w:r>
    </w:p>
    <w:p w14:paraId="71552E9A"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xml:space="preserve">— poboljšati odredbe o upravljanju osobljem, </w:t>
      </w:r>
    </w:p>
    <w:p w14:paraId="6BE9C87F"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xml:space="preserve">— uvesti posebni ciljevi koji neizravno doprinose postizanju strateškog cilja utvrđenog u Nacionalnoj razvojnoj strategiji (NRS) do 2030. Povećanju zdravih godina u očekivanom životnom vijeku doprinijet će se: </w:t>
      </w:r>
    </w:p>
    <w:p w14:paraId="02BDA867"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promicanjem zdravog načina života i prevencije bolesti koji su vodeći problem javnog zdravlja,</w:t>
      </w:r>
    </w:p>
    <w:p w14:paraId="40F21910"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xml:space="preserve">— poboljšanjem kvalitete zdravstvene skrbi boljom učinkovitošću, sigurnošću i dostupnošću te funkcionalnom integracijom svih razina i dijelova zdravstvene skrbi, </w:t>
      </w:r>
    </w:p>
    <w:p w14:paraId="22B843A6"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uvođenjem novog modela skrbi za ključna zdravstvena pitanja kao što su kardiovaskularne, onkološke i rijetke bolesti te dijabetes radi produljenja i poboljšanja kvalitete života,</w:t>
      </w:r>
    </w:p>
    <w:p w14:paraId="1207F0B4"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strateškim upravljanjem radi promicanja atraktivnosti zdravstvenog sustava kao mjesta zapošljavanja, čime će se osigurati optimalan broj i raspodjela zaposlenika u zdravstvenom sustavu,</w:t>
      </w:r>
    </w:p>
    <w:p w14:paraId="55A9E21C" w14:textId="77777777" w:rsidR="00733DCA" w:rsidRPr="00F656F1" w:rsidRDefault="00733DCA" w:rsidP="0001477B">
      <w:pPr>
        <w:spacing w:before="120" w:after="240" w:line="240" w:lineRule="auto"/>
        <w:ind w:left="851"/>
        <w:jc w:val="both"/>
        <w:rPr>
          <w:rFonts w:ascii="Times New Roman" w:eastAsia="Calibri" w:hAnsi="Times New Roman" w:cs="Times New Roman"/>
          <w:noProof/>
          <w:sz w:val="24"/>
        </w:rPr>
      </w:pPr>
      <w:r>
        <w:rPr>
          <w:rFonts w:ascii="Times New Roman" w:hAnsi="Times New Roman"/>
          <w:noProof/>
          <w:sz w:val="24"/>
        </w:rPr>
        <w:t>— poboljšanjem modela financiranja i upravljanja zdravstvenim sustavom.</w:t>
      </w:r>
    </w:p>
    <w:p w14:paraId="71543944"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30. rujna 2021.</w:t>
      </w:r>
    </w:p>
    <w:p w14:paraId="4725D186" w14:textId="77777777" w:rsidR="00733DCA" w:rsidRPr="00C67005"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R3-I1 – Centralno financiranje specijalizacija</w:t>
      </w:r>
    </w:p>
    <w:p w14:paraId="10E3EA35" w14:textId="07DFBEF0" w:rsidR="00733DCA" w:rsidRPr="00C6700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mjere osigurati da sve zdravstvene usluge budu dostupne javnosti, uzimajući u obzir i manjak liječnika zbog umirovljenja, nedovoljnog interesa za prihvaćanje posla u ruralnim i ugroženim sredinama, uključujući otoke, te odljeva mladih liječnika u inozemstvo. Ulaganjem će se osigurati specijalističko osposobljavanje zdravstvenih djelatnika, liječnika medicine na primarnoj razini zdravstvene zaštite i u području javnog zdravstva. Glavni je cilj ove mjere otklanjanje manjka specijaliziranih liječnika, posebno na primarnoj razini zdravstvene zaštite i u području javnog zdravstva, kako bi se ispunili zahtjevi Mreže javne zdravstvene službe.</w:t>
      </w:r>
    </w:p>
    <w:p w14:paraId="129CB5A5" w14:textId="77777777" w:rsidR="00733DCA" w:rsidRPr="00C67005" w:rsidRDefault="00733DCA" w:rsidP="0001477B">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Sustav je osmišljen kako bi se osigurala raspodjela i korištenje sredstava, uključujući vraćanje sredstava iz nedovršenih programa specijalističkog medicinskog usavršavanja. Ta će se vraćena sredstva usmjeriti prema unaprijed definiranim ciljevima sustava centraliziranog financiranja specijalističkog medicinskog usavršavanja, s posebnim fokusom na otklanjanje manjka specijalista medicine.</w:t>
      </w:r>
    </w:p>
    <w:p w14:paraId="20F12BDF" w14:textId="73C6822D" w:rsidR="00733DCA" w:rsidRPr="00F656F1"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Mjera će biti dovršena do 31. ožujka 2026.</w:t>
      </w:r>
    </w:p>
    <w:p w14:paraId="5F2CD4F0"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R3-I2 – Specijalističko usavršavanje medicinskih sestara i tehničara u djelatnosti hitne medicine</w:t>
      </w:r>
    </w:p>
    <w:p w14:paraId="55F1ED9A"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osigurati specijalističko osposobljavanje medicinskih sestara i tehničara u području hitne medicine kako bi im se omogućilo da samostalno rade u hitnim medicinskim službama. Usavršavanje će omogućiti pružanje šireg opsega zdravstvenih usluga hitnim pacijentima, a za velik broj intervencija neće biti potreban liječnik. Osim toga, mjerom će se omogućiti postupno ukidanje liječnika koji rade u hitnoj izvanbolničkoj zdravstvenoj službi, čime će se pokriti nedostatak liječnika u bolničkom sustavu i postići racionalizacija hitnog zdravstvenog sustava.</w:t>
      </w:r>
    </w:p>
    <w:p w14:paraId="3D3514CC" w14:textId="4B34D84A"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2026.</w:t>
      </w:r>
    </w:p>
    <w:p w14:paraId="386BA682"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C5.1. R4 – Osiguranje financijske održivosti zdravstvenog sustava</w:t>
      </w:r>
    </w:p>
    <w:p w14:paraId="14DF9F3F"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Cilj je mjere riješiti problem neodrživog porasta dospjelih obveza, neujednačenih procedura te nabava skupih lijekova u zdravstvenom sustavu, radi postizanja financijski održivog javnog zdravstvenog sustava provedbom jedinstvenog standarda pripreme, ugovaranja i provedbe postupaka koji utječu na načine i mogućnosti pružanja zdravstvene zaštite. Reforma uključuje preispitivanje pravnog okvira koji se sastoji od Zakona o zdravstvenoj zaštiti i Zakona o obveznom zdravstvenom osiguranju sa sljedećim elementima:</w:t>
      </w:r>
    </w:p>
    <w:p w14:paraId="61ECFB71"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unapređenje organizacije djelatnosti hitne medicine Hrvatskog zavoda za hitnu medicinu i obavljanje operativnih zadaća putem definiranih organizacijskih jedinica, </w:t>
      </w:r>
    </w:p>
    <w:p w14:paraId="5B7709CC"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reorganizacija službe javnog zdravstva s ciljem povećanja njezine učinkovitosti, s posebnim naglaskom na prevenciji i ranoj dijagnozi, boljem odgovoru u izvanrednim situacijama i posebnim okolnostima (pandemijama), </w:t>
      </w:r>
    </w:p>
    <w:p w14:paraId="00BFB898"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prijenos prava upravljanja bolnicama sa županija i Grada Zagreba na Republiku Hrvatsku radi učinkovitog i djelotvornog iskorištavanja postojećih kapaciteta te poboljšanje dostupnosti i kvalitete zdravstvene skrbi reorganizacijom modela upravljanja bolnicama,</w:t>
      </w:r>
    </w:p>
    <w:p w14:paraId="56195EC2"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skraćivanje vremena na listama čekanja za pojedinačne zdravstvene usluge, optimizacija i bolja raspodjela dostupnih zdravstvenih resursa iz obveznog zdravstvenog osiguranja kako bi se osigurale pristupačnije zdravstvene usluge za osigurane osobe,</w:t>
      </w:r>
    </w:p>
    <w:p w14:paraId="26551384"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jačanje odredaba o financijskom upravljanju uz istodobno jamčenje financijskog kapitala u svrhu postizanja financijske stabilnosti sustava javnog zdravstva,</w:t>
      </w:r>
    </w:p>
    <w:p w14:paraId="28DA887F"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zakonodavne izmjene kojima se osigurava pravodobno ispunjenje obveza HZZO-a. </w:t>
      </w:r>
    </w:p>
    <w:p w14:paraId="62B325EF" w14:textId="77777777" w:rsidR="00733DCA" w:rsidRPr="00F656F1" w:rsidRDefault="00733DCA" w:rsidP="0001477B">
      <w:pPr>
        <w:spacing w:after="200" w:line="276" w:lineRule="auto"/>
        <w:rPr>
          <w:rFonts w:ascii="Times New Roman" w:eastAsia="Calibri" w:hAnsi="Times New Roman" w:cs="Times New Roman"/>
          <w:noProof/>
          <w:sz w:val="24"/>
          <w:szCs w:val="24"/>
        </w:rPr>
      </w:pPr>
      <w:r>
        <w:rPr>
          <w:rFonts w:ascii="Times New Roman" w:hAnsi="Times New Roman"/>
          <w:noProof/>
          <w:sz w:val="24"/>
        </w:rPr>
        <w:t xml:space="preserve">Reformom se postižu sljedeći ciljevi: </w:t>
      </w:r>
    </w:p>
    <w:p w14:paraId="0DC32BB4" w14:textId="77777777" w:rsidR="00733DCA" w:rsidRPr="00F656F1" w:rsidRDefault="00733DCA" w:rsidP="00733DCA">
      <w:pPr>
        <w:numPr>
          <w:ilvl w:val="0"/>
          <w:numId w:val="29"/>
        </w:numPr>
        <w:spacing w:after="200" w:line="276" w:lineRule="auto"/>
        <w:contextualSpacing/>
        <w:rPr>
          <w:rFonts w:ascii="Calibri" w:eastAsia="Calibri" w:hAnsi="Calibri" w:cs="Arial"/>
          <w:noProof/>
          <w:sz w:val="24"/>
          <w:szCs w:val="24"/>
        </w:rPr>
      </w:pPr>
      <w:r>
        <w:rPr>
          <w:rFonts w:ascii="Times New Roman" w:hAnsi="Times New Roman"/>
          <w:noProof/>
          <w:sz w:val="24"/>
        </w:rPr>
        <w:t>dovršena je funkcionalna integracija najmanje osam bolnica,</w:t>
      </w:r>
    </w:p>
    <w:p w14:paraId="13703EC2" w14:textId="77777777" w:rsidR="00733DCA" w:rsidRPr="00F656F1" w:rsidRDefault="00733DCA" w:rsidP="00733DCA">
      <w:pPr>
        <w:numPr>
          <w:ilvl w:val="0"/>
          <w:numId w:val="29"/>
        </w:numPr>
        <w:spacing w:after="200" w:line="276" w:lineRule="auto"/>
        <w:contextualSpacing/>
        <w:rPr>
          <w:rFonts w:ascii="Calibri" w:eastAsia="Calibri" w:hAnsi="Calibri" w:cs="Arial"/>
          <w:noProof/>
          <w:sz w:val="24"/>
          <w:szCs w:val="24"/>
        </w:rPr>
      </w:pPr>
      <w:r>
        <w:rPr>
          <w:rFonts w:ascii="Times New Roman" w:hAnsi="Times New Roman"/>
          <w:noProof/>
          <w:sz w:val="24"/>
        </w:rPr>
        <w:t xml:space="preserve">najmanje 85 % kategorija nabave, koje čine najmanje 80 % ukupne potrošnje bolnica kojima upravlja država, nabavljeno je u okviru postupka zajedničke javne nabave.  </w:t>
      </w:r>
    </w:p>
    <w:p w14:paraId="54244BF4"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2023.</w:t>
      </w:r>
    </w:p>
    <w:p w14:paraId="0F82A151"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R4-I1 – Centralna priprava parenteralnih pripravaka u 8 hrvatskih bolnica</w:t>
      </w:r>
    </w:p>
    <w:p w14:paraId="21735374"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uvesti središnji sustav pripreme za najmanje 75 % parenteralnih pripravaka u osam bolnica kako bi se smanjili troškovi i osigurala najviša razina sigurnosti u primjeni parenteralnih lijekova, prevenirale medikacijske pogreške, smanjio broj dana bolničkog liječenja i rasteretili liječnici i medicinske sestre na bolničkim odjelima. Mjerom se osigurava sljedivost lijeka od osobe koja propisuje lijek do pacijenta te automatizacija podataka o generiranju liječenja kao osnove za praćenje ishoda liječenja.</w:t>
      </w:r>
    </w:p>
    <w:p w14:paraId="6055575D" w14:textId="0C30BEAF"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2025.</w:t>
      </w:r>
    </w:p>
    <w:p w14:paraId="45057CE7"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R4-I2 – Uvođenje sustava raspodjele jedinične terapije u 40 hrvatskih bolnica</w:t>
      </w:r>
    </w:p>
    <w:p w14:paraId="7E9575E4"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doprinijeti povećanju sigurnosti pacijenata, preveniranju medikacijskih pogrešaka, kontroli zaliha lijekova i povećanju adherencije pacijenata, čime će se poboljšati opći ishodi liječenja. Ulaganjem se uvodi sustav distribucije jediničnih terapija u 40 bolnica te poboljšava kvaliteta i točnost skrbi, uzimajući u obzir sve važnije farmako-ekonomske ishode, što omogućava održavanje i daljnje poboljšanje kvalitete distribucije terapije.</w:t>
      </w:r>
    </w:p>
    <w:p w14:paraId="46D8B313" w14:textId="77777777" w:rsidR="00733DCA" w:rsidRPr="00F656F1" w:rsidRDefault="00733DCA" w:rsidP="0001477B">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Mjera će biti dovršena do 31. prosinca 2025.</w:t>
      </w:r>
    </w:p>
    <w:p w14:paraId="025AB480"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R4-I3 – Digitalizacija puta lijeka kroz zdravstvene ustanove na sekundarnoj i tercijarnoj razini zdravstvene zaštite</w:t>
      </w:r>
    </w:p>
    <w:p w14:paraId="6CCB48BF" w14:textId="77777777" w:rsidR="00733DCA" w:rsidRPr="00F656F1" w:rsidRDefault="00733DCA" w:rsidP="0001477B">
      <w:pPr>
        <w:spacing w:before="120" w:after="240" w:line="240" w:lineRule="auto"/>
        <w:jc w:val="both"/>
        <w:rPr>
          <w:rFonts w:ascii="Times New Roman" w:eastAsia="Calibri" w:hAnsi="Times New Roman" w:cs="Times New Roman"/>
          <w:noProof/>
          <w:sz w:val="24"/>
        </w:rPr>
      </w:pPr>
      <w:r>
        <w:rPr>
          <w:rFonts w:ascii="Times New Roman" w:hAnsi="Times New Roman"/>
          <w:noProof/>
          <w:sz w:val="24"/>
        </w:rPr>
        <w:t xml:space="preserve">Cilj je mjere digitalizirati put lijeka kako bi se omogućilo praćenje potrošnje lijekova u hrvatskom zdravstvenom sustavu. Očekuje se da će se ulaganjem smanjiti administrativno i financijsko opterećenje sustava uklanjanjem potrebe za svim papirnatim dokumentima uz lijek, smanjenjem administrativnih troškova i upotrebom lijekova na odjelima. Omogućit će i kreiranje farmakoepidemioloških podataka koji otvaraju vrata prema sustavnijem planiranju, praćenju i vrednovanju svih procesa u zdravstvu. </w:t>
      </w:r>
    </w:p>
    <w:p w14:paraId="4DB2B4B5"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2026.</w:t>
      </w:r>
    </w:p>
    <w:p w14:paraId="5BCB751E"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R4-I4 – Izrada sustava praćenja i preveniranja nestašica lijekova u Hrvatskoj</w:t>
      </w:r>
    </w:p>
    <w:p w14:paraId="2758F949"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uvesti ciljano upravljanje zalihama lijekova, čime će se poboljšati učinkovitost nabave lijekova i osigurati dostupnost lijekova po najboljoj dostupnoj cijeni. Nadalje, mjerom će se uvesti precizan sustav za praćenje i analizu prometa određenih lijekova, čime će se Hrvatskoj pružiti model i alat za predviđanje i preveniranje nestašica lijekova. </w:t>
      </w:r>
    </w:p>
    <w:p w14:paraId="1B6022E3"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2025.</w:t>
      </w:r>
    </w:p>
    <w:p w14:paraId="52272F3D"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 xml:space="preserve">Ulaganje C5.1. R4-I5 – Uvođenje sustava praćenja ishoda liječenja vanbolničkih pacijenata s naglaskom na kronične pacijente u javnim ljekarnama </w:t>
      </w:r>
    </w:p>
    <w:p w14:paraId="444C09A8"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omogućiti sustavnije planiranje, praćenje i vrednovanje isplativosti ulaganja u farmakoterapiju vanbolničkih pacijenata. Uvest će se sustav za praćenje ishoda kroničnih nebolničkih pacijenata u javnim ljekarnama. Hrvatskom zdravstvenom sustavu omogućit će se potpuno i transparentno praćenje ishoda liječenja i bolje razumijevanje različitih ishoda kupljenih lijekova. Nadalje, omogućit će se stvaranje vrijednih farmakoepidemioloških baza podataka. </w:t>
      </w:r>
    </w:p>
    <w:p w14:paraId="341B4B59" w14:textId="620FEF70"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31. prosinca 2025.</w:t>
      </w:r>
    </w:p>
    <w:p w14:paraId="2A51313C"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Reforma C5.1. R5 – E-Zdravstvo</w:t>
      </w:r>
    </w:p>
    <w:p w14:paraId="07DAA756"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Cilj je mjere unaprijediti upravljačke kapacitete djelotvornijom upotrebom podataka i poticati inovativna rješenja u zdravstvu u cilju kvalitetnijeg upravljanja zdravstvenim sustavom. Reformom e-zdravstva poduprijet će se napori kako bi se osiguralo da svi ljudi imaju pristup potrebnim zdravstvenim uslugama (uključujući prevenciju, liječenje, rehabilitaciju i palijativnu skrb) dostatne kvalitete. Reforma uključuje donošenje nacionalnog telemedicinskog okvira radi:</w:t>
      </w:r>
    </w:p>
    <w:p w14:paraId="6A524E3B"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proširenja opsega telemedicinskih usluga i osiguravanja interoperabilnosti s nacionalnim zdravstvenim informacijskim sustavom i prikladnosti za buduću prekograničnu razmjenu,</w:t>
      </w:r>
    </w:p>
    <w:p w14:paraId="72900BEA"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prijenosa vitalnih parametara pacijenata iz hitne medicinske službe (HMS) u objedinjeni hitni bolnički prijem (OHBP) i praćenja izvanbolničkih usluga na daljinu,</w:t>
      </w:r>
    </w:p>
    <w:p w14:paraId="1B261216"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uvođenja nadzora hitne medicinske službe na daljinu i izrade akcijskog plana za uvođenje nadzora i okvira za praćenje provedbe, koji se temelje na analizi stanja, nacionalnom okviru i akcijskom planu dostavljenima u okviru povezanog instrumenta za tehničku potporu.</w:t>
      </w:r>
    </w:p>
    <w:p w14:paraId="1E90960F" w14:textId="77777777"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Nacionalni zdravstveni informacijski sustav uključuje sljedeće funkcije:</w:t>
      </w:r>
    </w:p>
    <w:p w14:paraId="2BD97C8A"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redovito izvještavanje o zdravlju stanovništva kao podloga za ciljane aktivnosti prevencije i zbrinjavanja bolesti,</w:t>
      </w:r>
    </w:p>
    <w:p w14:paraId="518B91B9"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izgradnju nacionalnih kapaciteta za podatkovnu analitiku, uključujući integriranje sučelja pružatelja zdravstvenih usluga i pacijenata s postojećim infrastrukturama i praksama,</w:t>
      </w:r>
    </w:p>
    <w:p w14:paraId="72624D02"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jačanje nacionalnih kapaciteta za uvođenje umjetne inteligencije i računalstva visokih performansi, jačanje kibersigurnosti e-zdravstva i naprednih digitalnih vještina zdravstvenih djelatnika i pacijenata primjenom naprednih tehnologija, posebno umjetne inteligencije,</w:t>
      </w:r>
    </w:p>
    <w:p w14:paraId="403127A8"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omogućavanje razvoja novih zdravstvenih usluga na temelju anonimno prikupljenih podataka dostupnih u zdravstvenom sustavu.</w:t>
      </w:r>
    </w:p>
    <w:p w14:paraId="38CB4175"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Reformu podupire pet pratećih ulaganja (od C5.1. R5-I1 do C5.1. R5-I5). </w:t>
      </w:r>
    </w:p>
    <w:p w14:paraId="689AEEC8"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Reforma će biti dovršena do 31. prosinca 2022.</w:t>
      </w:r>
    </w:p>
    <w:p w14:paraId="1AC76139"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C5.1. R5-I1 – Digitalna integracija operacijskih dvorana i robotska kirurgija u KBC-u Split</w:t>
      </w:r>
    </w:p>
    <w:p w14:paraId="6DE99721"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omogućiti sveobuhvatno liječenje pacijenata s malignim bolestima i integrirati mjere optimizacije zdravstvene skrbi. Očekuje se da će ulaganje unaprijediti zdravstvene ishode zahvaljujući uvođenju novog modela skrbi za pacijente, osobito novih najsuvremenijih načina kirurškog liječenja. Ulaganje se odnosi na digitalizaciju operacijskih dvorana i nabavu opreme za napredno liječenje raka u KBC-u Split.</w:t>
      </w:r>
    </w:p>
    <w:p w14:paraId="3557BB82" w14:textId="204AB675"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30. lipnja 2024.</w:t>
      </w:r>
    </w:p>
    <w:p w14:paraId="6DEA1705"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R5-I2 – TELECORDIS</w:t>
      </w:r>
    </w:p>
    <w:p w14:paraId="4881FF99" w14:textId="77777777" w:rsidR="00733DCA" w:rsidRPr="00F656F1" w:rsidRDefault="00733DCA" w:rsidP="0001477B">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 xml:space="preserve">Cilj je mjere digitalizirati kardiološke usluge kako bi se omogućilo kontinuirano praćenje stanja pacijenata, osobito onih s kroničnim kardiološkim bolestima. Očekuje se da će brze i dostupne kardiološke dijagnostičke usluge na razini primarne zdravstvene zaštite omogućiti pravovremenu detekciju kardioloških zdravstvenih tegoba pacijenata, pravovremeno odgovarajuće liječenje pacijenata te kontinuirano praćenje njihova zdravstvenog stanja. Nadalje, telemedicinska usluga EKG holtera pružit će pacijentima na udaljenim i ruralnim područjima pristup specijalističkoj skrbi i time uvelike povećati dostupnost specijalističkih zdravstvenih usluga u lokalnim ambulantnim centrima, poboljšati učinkovitost specijalista, poboljšati ishode pacijenata, značajno smanjiti liste čekanja i troškove pružanja te zdravstvene usluge. Ulaganje uključuje digitalizaciju dijagnostičkih procesa i omogućava dijeljenje podataka s disperziranim specijalističkim centrima. </w:t>
      </w:r>
    </w:p>
    <w:p w14:paraId="3E3766D3" w14:textId="77777777" w:rsidR="00733DCA" w:rsidRPr="00F656F1" w:rsidRDefault="00733DCA" w:rsidP="0001477B">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Mjera će biti dovršena do 31. ožujka 2023.</w:t>
      </w:r>
    </w:p>
    <w:p w14:paraId="6E70891D"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R5-I3 – Teletransfuzija</w:t>
      </w:r>
    </w:p>
    <w:p w14:paraId="6E48FCEB"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digitalizirati transfuzijsku uslugu i osigurati dostupnost dežurnog specijalista transfuzije za sve bolničke zdravstvene ustanove koje imaju transfuzijske odjele, doprinijeti jakom razvoju telemedicinske usluge digitalnim prijenosom medicinskih podataka i ojačati međusobnu povezanost svih bolničkih ustanova koje imaju transfuzijske odjele. </w:t>
      </w:r>
    </w:p>
    <w:p w14:paraId="011BA60E" w14:textId="77777777" w:rsidR="00733DCA" w:rsidRPr="00F656F1" w:rsidRDefault="00733DCA" w:rsidP="0001477B">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Mjera će biti dovršena do 31. prosinca 2022.</w:t>
      </w:r>
    </w:p>
    <w:p w14:paraId="1CBE231B"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C5.1. R5-I4 – Digitalizacija i integracija operacijskih dvorana opremljenih robotskom kirurgijom u KBC-u Sestre milosrdnice</w:t>
      </w:r>
    </w:p>
    <w:p w14:paraId="4555893E"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digitalizirati operacijske dvorane i nabaviti naprednu opremu za liječenje novih modernih načina kirurškog liječenja. Digitalizacijom i integracijom operacijskih dvorana promijenit će se planiranje, dokumentiranje, pohranjivanje i razmjena podataka o bolesnicima i vrstama i načinima operacijskog liječenja. Robotska kirurgija unaprijedit će kvalitetu kirurškog liječenja, povećati sigurnost bolesnika, postići veća transparentnost u liječenju, bolje kontrolirati troškovi i zdravstveni ishodi, čime će se osnažili i konsolidirati ključni resursi zdravstvene informacijske infrastrukture, uvesti sustav zdravstvenih usluga bez papira i doprinijeti digitalnoj tranziciji. </w:t>
      </w:r>
    </w:p>
    <w:p w14:paraId="7D7EEAF8" w14:textId="22B853B3" w:rsidR="00733DCA" w:rsidRPr="00F656F1" w:rsidRDefault="00733DCA" w:rsidP="0001477B">
      <w:pPr>
        <w:spacing w:before="120" w:after="120" w:line="240" w:lineRule="auto"/>
        <w:jc w:val="both"/>
        <w:rPr>
          <w:rFonts w:ascii="Times New Roman" w:eastAsia="Calibri" w:hAnsi="Times New Roman" w:cs="Times New Roman"/>
          <w:noProof/>
          <w:sz w:val="24"/>
          <w:u w:val="single"/>
        </w:rPr>
      </w:pPr>
      <w:r>
        <w:rPr>
          <w:rFonts w:ascii="Times New Roman" w:hAnsi="Times New Roman"/>
          <w:noProof/>
          <w:sz w:val="24"/>
        </w:rPr>
        <w:t>Mjera će biti dovršena do 31. ožujka 2024.</w:t>
      </w:r>
    </w:p>
    <w:p w14:paraId="090933B8"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R5-I5 – Digitalizacija i opremanje dijagnostičkih jedinica KB-a Merkur</w:t>
      </w:r>
    </w:p>
    <w:p w14:paraId="4111C4A1"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mjere digitalizirati i opremiti dijagnostičke jedinice radi lakšeg praćenja razvojne procedure u dijagnostici te pružanja kvalitetnije usluge pacijentima. Ulaganje uključuje nabavu suvremenih uređaja.</w:t>
      </w:r>
    </w:p>
    <w:p w14:paraId="61B12376"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31. ožujka 2023.</w:t>
      </w:r>
    </w:p>
    <w:p w14:paraId="63AA50F0" w14:textId="77777777" w:rsidR="00733DCA" w:rsidRPr="00BC0323" w:rsidRDefault="00733DCA" w:rsidP="0001477B">
      <w:pPr>
        <w:spacing w:before="120" w:after="120" w:line="240" w:lineRule="auto"/>
        <w:ind w:left="850"/>
        <w:jc w:val="both"/>
        <w:rPr>
          <w:rFonts w:ascii="Times New Roman" w:eastAsia="Calibri" w:hAnsi="Times New Roman" w:cs="Times New Roman"/>
          <w:noProof/>
          <w:sz w:val="24"/>
          <w:u w:val="single"/>
        </w:rPr>
      </w:pPr>
    </w:p>
    <w:p w14:paraId="17EFF6AF" w14:textId="77777777" w:rsidR="00733DCA" w:rsidRPr="00BC0323" w:rsidRDefault="00733DCA">
      <w:pPr>
        <w:rPr>
          <w:noProof/>
        </w:rPr>
        <w:sectPr w:rsidR="00733DCA" w:rsidRPr="00BC0323" w:rsidSect="00932F3F">
          <w:headerReference w:type="even" r:id="rId354"/>
          <w:headerReference w:type="default" r:id="rId355"/>
          <w:footerReference w:type="even" r:id="rId356"/>
          <w:footerReference w:type="default" r:id="rId357"/>
          <w:headerReference w:type="first" r:id="rId358"/>
          <w:footerReference w:type="first" r:id="rId359"/>
          <w:pgSz w:w="12240" w:h="15840"/>
          <w:pgMar w:top="1440" w:right="1440" w:bottom="1440" w:left="993" w:header="708" w:footer="708" w:gutter="0"/>
          <w:cols w:space="708"/>
          <w:docGrid w:linePitch="360"/>
        </w:sectPr>
      </w:pPr>
    </w:p>
    <w:p w14:paraId="6BD755D6" w14:textId="3EFCE874" w:rsidR="00733DCA" w:rsidRDefault="00733DCA" w:rsidP="00932F3F">
      <w:pPr>
        <w:keepNext/>
        <w:tabs>
          <w:tab w:val="num" w:pos="0"/>
        </w:tabs>
        <w:spacing w:before="40" w:after="0"/>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U.2. </w:t>
      </w:r>
      <w:r>
        <w:rPr>
          <w:rFonts w:ascii="Times New Roman" w:hAnsi="Times New Roman"/>
          <w:b/>
          <w:noProof/>
          <w:sz w:val="24"/>
          <w:u w:val="single"/>
        </w:rPr>
        <w:tab/>
        <w:t>Ključne etape, ciljne vrijednosti, pokazatelji i vremenski raspored za praćenje i provedbu programa bespovratne financijske potpore</w:t>
      </w:r>
    </w:p>
    <w:p w14:paraId="076E7D2A" w14:textId="77777777" w:rsidR="00932F3F" w:rsidRPr="00BC0323" w:rsidRDefault="00932F3F" w:rsidP="00932F3F">
      <w:pPr>
        <w:keepNext/>
        <w:tabs>
          <w:tab w:val="num" w:pos="0"/>
        </w:tabs>
        <w:spacing w:before="40" w:after="0"/>
        <w:jc w:val="both"/>
        <w:outlineLvl w:val="1"/>
        <w:rPr>
          <w:rFonts w:ascii="Times New Roman" w:eastAsia="SimSun" w:hAnsi="Times New Roman" w:cs="Times New Roman"/>
          <w:b/>
          <w:noProof/>
          <w:sz w:val="24"/>
          <w:szCs w:val="24"/>
          <w:u w:val="single"/>
        </w:rPr>
      </w:pPr>
    </w:p>
    <w:tbl>
      <w:tblPr>
        <w:tblW w:w="15047" w:type="dxa"/>
        <w:jc w:val="center"/>
        <w:tblCellMar>
          <w:top w:w="28" w:type="dxa"/>
          <w:left w:w="28" w:type="dxa"/>
          <w:bottom w:w="28" w:type="dxa"/>
          <w:right w:w="28" w:type="dxa"/>
        </w:tblCellMar>
        <w:tblLook w:val="04A0" w:firstRow="1" w:lastRow="0" w:firstColumn="1" w:lastColumn="0" w:noHBand="0" w:noVBand="1"/>
      </w:tblPr>
      <w:tblGrid>
        <w:gridCol w:w="780"/>
        <w:gridCol w:w="843"/>
        <w:gridCol w:w="871"/>
        <w:gridCol w:w="2017"/>
        <w:gridCol w:w="1985"/>
        <w:gridCol w:w="1296"/>
        <w:gridCol w:w="1087"/>
        <w:gridCol w:w="976"/>
        <w:gridCol w:w="535"/>
        <w:gridCol w:w="895"/>
        <w:gridCol w:w="3827"/>
      </w:tblGrid>
      <w:tr w:rsidR="00C640A3" w:rsidRPr="00F656F1" w14:paraId="4395310B" w14:textId="77777777" w:rsidTr="00FF085A">
        <w:trPr>
          <w:trHeight w:val="636"/>
          <w:tblHeader/>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04F0C6"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95A37D"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ADB7CA"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70C83B"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BE3F0C"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335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385915E"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430" w:type="dxa"/>
            <w:gridSpan w:val="2"/>
            <w:tcBorders>
              <w:top w:val="single" w:sz="4" w:space="0" w:color="auto"/>
              <w:left w:val="nil"/>
              <w:bottom w:val="single" w:sz="4" w:space="0" w:color="auto"/>
              <w:right w:val="single" w:sz="4" w:space="0" w:color="auto"/>
            </w:tcBorders>
            <w:shd w:val="clear" w:color="auto" w:fill="BDD7EE"/>
            <w:vAlign w:val="center"/>
            <w:hideMark/>
          </w:tcPr>
          <w:p w14:paraId="76269890"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B7CF36"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C640A3" w:rsidRPr="00F656F1" w14:paraId="7D48AF5C" w14:textId="77777777" w:rsidTr="00FF085A">
        <w:trPr>
          <w:trHeight w:val="362"/>
          <w:tblHeader/>
          <w:jc w:val="center"/>
        </w:trPr>
        <w:tc>
          <w:tcPr>
            <w:tcW w:w="780" w:type="dxa"/>
            <w:vMerge/>
            <w:tcBorders>
              <w:top w:val="single" w:sz="4" w:space="0" w:color="auto"/>
              <w:left w:val="single" w:sz="4" w:space="0" w:color="auto"/>
              <w:bottom w:val="single" w:sz="4" w:space="0" w:color="auto"/>
              <w:right w:val="single" w:sz="4" w:space="0" w:color="auto"/>
            </w:tcBorders>
            <w:hideMark/>
          </w:tcPr>
          <w:p w14:paraId="4D875873"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43" w:type="dxa"/>
            <w:vMerge/>
            <w:tcBorders>
              <w:top w:val="single" w:sz="4" w:space="0" w:color="auto"/>
              <w:left w:val="single" w:sz="4" w:space="0" w:color="auto"/>
              <w:bottom w:val="single" w:sz="4" w:space="0" w:color="auto"/>
              <w:right w:val="single" w:sz="4" w:space="0" w:color="auto"/>
            </w:tcBorders>
            <w:hideMark/>
          </w:tcPr>
          <w:p w14:paraId="5C590B5E"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06" w:type="dxa"/>
            <w:vMerge/>
            <w:tcBorders>
              <w:top w:val="single" w:sz="4" w:space="0" w:color="auto"/>
              <w:left w:val="single" w:sz="4" w:space="0" w:color="auto"/>
              <w:bottom w:val="single" w:sz="4" w:space="0" w:color="auto"/>
              <w:right w:val="single" w:sz="4" w:space="0" w:color="auto"/>
            </w:tcBorders>
            <w:hideMark/>
          </w:tcPr>
          <w:p w14:paraId="5F15FBF3"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017" w:type="dxa"/>
            <w:vMerge/>
            <w:tcBorders>
              <w:top w:val="single" w:sz="4" w:space="0" w:color="auto"/>
              <w:left w:val="single" w:sz="4" w:space="0" w:color="auto"/>
              <w:bottom w:val="single" w:sz="4" w:space="0" w:color="auto"/>
              <w:right w:val="single" w:sz="4" w:space="0" w:color="auto"/>
            </w:tcBorders>
            <w:hideMark/>
          </w:tcPr>
          <w:p w14:paraId="696F7B35"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985" w:type="dxa"/>
            <w:vMerge/>
            <w:tcBorders>
              <w:top w:val="single" w:sz="4" w:space="0" w:color="auto"/>
              <w:left w:val="single" w:sz="4" w:space="0" w:color="auto"/>
              <w:bottom w:val="single" w:sz="4" w:space="0" w:color="auto"/>
              <w:right w:val="single" w:sz="4" w:space="0" w:color="auto"/>
            </w:tcBorders>
            <w:hideMark/>
          </w:tcPr>
          <w:p w14:paraId="74D6899A"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296" w:type="dxa"/>
            <w:tcBorders>
              <w:top w:val="nil"/>
              <w:left w:val="single" w:sz="4" w:space="0" w:color="auto"/>
              <w:bottom w:val="single" w:sz="4" w:space="0" w:color="auto"/>
              <w:right w:val="single" w:sz="4" w:space="0" w:color="auto"/>
            </w:tcBorders>
            <w:shd w:val="clear" w:color="auto" w:fill="BDD7EE"/>
            <w:vAlign w:val="center"/>
            <w:hideMark/>
          </w:tcPr>
          <w:p w14:paraId="6569C19E"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1087" w:type="dxa"/>
            <w:tcBorders>
              <w:top w:val="nil"/>
              <w:left w:val="nil"/>
              <w:bottom w:val="single" w:sz="4" w:space="0" w:color="auto"/>
              <w:right w:val="single" w:sz="4" w:space="0" w:color="auto"/>
            </w:tcBorders>
            <w:shd w:val="clear" w:color="auto" w:fill="BDD7EE"/>
            <w:vAlign w:val="center"/>
            <w:hideMark/>
          </w:tcPr>
          <w:p w14:paraId="2535C129"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976" w:type="dxa"/>
            <w:tcBorders>
              <w:top w:val="nil"/>
              <w:left w:val="nil"/>
              <w:bottom w:val="single" w:sz="4" w:space="0" w:color="auto"/>
              <w:right w:val="single" w:sz="4" w:space="0" w:color="auto"/>
            </w:tcBorders>
            <w:shd w:val="clear" w:color="auto" w:fill="BDD7EE"/>
            <w:vAlign w:val="center"/>
            <w:hideMark/>
          </w:tcPr>
          <w:p w14:paraId="1A4017EA"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35" w:type="dxa"/>
            <w:tcBorders>
              <w:top w:val="nil"/>
              <w:left w:val="nil"/>
              <w:bottom w:val="single" w:sz="4" w:space="0" w:color="auto"/>
              <w:right w:val="single" w:sz="4" w:space="0" w:color="auto"/>
            </w:tcBorders>
            <w:shd w:val="clear" w:color="auto" w:fill="BDD7EE"/>
            <w:vAlign w:val="center"/>
            <w:hideMark/>
          </w:tcPr>
          <w:p w14:paraId="27E23391"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895" w:type="dxa"/>
            <w:tcBorders>
              <w:top w:val="nil"/>
              <w:left w:val="nil"/>
              <w:bottom w:val="single" w:sz="4" w:space="0" w:color="auto"/>
              <w:right w:val="single" w:sz="4" w:space="0" w:color="auto"/>
            </w:tcBorders>
            <w:shd w:val="clear" w:color="auto" w:fill="BDD7EE"/>
            <w:vAlign w:val="center"/>
            <w:hideMark/>
          </w:tcPr>
          <w:p w14:paraId="2BE10710" w14:textId="77777777" w:rsidR="00733DCA" w:rsidRPr="00F656F1"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827" w:type="dxa"/>
            <w:vMerge/>
            <w:tcBorders>
              <w:bottom w:val="single" w:sz="4" w:space="0" w:color="auto"/>
              <w:right w:val="single" w:sz="4" w:space="0" w:color="auto"/>
            </w:tcBorders>
            <w:hideMark/>
          </w:tcPr>
          <w:p w14:paraId="72D8ABEE" w14:textId="77777777" w:rsidR="00733DCA" w:rsidRPr="00F656F1" w:rsidRDefault="00733DCA" w:rsidP="0001477B">
            <w:pPr>
              <w:spacing w:after="0" w:line="276" w:lineRule="auto"/>
              <w:rPr>
                <w:rFonts w:ascii="Times New Roman" w:eastAsia="Times New Roman" w:hAnsi="Times New Roman" w:cs="Times New Roman"/>
                <w:b/>
                <w:noProof/>
                <w:lang w:val="en-GB" w:eastAsia="en-GB"/>
              </w:rPr>
            </w:pPr>
          </w:p>
        </w:tc>
      </w:tr>
      <w:tr w:rsidR="00C640A3" w:rsidRPr="00F656F1" w14:paraId="2AD96481"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687C5DD2" w14:textId="77777777" w:rsidR="00733DCA" w:rsidRPr="00F656F1"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318</w:t>
            </w:r>
          </w:p>
        </w:tc>
        <w:tc>
          <w:tcPr>
            <w:tcW w:w="843" w:type="dxa"/>
            <w:tcBorders>
              <w:top w:val="single" w:sz="4" w:space="0" w:color="auto"/>
              <w:left w:val="nil"/>
              <w:bottom w:val="single" w:sz="4" w:space="0" w:color="auto"/>
              <w:right w:val="single" w:sz="4" w:space="0" w:color="auto"/>
            </w:tcBorders>
            <w:shd w:val="clear" w:color="auto" w:fill="C6EFCE"/>
            <w:noWrap/>
          </w:tcPr>
          <w:p w14:paraId="062835C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w:t>
            </w:r>
          </w:p>
        </w:tc>
        <w:tc>
          <w:tcPr>
            <w:tcW w:w="806" w:type="dxa"/>
            <w:tcBorders>
              <w:top w:val="single" w:sz="4" w:space="0" w:color="auto"/>
              <w:left w:val="nil"/>
              <w:bottom w:val="single" w:sz="4" w:space="0" w:color="auto"/>
              <w:right w:val="single" w:sz="4" w:space="0" w:color="auto"/>
            </w:tcBorders>
            <w:shd w:val="clear" w:color="auto" w:fill="C6EFCE"/>
            <w:noWrap/>
          </w:tcPr>
          <w:p w14:paraId="4FA4E49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17" w:type="dxa"/>
            <w:tcBorders>
              <w:top w:val="single" w:sz="4" w:space="0" w:color="auto"/>
              <w:left w:val="nil"/>
              <w:bottom w:val="single" w:sz="4" w:space="0" w:color="auto"/>
              <w:right w:val="single" w:sz="4" w:space="0" w:color="auto"/>
            </w:tcBorders>
            <w:shd w:val="clear" w:color="auto" w:fill="C6EFCE"/>
            <w:noWrap/>
          </w:tcPr>
          <w:p w14:paraId="03E377DD"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okvira za procjenu učinkovitosti zdravstvenog sustava </w:t>
            </w:r>
          </w:p>
        </w:tc>
        <w:tc>
          <w:tcPr>
            <w:tcW w:w="1985" w:type="dxa"/>
            <w:tcBorders>
              <w:top w:val="single" w:sz="4" w:space="0" w:color="auto"/>
              <w:left w:val="nil"/>
              <w:bottom w:val="single" w:sz="4" w:space="0" w:color="auto"/>
              <w:right w:val="single" w:sz="4" w:space="0" w:color="auto"/>
            </w:tcBorders>
            <w:shd w:val="clear" w:color="auto" w:fill="C6EFCE"/>
            <w:noWrap/>
          </w:tcPr>
          <w:p w14:paraId="487A136E"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okvira za procjenu učinkovitosti zdravstvenog sustava</w:t>
            </w:r>
          </w:p>
        </w:tc>
        <w:tc>
          <w:tcPr>
            <w:tcW w:w="1296" w:type="dxa"/>
            <w:tcBorders>
              <w:top w:val="nil"/>
              <w:left w:val="nil"/>
              <w:bottom w:val="single" w:sz="4" w:space="0" w:color="auto"/>
              <w:right w:val="single" w:sz="4" w:space="0" w:color="auto"/>
            </w:tcBorders>
            <w:shd w:val="clear" w:color="auto" w:fill="C6EFCE"/>
            <w:noWrap/>
          </w:tcPr>
          <w:p w14:paraId="0E483B0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87" w:type="dxa"/>
            <w:tcBorders>
              <w:top w:val="nil"/>
              <w:left w:val="nil"/>
              <w:bottom w:val="single" w:sz="4" w:space="0" w:color="auto"/>
              <w:right w:val="single" w:sz="4" w:space="0" w:color="auto"/>
            </w:tcBorders>
            <w:shd w:val="clear" w:color="auto" w:fill="C6EFCE"/>
            <w:noWrap/>
          </w:tcPr>
          <w:p w14:paraId="040C594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76" w:type="dxa"/>
            <w:tcBorders>
              <w:top w:val="nil"/>
              <w:left w:val="nil"/>
              <w:bottom w:val="single" w:sz="4" w:space="0" w:color="auto"/>
              <w:right w:val="single" w:sz="4" w:space="0" w:color="auto"/>
            </w:tcBorders>
            <w:shd w:val="clear" w:color="auto" w:fill="C6EFCE"/>
            <w:noWrap/>
          </w:tcPr>
          <w:p w14:paraId="68C8B57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35" w:type="dxa"/>
            <w:tcBorders>
              <w:top w:val="nil"/>
              <w:left w:val="nil"/>
              <w:bottom w:val="single" w:sz="4" w:space="0" w:color="auto"/>
              <w:right w:val="single" w:sz="4" w:space="0" w:color="auto"/>
            </w:tcBorders>
            <w:shd w:val="clear" w:color="auto" w:fill="C6EFCE"/>
            <w:noWrap/>
          </w:tcPr>
          <w:p w14:paraId="76E60EB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895" w:type="dxa"/>
            <w:tcBorders>
              <w:top w:val="nil"/>
              <w:left w:val="nil"/>
              <w:bottom w:val="single" w:sz="4" w:space="0" w:color="auto"/>
              <w:right w:val="single" w:sz="4" w:space="0" w:color="auto"/>
            </w:tcBorders>
            <w:shd w:val="clear" w:color="auto" w:fill="C6EFCE"/>
            <w:noWrap/>
          </w:tcPr>
          <w:p w14:paraId="72D03C3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827" w:type="dxa"/>
            <w:tcBorders>
              <w:top w:val="single" w:sz="4" w:space="0" w:color="auto"/>
              <w:left w:val="nil"/>
              <w:bottom w:val="single" w:sz="4" w:space="0" w:color="auto"/>
              <w:right w:val="single" w:sz="4" w:space="0" w:color="auto"/>
            </w:tcBorders>
            <w:shd w:val="clear" w:color="auto" w:fill="C6EFCE"/>
            <w:noWrap/>
          </w:tcPr>
          <w:p w14:paraId="39A2851C"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Okvirom za procjenom učinkovitosti zdravstvenog sustava omogućuje se učinkovitosti zdravstva, utvrđivanje ključnih pokazatelja uspješnosti u skladu s definiranom metodologijom procjene te se omogućuje povezivanje mjera s ciljevima utvrđenima u nacionalnim strateškim dokumentima i reformama, pravodobnost podataka te poboljšanje praćenja zdravstvenih ishoda. </w:t>
            </w:r>
          </w:p>
        </w:tc>
      </w:tr>
      <w:tr w:rsidR="00525BF2" w:rsidRPr="00F656F1" w14:paraId="6AA854B5" w14:textId="77777777" w:rsidTr="00FF085A">
        <w:trPr>
          <w:trHeight w:val="283"/>
          <w:jc w:val="center"/>
        </w:trPr>
        <w:tc>
          <w:tcPr>
            <w:tcW w:w="780" w:type="dxa"/>
            <w:tcBorders>
              <w:top w:val="nil"/>
              <w:left w:val="single" w:sz="4" w:space="0" w:color="auto"/>
              <w:bottom w:val="single" w:sz="4" w:space="0" w:color="auto"/>
              <w:right w:val="single" w:sz="4" w:space="0" w:color="auto"/>
            </w:tcBorders>
            <w:shd w:val="clear" w:color="auto" w:fill="C6EFCE"/>
            <w:noWrap/>
          </w:tcPr>
          <w:p w14:paraId="70F180D4" w14:textId="77777777" w:rsidR="00733DCA" w:rsidRPr="00F656F1"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319</w:t>
            </w:r>
          </w:p>
        </w:tc>
        <w:tc>
          <w:tcPr>
            <w:tcW w:w="843" w:type="dxa"/>
            <w:tcBorders>
              <w:top w:val="nil"/>
              <w:left w:val="nil"/>
              <w:bottom w:val="single" w:sz="4" w:space="0" w:color="auto"/>
              <w:right w:val="single" w:sz="4" w:space="0" w:color="auto"/>
            </w:tcBorders>
            <w:shd w:val="clear" w:color="auto" w:fill="C6EFCE"/>
            <w:noWrap/>
          </w:tcPr>
          <w:p w14:paraId="7BE8284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w:t>
            </w:r>
          </w:p>
        </w:tc>
        <w:tc>
          <w:tcPr>
            <w:tcW w:w="806" w:type="dxa"/>
            <w:tcBorders>
              <w:top w:val="nil"/>
              <w:left w:val="nil"/>
              <w:bottom w:val="single" w:sz="4" w:space="0" w:color="auto"/>
              <w:right w:val="single" w:sz="4" w:space="0" w:color="auto"/>
            </w:tcBorders>
            <w:shd w:val="clear" w:color="auto" w:fill="C6EFCE"/>
            <w:noWrap/>
          </w:tcPr>
          <w:p w14:paraId="145EB90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nil"/>
              <w:left w:val="nil"/>
              <w:bottom w:val="single" w:sz="4" w:space="0" w:color="auto"/>
              <w:right w:val="single" w:sz="4" w:space="0" w:color="auto"/>
            </w:tcBorders>
            <w:shd w:val="clear" w:color="auto" w:fill="C6EFCE"/>
            <w:noWrap/>
          </w:tcPr>
          <w:p w14:paraId="10EC73FF"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Optimizacija vremena za dijagnostičko liječenje (liste čekanja)</w:t>
            </w:r>
          </w:p>
        </w:tc>
        <w:tc>
          <w:tcPr>
            <w:tcW w:w="1985" w:type="dxa"/>
            <w:tcBorders>
              <w:top w:val="nil"/>
              <w:left w:val="nil"/>
              <w:bottom w:val="single" w:sz="4" w:space="0" w:color="auto"/>
              <w:right w:val="single" w:sz="4" w:space="0" w:color="auto"/>
            </w:tcBorders>
            <w:shd w:val="clear" w:color="auto" w:fill="C6EFCE"/>
            <w:noWrap/>
          </w:tcPr>
          <w:p w14:paraId="5A2AB130"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nil"/>
              <w:left w:val="nil"/>
              <w:bottom w:val="single" w:sz="4" w:space="0" w:color="auto"/>
              <w:right w:val="single" w:sz="4" w:space="0" w:color="auto"/>
            </w:tcBorders>
            <w:shd w:val="clear" w:color="auto" w:fill="C6EFCE"/>
            <w:noWrap/>
          </w:tcPr>
          <w:p w14:paraId="32DC571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 dana</w:t>
            </w:r>
          </w:p>
        </w:tc>
        <w:tc>
          <w:tcPr>
            <w:tcW w:w="1087" w:type="dxa"/>
            <w:tcBorders>
              <w:top w:val="nil"/>
              <w:left w:val="nil"/>
              <w:bottom w:val="single" w:sz="4" w:space="0" w:color="auto"/>
              <w:right w:val="single" w:sz="4" w:space="0" w:color="auto"/>
            </w:tcBorders>
            <w:shd w:val="clear" w:color="auto" w:fill="C6EFCE"/>
            <w:noWrap/>
          </w:tcPr>
          <w:p w14:paraId="4A056F8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400</w:t>
            </w:r>
          </w:p>
        </w:tc>
        <w:tc>
          <w:tcPr>
            <w:tcW w:w="976" w:type="dxa"/>
            <w:tcBorders>
              <w:top w:val="nil"/>
              <w:left w:val="nil"/>
              <w:bottom w:val="single" w:sz="4" w:space="0" w:color="auto"/>
              <w:right w:val="single" w:sz="4" w:space="0" w:color="auto"/>
            </w:tcBorders>
            <w:shd w:val="clear" w:color="auto" w:fill="C6EFCE"/>
            <w:noWrap/>
          </w:tcPr>
          <w:p w14:paraId="4D94A95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270</w:t>
            </w:r>
          </w:p>
        </w:tc>
        <w:tc>
          <w:tcPr>
            <w:tcW w:w="535" w:type="dxa"/>
            <w:tcBorders>
              <w:top w:val="nil"/>
              <w:left w:val="nil"/>
              <w:bottom w:val="single" w:sz="4" w:space="0" w:color="auto"/>
              <w:right w:val="single" w:sz="4" w:space="0" w:color="auto"/>
            </w:tcBorders>
            <w:shd w:val="clear" w:color="auto" w:fill="C6EFCE"/>
            <w:noWrap/>
          </w:tcPr>
          <w:p w14:paraId="5B3269B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nil"/>
              <w:left w:val="nil"/>
              <w:bottom w:val="single" w:sz="4" w:space="0" w:color="auto"/>
              <w:right w:val="single" w:sz="4" w:space="0" w:color="auto"/>
            </w:tcBorders>
            <w:shd w:val="clear" w:color="auto" w:fill="C6EFCE"/>
            <w:noWrap/>
          </w:tcPr>
          <w:p w14:paraId="380F7BC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827" w:type="dxa"/>
            <w:tcBorders>
              <w:top w:val="nil"/>
              <w:left w:val="nil"/>
              <w:bottom w:val="single" w:sz="4" w:space="0" w:color="auto"/>
              <w:right w:val="single" w:sz="4" w:space="0" w:color="auto"/>
            </w:tcBorders>
            <w:shd w:val="clear" w:color="auto" w:fill="C6EFCE"/>
            <w:noWrap/>
          </w:tcPr>
          <w:p w14:paraId="450BA43B"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Razdoblje čekanja za bolesnike na dijagnostičkom liječenju skraćuje se na 270 dana (u usporedbi s trenutačnim razdobljem od 400 dana).</w:t>
            </w:r>
          </w:p>
        </w:tc>
      </w:tr>
      <w:tr w:rsidR="00525BF2" w:rsidRPr="00F656F1" w14:paraId="24B319BF" w14:textId="77777777" w:rsidTr="00FF085A">
        <w:trPr>
          <w:trHeight w:val="283"/>
          <w:jc w:val="center"/>
        </w:trPr>
        <w:tc>
          <w:tcPr>
            <w:tcW w:w="780" w:type="dxa"/>
            <w:tcBorders>
              <w:top w:val="nil"/>
              <w:left w:val="single" w:sz="4" w:space="0" w:color="auto"/>
              <w:bottom w:val="single" w:sz="4" w:space="0" w:color="auto"/>
              <w:right w:val="single" w:sz="4" w:space="0" w:color="auto"/>
            </w:tcBorders>
            <w:shd w:val="clear" w:color="auto" w:fill="C6EFCE"/>
            <w:noWrap/>
          </w:tcPr>
          <w:p w14:paraId="05DC5EE6" w14:textId="77777777" w:rsidR="00733DCA" w:rsidRPr="00F656F1"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323</w:t>
            </w:r>
          </w:p>
        </w:tc>
        <w:tc>
          <w:tcPr>
            <w:tcW w:w="843" w:type="dxa"/>
            <w:tcBorders>
              <w:top w:val="nil"/>
              <w:left w:val="nil"/>
              <w:bottom w:val="single" w:sz="4" w:space="0" w:color="auto"/>
              <w:right w:val="single" w:sz="4" w:space="0" w:color="auto"/>
            </w:tcBorders>
            <w:shd w:val="clear" w:color="auto" w:fill="C6EFCE"/>
            <w:noWrap/>
          </w:tcPr>
          <w:p w14:paraId="7231417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R1-I4</w:t>
            </w:r>
          </w:p>
        </w:tc>
        <w:tc>
          <w:tcPr>
            <w:tcW w:w="806" w:type="dxa"/>
            <w:tcBorders>
              <w:top w:val="nil"/>
              <w:left w:val="nil"/>
              <w:bottom w:val="single" w:sz="4" w:space="0" w:color="auto"/>
              <w:right w:val="single" w:sz="4" w:space="0" w:color="auto"/>
            </w:tcBorders>
            <w:shd w:val="clear" w:color="auto" w:fill="C6EFCE"/>
            <w:noWrap/>
          </w:tcPr>
          <w:p w14:paraId="66A88C7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17" w:type="dxa"/>
            <w:tcBorders>
              <w:top w:val="nil"/>
              <w:left w:val="nil"/>
              <w:bottom w:val="single" w:sz="4" w:space="0" w:color="auto"/>
              <w:right w:val="single" w:sz="4" w:space="0" w:color="auto"/>
            </w:tcBorders>
            <w:shd w:val="clear" w:color="auto" w:fill="C6EFCE"/>
            <w:noWrap/>
          </w:tcPr>
          <w:p w14:paraId="6B220B0B"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Modernizacija zdravstvenih usluga u KBC-u Split </w:t>
            </w:r>
          </w:p>
        </w:tc>
        <w:tc>
          <w:tcPr>
            <w:tcW w:w="1985" w:type="dxa"/>
            <w:tcBorders>
              <w:top w:val="nil"/>
              <w:left w:val="nil"/>
              <w:bottom w:val="single" w:sz="4" w:space="0" w:color="auto"/>
              <w:right w:val="single" w:sz="4" w:space="0" w:color="auto"/>
            </w:tcBorders>
            <w:shd w:val="clear" w:color="auto" w:fill="C6EFCE"/>
            <w:noWrap/>
          </w:tcPr>
          <w:p w14:paraId="140EA653"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Nabava opreme Kliničkog zavoda za dijagnostičku i intervencijsku radiologiju KBC-a Split</w:t>
            </w:r>
          </w:p>
        </w:tc>
        <w:tc>
          <w:tcPr>
            <w:tcW w:w="1296" w:type="dxa"/>
            <w:tcBorders>
              <w:top w:val="nil"/>
              <w:left w:val="nil"/>
              <w:bottom w:val="single" w:sz="4" w:space="0" w:color="auto"/>
              <w:right w:val="single" w:sz="4" w:space="0" w:color="auto"/>
            </w:tcBorders>
            <w:shd w:val="clear" w:color="auto" w:fill="C6EFCE"/>
            <w:noWrap/>
          </w:tcPr>
          <w:p w14:paraId="110F856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87" w:type="dxa"/>
            <w:tcBorders>
              <w:top w:val="nil"/>
              <w:left w:val="nil"/>
              <w:bottom w:val="single" w:sz="4" w:space="0" w:color="auto"/>
              <w:right w:val="single" w:sz="4" w:space="0" w:color="auto"/>
            </w:tcBorders>
            <w:shd w:val="clear" w:color="auto" w:fill="C6EFCE"/>
            <w:noWrap/>
          </w:tcPr>
          <w:p w14:paraId="1B7DDD0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76" w:type="dxa"/>
            <w:tcBorders>
              <w:top w:val="nil"/>
              <w:left w:val="nil"/>
              <w:bottom w:val="single" w:sz="4" w:space="0" w:color="auto"/>
              <w:right w:val="single" w:sz="4" w:space="0" w:color="auto"/>
            </w:tcBorders>
            <w:shd w:val="clear" w:color="auto" w:fill="C6EFCE"/>
            <w:noWrap/>
          </w:tcPr>
          <w:p w14:paraId="4694D46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35" w:type="dxa"/>
            <w:tcBorders>
              <w:top w:val="nil"/>
              <w:left w:val="nil"/>
              <w:bottom w:val="single" w:sz="4" w:space="0" w:color="auto"/>
              <w:right w:val="single" w:sz="4" w:space="0" w:color="auto"/>
            </w:tcBorders>
            <w:shd w:val="clear" w:color="auto" w:fill="C6EFCE"/>
            <w:noWrap/>
          </w:tcPr>
          <w:p w14:paraId="56A5F14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nil"/>
              <w:left w:val="nil"/>
              <w:bottom w:val="single" w:sz="4" w:space="0" w:color="auto"/>
              <w:right w:val="single" w:sz="4" w:space="0" w:color="auto"/>
            </w:tcBorders>
            <w:shd w:val="clear" w:color="auto" w:fill="C6EFCE"/>
            <w:noWrap/>
          </w:tcPr>
          <w:p w14:paraId="3725F38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827" w:type="dxa"/>
            <w:tcBorders>
              <w:top w:val="nil"/>
              <w:left w:val="nil"/>
              <w:bottom w:val="single" w:sz="4" w:space="0" w:color="auto"/>
              <w:right w:val="single" w:sz="4" w:space="0" w:color="auto"/>
            </w:tcBorders>
            <w:shd w:val="clear" w:color="auto" w:fill="C6EFCE"/>
            <w:noWrap/>
          </w:tcPr>
          <w:p w14:paraId="45FD625B"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Ugradnja opreme na Kliničkom zavodu za dijagnostičku i intervencijsku radiologiju i na Kliničkom zavodu za nuklearnu medicinu te izgradnja i oprema hibridne endoskopske sale na Zavodu za gastroenterologiju kako bi se omogućilo uvođenje novih dijagnostičkih i terapijskih postupaka u KBC Split. Mora se ugraditi barem sljedeća oprema: magnetska rezonancija 3T, neurointervencijska digitalna DSA angiosala, digitalni dijaskopski RTG uređaj i endoskopska gastroenterološka sala. </w:t>
            </w:r>
          </w:p>
        </w:tc>
      </w:tr>
      <w:tr w:rsidR="00525BF2" w:rsidRPr="00F656F1" w14:paraId="38BCA171"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05EF825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324</w:t>
            </w:r>
          </w:p>
        </w:tc>
        <w:tc>
          <w:tcPr>
            <w:tcW w:w="843" w:type="dxa"/>
            <w:tcBorders>
              <w:top w:val="single" w:sz="4" w:space="0" w:color="auto"/>
              <w:left w:val="nil"/>
              <w:bottom w:val="single" w:sz="4" w:space="0" w:color="auto"/>
              <w:right w:val="single" w:sz="4" w:space="0" w:color="auto"/>
            </w:tcBorders>
            <w:shd w:val="clear" w:color="auto" w:fill="C6EFCE"/>
            <w:noWrap/>
          </w:tcPr>
          <w:p w14:paraId="50670D4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R1-I5</w:t>
            </w:r>
          </w:p>
        </w:tc>
        <w:tc>
          <w:tcPr>
            <w:tcW w:w="806" w:type="dxa"/>
            <w:tcBorders>
              <w:top w:val="single" w:sz="4" w:space="0" w:color="auto"/>
              <w:left w:val="nil"/>
              <w:bottom w:val="single" w:sz="4" w:space="0" w:color="auto"/>
              <w:right w:val="single" w:sz="4" w:space="0" w:color="auto"/>
            </w:tcBorders>
            <w:shd w:val="clear" w:color="auto" w:fill="C6EFCE"/>
            <w:noWrap/>
          </w:tcPr>
          <w:p w14:paraId="1C7645C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0060827F"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Zgrada centralnog operacijskog bloka OB-a Varaždin s pratećim sadržajem </w:t>
            </w:r>
          </w:p>
        </w:tc>
        <w:tc>
          <w:tcPr>
            <w:tcW w:w="1985" w:type="dxa"/>
            <w:tcBorders>
              <w:top w:val="single" w:sz="4" w:space="0" w:color="auto"/>
              <w:left w:val="nil"/>
              <w:bottom w:val="single" w:sz="4" w:space="0" w:color="auto"/>
              <w:right w:val="single" w:sz="4" w:space="0" w:color="auto"/>
            </w:tcBorders>
            <w:shd w:val="clear" w:color="auto" w:fill="C6EFCE"/>
            <w:noWrap/>
          </w:tcPr>
          <w:p w14:paraId="117AFE6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367DAA9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0E05C1B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0DE5869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535" w:type="dxa"/>
            <w:tcBorders>
              <w:top w:val="single" w:sz="4" w:space="0" w:color="auto"/>
              <w:left w:val="nil"/>
              <w:bottom w:val="single" w:sz="4" w:space="0" w:color="auto"/>
              <w:right w:val="single" w:sz="4" w:space="0" w:color="auto"/>
            </w:tcBorders>
            <w:shd w:val="clear" w:color="auto" w:fill="C6EFCE"/>
            <w:noWrap/>
          </w:tcPr>
          <w:p w14:paraId="3969F58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30FDE4C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173DCBB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Izgradnja i opremanje zgrade centralnog operacijskog bloka jedinicama za intenzivnog liječenja, središnjom sterilizacijom, RTG dijagnostikom, transfuziologijom i medicinsko-biokemijskim laboratorijem te izgradnja spojnog hodnika prema postojećim medicinskim objektima. Sve nove gradnje moraju biti barem gotovo nulte energetske zgrade u skladu s Direktivom o energetskim svojstvima zgrada, dok se rekonstrukcijom postojećih zgrada mora postići u prosjeku barem obnova srednje dubine, kako je definirano u Preporuci Komisije o obnovi zgrada ili postići u prosjeku najmanje 30 % smanjenja izravne i neizravne emisije stakleničkih plinova u odnosu na emisije prije obnove. U svim zgradama posebnu pozornost treba posvetiti osiguravanju zdravih unutarnjih klimatskih uvjeta, protupožarnoj zaštiti i otklanjanju rizika povezanih s povećanom seizmološkom aktivnošću.</w:t>
            </w:r>
          </w:p>
        </w:tc>
      </w:tr>
      <w:tr w:rsidR="00525BF2" w:rsidRPr="00F656F1" w14:paraId="55172C64"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378A38D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325</w:t>
            </w:r>
          </w:p>
        </w:tc>
        <w:tc>
          <w:tcPr>
            <w:tcW w:w="843" w:type="dxa"/>
            <w:tcBorders>
              <w:top w:val="single" w:sz="4" w:space="0" w:color="auto"/>
              <w:left w:val="nil"/>
              <w:bottom w:val="single" w:sz="4" w:space="0" w:color="auto"/>
              <w:right w:val="single" w:sz="4" w:space="0" w:color="auto"/>
            </w:tcBorders>
            <w:shd w:val="clear" w:color="auto" w:fill="C6EFCE"/>
            <w:noWrap/>
          </w:tcPr>
          <w:p w14:paraId="4CB3E40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R1-I6</w:t>
            </w:r>
          </w:p>
        </w:tc>
        <w:tc>
          <w:tcPr>
            <w:tcW w:w="806" w:type="dxa"/>
            <w:tcBorders>
              <w:top w:val="single" w:sz="4" w:space="0" w:color="auto"/>
              <w:left w:val="nil"/>
              <w:bottom w:val="single" w:sz="4" w:space="0" w:color="auto"/>
              <w:right w:val="single" w:sz="4" w:space="0" w:color="auto"/>
            </w:tcBorders>
            <w:shd w:val="clear" w:color="auto" w:fill="C6EFCE"/>
            <w:noWrap/>
          </w:tcPr>
          <w:p w14:paraId="2C3EC7E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7F8835C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Dijagnostički medicinski uređaji u KB-u Dubrava </w:t>
            </w:r>
          </w:p>
        </w:tc>
        <w:tc>
          <w:tcPr>
            <w:tcW w:w="1985" w:type="dxa"/>
            <w:tcBorders>
              <w:top w:val="single" w:sz="4" w:space="0" w:color="auto"/>
              <w:left w:val="nil"/>
              <w:bottom w:val="single" w:sz="4" w:space="0" w:color="auto"/>
              <w:right w:val="single" w:sz="4" w:space="0" w:color="auto"/>
            </w:tcBorders>
            <w:shd w:val="clear" w:color="auto" w:fill="C6EFCE"/>
            <w:noWrap/>
          </w:tcPr>
          <w:p w14:paraId="2783B7A3"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03289F7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4879608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7378266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w:t>
            </w:r>
          </w:p>
        </w:tc>
        <w:tc>
          <w:tcPr>
            <w:tcW w:w="535" w:type="dxa"/>
            <w:tcBorders>
              <w:top w:val="single" w:sz="4" w:space="0" w:color="auto"/>
              <w:left w:val="nil"/>
              <w:bottom w:val="single" w:sz="4" w:space="0" w:color="auto"/>
              <w:right w:val="single" w:sz="4" w:space="0" w:color="auto"/>
            </w:tcBorders>
            <w:shd w:val="clear" w:color="auto" w:fill="C6EFCE"/>
            <w:noWrap/>
          </w:tcPr>
          <w:p w14:paraId="63654F3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409C2A0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827" w:type="dxa"/>
            <w:tcBorders>
              <w:top w:val="single" w:sz="4" w:space="0" w:color="auto"/>
              <w:left w:val="nil"/>
              <w:bottom w:val="single" w:sz="4" w:space="0" w:color="auto"/>
              <w:right w:val="single" w:sz="4" w:space="0" w:color="auto"/>
            </w:tcBorders>
            <w:shd w:val="clear" w:color="auto" w:fill="C6EFCE"/>
            <w:noWrap/>
          </w:tcPr>
          <w:p w14:paraId="4205017F"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Kupnja i ugradnja osam dijagnostičkih medicinskih uređaja i digitalne radiološke opreme za Klinički zavod za dijagnostiku i intervencijsku radiologiju. Planira se postupna ugranjda, a svi uređaji moraju biti u funkciji najkasnije do 30. lipnja 2023. </w:t>
            </w:r>
          </w:p>
        </w:tc>
      </w:tr>
      <w:tr w:rsidR="00525BF2" w:rsidRPr="00F656F1" w14:paraId="7ADDA448"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750EEE9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326</w:t>
            </w:r>
          </w:p>
        </w:tc>
        <w:tc>
          <w:tcPr>
            <w:tcW w:w="843" w:type="dxa"/>
            <w:tcBorders>
              <w:top w:val="single" w:sz="4" w:space="0" w:color="auto"/>
              <w:left w:val="nil"/>
              <w:bottom w:val="single" w:sz="4" w:space="0" w:color="auto"/>
              <w:right w:val="single" w:sz="4" w:space="0" w:color="auto"/>
            </w:tcBorders>
            <w:shd w:val="clear" w:color="auto" w:fill="C6EFCE"/>
            <w:noWrap/>
          </w:tcPr>
          <w:p w14:paraId="58E2FC4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R1-I7</w:t>
            </w:r>
          </w:p>
        </w:tc>
        <w:tc>
          <w:tcPr>
            <w:tcW w:w="806" w:type="dxa"/>
            <w:tcBorders>
              <w:top w:val="single" w:sz="4" w:space="0" w:color="auto"/>
              <w:left w:val="nil"/>
              <w:bottom w:val="single" w:sz="4" w:space="0" w:color="auto"/>
              <w:right w:val="single" w:sz="4" w:space="0" w:color="auto"/>
            </w:tcBorders>
            <w:shd w:val="clear" w:color="auto" w:fill="C6EFCE"/>
            <w:noWrap/>
          </w:tcPr>
          <w:p w14:paraId="16F5144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53178B29"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Novi objekti u KBC-u Sestre milosrdnice </w:t>
            </w:r>
          </w:p>
        </w:tc>
        <w:tc>
          <w:tcPr>
            <w:tcW w:w="1985" w:type="dxa"/>
            <w:tcBorders>
              <w:top w:val="single" w:sz="4" w:space="0" w:color="auto"/>
              <w:left w:val="nil"/>
              <w:bottom w:val="single" w:sz="4" w:space="0" w:color="auto"/>
              <w:right w:val="single" w:sz="4" w:space="0" w:color="auto"/>
            </w:tcBorders>
            <w:shd w:val="clear" w:color="auto" w:fill="C6EFCE"/>
            <w:noWrap/>
          </w:tcPr>
          <w:p w14:paraId="4942738B"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1557788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57B8D05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681DF4B2" w14:textId="77777777"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535" w:type="dxa"/>
            <w:tcBorders>
              <w:top w:val="single" w:sz="4" w:space="0" w:color="auto"/>
              <w:left w:val="nil"/>
              <w:bottom w:val="single" w:sz="4" w:space="0" w:color="auto"/>
              <w:right w:val="single" w:sz="4" w:space="0" w:color="auto"/>
            </w:tcBorders>
            <w:shd w:val="clear" w:color="auto" w:fill="C6EFCE"/>
            <w:noWrap/>
          </w:tcPr>
          <w:p w14:paraId="60412EFF" w14:textId="0BB513ED"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1.</w:t>
            </w:r>
          </w:p>
        </w:tc>
        <w:tc>
          <w:tcPr>
            <w:tcW w:w="895" w:type="dxa"/>
            <w:tcBorders>
              <w:top w:val="single" w:sz="4" w:space="0" w:color="auto"/>
              <w:left w:val="nil"/>
              <w:bottom w:val="single" w:sz="4" w:space="0" w:color="auto"/>
              <w:right w:val="single" w:sz="4" w:space="0" w:color="auto"/>
            </w:tcBorders>
            <w:shd w:val="clear" w:color="auto" w:fill="C6EFCE"/>
            <w:noWrap/>
          </w:tcPr>
          <w:p w14:paraId="3FB4E0C7" w14:textId="10D8010B"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3827" w:type="dxa"/>
            <w:tcBorders>
              <w:top w:val="single" w:sz="4" w:space="0" w:color="auto"/>
              <w:left w:val="nil"/>
              <w:bottom w:val="single" w:sz="4" w:space="0" w:color="auto"/>
              <w:right w:val="single" w:sz="4" w:space="0" w:color="auto"/>
            </w:tcBorders>
            <w:shd w:val="clear" w:color="auto" w:fill="C6EFCE"/>
            <w:noWrap/>
          </w:tcPr>
          <w:p w14:paraId="191FFA9A" w14:textId="77777777" w:rsidR="00733DCA" w:rsidRPr="00C6700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KBC Sestre milosrdnice opremit će se integriranim objektima za hitni bolnički prijem, dnevnu bolnicu i jednodnevnu kirurgiju s medicinskom i nemedicinskom opremom i namještajem. </w:t>
            </w:r>
          </w:p>
        </w:tc>
      </w:tr>
      <w:tr w:rsidR="00525BF2" w:rsidRPr="00F656F1" w14:paraId="3EBDD756"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23F4632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327</w:t>
            </w:r>
          </w:p>
        </w:tc>
        <w:tc>
          <w:tcPr>
            <w:tcW w:w="843" w:type="dxa"/>
            <w:tcBorders>
              <w:top w:val="single" w:sz="4" w:space="0" w:color="auto"/>
              <w:left w:val="nil"/>
              <w:bottom w:val="single" w:sz="4" w:space="0" w:color="auto"/>
              <w:right w:val="single" w:sz="4" w:space="0" w:color="auto"/>
            </w:tcBorders>
            <w:shd w:val="clear" w:color="auto" w:fill="C6EFCE"/>
            <w:noWrap/>
          </w:tcPr>
          <w:p w14:paraId="718CB8E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R1-I8</w:t>
            </w:r>
          </w:p>
        </w:tc>
        <w:tc>
          <w:tcPr>
            <w:tcW w:w="806" w:type="dxa"/>
            <w:tcBorders>
              <w:top w:val="single" w:sz="4" w:space="0" w:color="auto"/>
              <w:left w:val="nil"/>
              <w:bottom w:val="single" w:sz="4" w:space="0" w:color="auto"/>
              <w:right w:val="single" w:sz="4" w:space="0" w:color="auto"/>
            </w:tcBorders>
            <w:shd w:val="clear" w:color="auto" w:fill="C6EFCE"/>
            <w:noWrap/>
          </w:tcPr>
          <w:p w14:paraId="3E9DE7F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4AD96A6A"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Medicinski uređaji za preoperativnu obradu i liječenje bolesnika s farmakorezistentnom epilepsijom u KB-u Dubrava</w:t>
            </w:r>
          </w:p>
        </w:tc>
        <w:tc>
          <w:tcPr>
            <w:tcW w:w="1985" w:type="dxa"/>
            <w:tcBorders>
              <w:top w:val="single" w:sz="4" w:space="0" w:color="auto"/>
              <w:left w:val="nil"/>
              <w:bottom w:val="single" w:sz="4" w:space="0" w:color="auto"/>
              <w:right w:val="single" w:sz="4" w:space="0" w:color="auto"/>
            </w:tcBorders>
            <w:shd w:val="clear" w:color="auto" w:fill="C6EFCE"/>
            <w:noWrap/>
          </w:tcPr>
          <w:p w14:paraId="11D4435F"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1729455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2555EC6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6C5BF8E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w:t>
            </w:r>
          </w:p>
        </w:tc>
        <w:tc>
          <w:tcPr>
            <w:tcW w:w="535" w:type="dxa"/>
            <w:tcBorders>
              <w:top w:val="single" w:sz="4" w:space="0" w:color="auto"/>
              <w:left w:val="nil"/>
              <w:bottom w:val="single" w:sz="4" w:space="0" w:color="auto"/>
              <w:right w:val="single" w:sz="4" w:space="0" w:color="auto"/>
            </w:tcBorders>
            <w:shd w:val="clear" w:color="auto" w:fill="C6EFCE"/>
            <w:noWrap/>
          </w:tcPr>
          <w:p w14:paraId="1F69621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28E48C4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827" w:type="dxa"/>
            <w:tcBorders>
              <w:top w:val="single" w:sz="4" w:space="0" w:color="auto"/>
              <w:left w:val="nil"/>
              <w:bottom w:val="single" w:sz="4" w:space="0" w:color="auto"/>
              <w:right w:val="single" w:sz="4" w:space="0" w:color="auto"/>
            </w:tcBorders>
            <w:shd w:val="clear" w:color="auto" w:fill="C6EFCE"/>
            <w:noWrap/>
          </w:tcPr>
          <w:p w14:paraId="62E67906"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Za potrebe daljnjeg razvoja Zavoda za neurologiju u KB-u Dubrava deset medicinskih uređaja ugradit će se i staviti u funkciju najkasnije do 30. lipnja 2023. Ulaganje uključuje nabavu opreme kao što su digitalni uređaji za SEEG 256 kanalno snimanje s videom, digitalni uređaj za EMNG i EP 12 kanalno snimanje. Ugradit će se uređaj za radiofrekventnu (RF) termokoagulaciju i adaptirati odgovarajući prostorni kapacitet.</w:t>
            </w:r>
          </w:p>
        </w:tc>
      </w:tr>
      <w:tr w:rsidR="00525BF2" w:rsidRPr="00F656F1" w14:paraId="72590EE5"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13FAD74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328</w:t>
            </w:r>
          </w:p>
        </w:tc>
        <w:tc>
          <w:tcPr>
            <w:tcW w:w="843" w:type="dxa"/>
            <w:tcBorders>
              <w:top w:val="single" w:sz="4" w:space="0" w:color="auto"/>
              <w:left w:val="nil"/>
              <w:bottom w:val="single" w:sz="4" w:space="0" w:color="auto"/>
              <w:right w:val="single" w:sz="4" w:space="0" w:color="auto"/>
            </w:tcBorders>
            <w:shd w:val="clear" w:color="auto" w:fill="C6EFCE"/>
            <w:noWrap/>
          </w:tcPr>
          <w:p w14:paraId="1920D0B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R1-I9</w:t>
            </w:r>
          </w:p>
        </w:tc>
        <w:tc>
          <w:tcPr>
            <w:tcW w:w="806" w:type="dxa"/>
            <w:tcBorders>
              <w:top w:val="single" w:sz="4" w:space="0" w:color="auto"/>
              <w:left w:val="nil"/>
              <w:bottom w:val="single" w:sz="4" w:space="0" w:color="auto"/>
              <w:right w:val="single" w:sz="4" w:space="0" w:color="auto"/>
            </w:tcBorders>
            <w:shd w:val="clear" w:color="auto" w:fill="C6EFCE"/>
            <w:noWrap/>
          </w:tcPr>
          <w:p w14:paraId="1AF4299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23EB69C8"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Projekt razvoja KBC-a Zagreb </w:t>
            </w:r>
          </w:p>
        </w:tc>
        <w:tc>
          <w:tcPr>
            <w:tcW w:w="1985" w:type="dxa"/>
            <w:tcBorders>
              <w:top w:val="single" w:sz="4" w:space="0" w:color="auto"/>
              <w:left w:val="nil"/>
              <w:bottom w:val="single" w:sz="4" w:space="0" w:color="auto"/>
              <w:right w:val="single" w:sz="4" w:space="0" w:color="auto"/>
            </w:tcBorders>
            <w:shd w:val="clear" w:color="auto" w:fill="C6EFCE"/>
            <w:noWrap/>
          </w:tcPr>
          <w:p w14:paraId="1945E9C9"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2A268C7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23E7F09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1405F3F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535" w:type="dxa"/>
            <w:tcBorders>
              <w:top w:val="single" w:sz="4" w:space="0" w:color="auto"/>
              <w:left w:val="nil"/>
              <w:bottom w:val="single" w:sz="4" w:space="0" w:color="auto"/>
              <w:right w:val="single" w:sz="4" w:space="0" w:color="auto"/>
            </w:tcBorders>
            <w:shd w:val="clear" w:color="auto" w:fill="C6EFCE"/>
            <w:noWrap/>
          </w:tcPr>
          <w:p w14:paraId="436D81D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95" w:type="dxa"/>
            <w:tcBorders>
              <w:top w:val="single" w:sz="4" w:space="0" w:color="auto"/>
              <w:left w:val="nil"/>
              <w:bottom w:val="single" w:sz="4" w:space="0" w:color="auto"/>
              <w:right w:val="single" w:sz="4" w:space="0" w:color="auto"/>
            </w:tcBorders>
            <w:shd w:val="clear" w:color="auto" w:fill="C6EFCE"/>
            <w:noWrap/>
          </w:tcPr>
          <w:p w14:paraId="5B1B85B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827" w:type="dxa"/>
            <w:tcBorders>
              <w:top w:val="single" w:sz="4" w:space="0" w:color="auto"/>
              <w:left w:val="nil"/>
              <w:bottom w:val="single" w:sz="4" w:space="0" w:color="auto"/>
              <w:right w:val="single" w:sz="4" w:space="0" w:color="auto"/>
            </w:tcBorders>
            <w:shd w:val="clear" w:color="auto" w:fill="C6EFCE"/>
            <w:noWrap/>
          </w:tcPr>
          <w:p w14:paraId="49E5076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Dovršetak projekta razvoja Kliničkog bolničkog centra (KBC) Zagreb uključuje nabavu nove medicinske i nemedicinske (namještaj, kuhinja) opreme za šest odjela i klinika.</w:t>
            </w:r>
          </w:p>
        </w:tc>
      </w:tr>
      <w:tr w:rsidR="00525BF2" w:rsidRPr="00F656F1" w14:paraId="2C767622"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5D9D4E4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bookmarkStart w:id="6" w:name="R2"/>
            <w:r>
              <w:rPr>
                <w:rFonts w:ascii="Calibri" w:hAnsi="Calibri"/>
                <w:noProof/>
                <w:color w:val="000000"/>
                <w:sz w:val="20"/>
              </w:rPr>
              <w:t>329</w:t>
            </w:r>
          </w:p>
        </w:tc>
        <w:tc>
          <w:tcPr>
            <w:tcW w:w="843" w:type="dxa"/>
            <w:tcBorders>
              <w:top w:val="single" w:sz="4" w:space="0" w:color="auto"/>
              <w:left w:val="nil"/>
              <w:bottom w:val="single" w:sz="4" w:space="0" w:color="auto"/>
              <w:right w:val="single" w:sz="4" w:space="0" w:color="auto"/>
            </w:tcBorders>
            <w:shd w:val="clear" w:color="auto" w:fill="C6EFCE"/>
            <w:noWrap/>
          </w:tcPr>
          <w:p w14:paraId="76D16AA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R2</w:t>
            </w:r>
          </w:p>
        </w:tc>
        <w:tc>
          <w:tcPr>
            <w:tcW w:w="806" w:type="dxa"/>
            <w:tcBorders>
              <w:top w:val="single" w:sz="4" w:space="0" w:color="auto"/>
              <w:left w:val="nil"/>
              <w:bottom w:val="single" w:sz="4" w:space="0" w:color="auto"/>
              <w:right w:val="single" w:sz="4" w:space="0" w:color="auto"/>
            </w:tcBorders>
            <w:shd w:val="clear" w:color="auto" w:fill="C6EFCE"/>
            <w:noWrap/>
          </w:tcPr>
          <w:p w14:paraId="5AF6BAC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17" w:type="dxa"/>
            <w:tcBorders>
              <w:top w:val="single" w:sz="4" w:space="0" w:color="auto"/>
              <w:left w:val="nil"/>
              <w:bottom w:val="single" w:sz="4" w:space="0" w:color="auto"/>
              <w:right w:val="single" w:sz="4" w:space="0" w:color="auto"/>
            </w:tcBorders>
            <w:shd w:val="clear" w:color="auto" w:fill="C6EFCE"/>
            <w:noWrap/>
          </w:tcPr>
          <w:p w14:paraId="466934CC"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Poboljšanje i usklađivanje kvalitete zdravstvene skrbi izradom kliničkih e-smjernica</w:t>
            </w:r>
          </w:p>
        </w:tc>
        <w:tc>
          <w:tcPr>
            <w:tcW w:w="1985" w:type="dxa"/>
            <w:tcBorders>
              <w:top w:val="single" w:sz="4" w:space="0" w:color="auto"/>
              <w:left w:val="nil"/>
              <w:bottom w:val="single" w:sz="4" w:space="0" w:color="auto"/>
              <w:right w:val="single" w:sz="4" w:space="0" w:color="auto"/>
            </w:tcBorders>
            <w:shd w:val="clear" w:color="auto" w:fill="C6EFCE"/>
            <w:noWrap/>
          </w:tcPr>
          <w:p w14:paraId="4D1B4648"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MIZ je izradio kliničke smjernice i integrirao ih u e-smjernice u hrvatskom zdravstvenom sustavu. </w:t>
            </w:r>
          </w:p>
        </w:tc>
        <w:tc>
          <w:tcPr>
            <w:tcW w:w="1296" w:type="dxa"/>
            <w:tcBorders>
              <w:top w:val="single" w:sz="4" w:space="0" w:color="auto"/>
              <w:left w:val="nil"/>
              <w:bottom w:val="single" w:sz="4" w:space="0" w:color="auto"/>
              <w:right w:val="single" w:sz="4" w:space="0" w:color="auto"/>
            </w:tcBorders>
            <w:shd w:val="clear" w:color="auto" w:fill="C6EFCE"/>
            <w:noWrap/>
          </w:tcPr>
          <w:p w14:paraId="2A641FA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87" w:type="dxa"/>
            <w:tcBorders>
              <w:top w:val="single" w:sz="4" w:space="0" w:color="auto"/>
              <w:left w:val="nil"/>
              <w:bottom w:val="single" w:sz="4" w:space="0" w:color="auto"/>
              <w:right w:val="single" w:sz="4" w:space="0" w:color="auto"/>
            </w:tcBorders>
            <w:shd w:val="clear" w:color="auto" w:fill="C6EFCE"/>
            <w:noWrap/>
          </w:tcPr>
          <w:p w14:paraId="5E1E5DC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76" w:type="dxa"/>
            <w:tcBorders>
              <w:top w:val="single" w:sz="4" w:space="0" w:color="auto"/>
              <w:left w:val="nil"/>
              <w:bottom w:val="single" w:sz="4" w:space="0" w:color="auto"/>
              <w:right w:val="single" w:sz="4" w:space="0" w:color="auto"/>
            </w:tcBorders>
            <w:shd w:val="clear" w:color="auto" w:fill="C6EFCE"/>
            <w:noWrap/>
          </w:tcPr>
          <w:p w14:paraId="4E00393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35" w:type="dxa"/>
            <w:tcBorders>
              <w:top w:val="single" w:sz="4" w:space="0" w:color="auto"/>
              <w:left w:val="nil"/>
              <w:bottom w:val="single" w:sz="4" w:space="0" w:color="auto"/>
              <w:right w:val="single" w:sz="4" w:space="0" w:color="auto"/>
            </w:tcBorders>
            <w:shd w:val="clear" w:color="auto" w:fill="C6EFCE"/>
            <w:noWrap/>
          </w:tcPr>
          <w:p w14:paraId="799ED27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895" w:type="dxa"/>
            <w:tcBorders>
              <w:top w:val="single" w:sz="4" w:space="0" w:color="auto"/>
              <w:left w:val="nil"/>
              <w:bottom w:val="single" w:sz="4" w:space="0" w:color="auto"/>
              <w:right w:val="single" w:sz="4" w:space="0" w:color="auto"/>
            </w:tcBorders>
            <w:shd w:val="clear" w:color="auto" w:fill="C6EFCE"/>
            <w:noWrap/>
          </w:tcPr>
          <w:p w14:paraId="5CFDB60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0C3D7321"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 temelju znanstvenih dokaza MIZ će izraditi kliničke smjernice i ih integrirati u hrvatski zdravstveni sustav, kao i e-smjernice radi usklađivanja kvalitete zdravstvene zaštite s ciljem ujednačavanja liječenja pacijenata i poboljšanja ishoda liječenja. Provedba kliničkih smjernica integrirat će se u e-Smjernice hrvatskog zdravstvenog sustava, čime će se poboljšati kvaliteta zdravstvene zaštite i unaprijediti upravljanje sustavom i to na dobrobit pacijenata, zdravstvenih radnika i cijelog društva. </w:t>
            </w:r>
          </w:p>
        </w:tc>
      </w:tr>
      <w:tr w:rsidR="00525BF2" w:rsidRPr="00F656F1" w14:paraId="4C1B5453"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579EB23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330</w:t>
            </w:r>
          </w:p>
        </w:tc>
        <w:tc>
          <w:tcPr>
            <w:tcW w:w="843" w:type="dxa"/>
            <w:tcBorders>
              <w:top w:val="single" w:sz="4" w:space="0" w:color="auto"/>
              <w:left w:val="nil"/>
              <w:bottom w:val="single" w:sz="4" w:space="0" w:color="auto"/>
              <w:right w:val="single" w:sz="4" w:space="0" w:color="auto"/>
            </w:tcBorders>
            <w:shd w:val="clear" w:color="auto" w:fill="C6EFCE"/>
            <w:noWrap/>
          </w:tcPr>
          <w:p w14:paraId="7E27ED3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R2</w:t>
            </w:r>
          </w:p>
        </w:tc>
        <w:tc>
          <w:tcPr>
            <w:tcW w:w="806" w:type="dxa"/>
            <w:tcBorders>
              <w:top w:val="single" w:sz="4" w:space="0" w:color="auto"/>
              <w:left w:val="nil"/>
              <w:bottom w:val="single" w:sz="4" w:space="0" w:color="auto"/>
              <w:right w:val="single" w:sz="4" w:space="0" w:color="auto"/>
            </w:tcBorders>
            <w:shd w:val="clear" w:color="auto" w:fill="C6EFCE"/>
            <w:noWrap/>
          </w:tcPr>
          <w:p w14:paraId="5CC3BC1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5C134386"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Optimizacija vremena za radiološko liječenje (liste čekanja)</w:t>
            </w:r>
          </w:p>
        </w:tc>
        <w:tc>
          <w:tcPr>
            <w:tcW w:w="1985" w:type="dxa"/>
            <w:tcBorders>
              <w:top w:val="single" w:sz="4" w:space="0" w:color="auto"/>
              <w:left w:val="nil"/>
              <w:bottom w:val="single" w:sz="4" w:space="0" w:color="auto"/>
              <w:right w:val="single" w:sz="4" w:space="0" w:color="auto"/>
            </w:tcBorders>
            <w:shd w:val="clear" w:color="auto" w:fill="C6EFCE"/>
            <w:noWrap/>
          </w:tcPr>
          <w:p w14:paraId="6A1259F9"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5D128DA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 dana</w:t>
            </w:r>
          </w:p>
        </w:tc>
        <w:tc>
          <w:tcPr>
            <w:tcW w:w="1087" w:type="dxa"/>
            <w:tcBorders>
              <w:top w:val="single" w:sz="4" w:space="0" w:color="auto"/>
              <w:left w:val="nil"/>
              <w:bottom w:val="single" w:sz="4" w:space="0" w:color="auto"/>
              <w:right w:val="single" w:sz="4" w:space="0" w:color="auto"/>
            </w:tcBorders>
            <w:shd w:val="clear" w:color="auto" w:fill="C6EFCE"/>
            <w:noWrap/>
          </w:tcPr>
          <w:p w14:paraId="2BD23F7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76" w:type="dxa"/>
            <w:tcBorders>
              <w:top w:val="single" w:sz="4" w:space="0" w:color="auto"/>
              <w:left w:val="nil"/>
              <w:bottom w:val="single" w:sz="4" w:space="0" w:color="auto"/>
              <w:right w:val="single" w:sz="4" w:space="0" w:color="auto"/>
            </w:tcBorders>
            <w:shd w:val="clear" w:color="auto" w:fill="C6EFCE"/>
            <w:noWrap/>
          </w:tcPr>
          <w:p w14:paraId="3BD9068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w:t>
            </w:r>
          </w:p>
        </w:tc>
        <w:tc>
          <w:tcPr>
            <w:tcW w:w="535" w:type="dxa"/>
            <w:tcBorders>
              <w:top w:val="single" w:sz="4" w:space="0" w:color="auto"/>
              <w:left w:val="nil"/>
              <w:bottom w:val="single" w:sz="4" w:space="0" w:color="auto"/>
              <w:right w:val="single" w:sz="4" w:space="0" w:color="auto"/>
            </w:tcBorders>
            <w:shd w:val="clear" w:color="auto" w:fill="C6EFCE"/>
            <w:noWrap/>
          </w:tcPr>
          <w:p w14:paraId="0FDD3F0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35C7569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827" w:type="dxa"/>
            <w:tcBorders>
              <w:top w:val="single" w:sz="4" w:space="0" w:color="auto"/>
              <w:left w:val="nil"/>
              <w:bottom w:val="single" w:sz="4" w:space="0" w:color="auto"/>
              <w:right w:val="single" w:sz="4" w:space="0" w:color="auto"/>
            </w:tcBorders>
            <w:shd w:val="clear" w:color="auto" w:fill="C6EFCE"/>
            <w:noWrap/>
          </w:tcPr>
          <w:p w14:paraId="3B51CC67"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Razdoblje čekanja za bolesnike na radiološkom liječenju skratit će se na 30 dana od indikacije dijagnoze.</w:t>
            </w:r>
          </w:p>
        </w:tc>
      </w:tr>
      <w:bookmarkEnd w:id="6"/>
      <w:tr w:rsidR="00525BF2" w:rsidRPr="00F656F1" w14:paraId="7249416E"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4F7EC3E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331</w:t>
            </w:r>
          </w:p>
        </w:tc>
        <w:tc>
          <w:tcPr>
            <w:tcW w:w="843" w:type="dxa"/>
            <w:tcBorders>
              <w:top w:val="single" w:sz="4" w:space="0" w:color="auto"/>
              <w:left w:val="nil"/>
              <w:bottom w:val="single" w:sz="4" w:space="0" w:color="auto"/>
              <w:right w:val="single" w:sz="4" w:space="0" w:color="auto"/>
            </w:tcBorders>
            <w:shd w:val="clear" w:color="auto" w:fill="C6EFCE"/>
            <w:noWrap/>
          </w:tcPr>
          <w:p w14:paraId="4D2D4C6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R2-I1</w:t>
            </w:r>
          </w:p>
        </w:tc>
        <w:tc>
          <w:tcPr>
            <w:tcW w:w="806" w:type="dxa"/>
            <w:tcBorders>
              <w:top w:val="single" w:sz="4" w:space="0" w:color="auto"/>
              <w:left w:val="nil"/>
              <w:bottom w:val="single" w:sz="4" w:space="0" w:color="auto"/>
              <w:right w:val="single" w:sz="4" w:space="0" w:color="auto"/>
            </w:tcBorders>
            <w:shd w:val="clear" w:color="auto" w:fill="C6EFCE"/>
            <w:noWrap/>
          </w:tcPr>
          <w:p w14:paraId="5DD8F81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67B1662F"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Poboljšanje kvalitete onkološke radioterapije </w:t>
            </w:r>
          </w:p>
        </w:tc>
        <w:tc>
          <w:tcPr>
            <w:tcW w:w="1985" w:type="dxa"/>
            <w:tcBorders>
              <w:top w:val="single" w:sz="4" w:space="0" w:color="auto"/>
              <w:left w:val="nil"/>
              <w:bottom w:val="single" w:sz="4" w:space="0" w:color="auto"/>
              <w:right w:val="single" w:sz="4" w:space="0" w:color="auto"/>
            </w:tcBorders>
            <w:shd w:val="clear" w:color="auto" w:fill="C6EFCE"/>
            <w:noWrap/>
          </w:tcPr>
          <w:p w14:paraId="1BAA1A41"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67BDE8C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7B98313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18A444A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6</w:t>
            </w:r>
          </w:p>
        </w:tc>
        <w:tc>
          <w:tcPr>
            <w:tcW w:w="535" w:type="dxa"/>
            <w:tcBorders>
              <w:top w:val="single" w:sz="4" w:space="0" w:color="auto"/>
              <w:left w:val="nil"/>
              <w:bottom w:val="single" w:sz="4" w:space="0" w:color="auto"/>
              <w:right w:val="single" w:sz="4" w:space="0" w:color="auto"/>
            </w:tcBorders>
            <w:shd w:val="clear" w:color="auto" w:fill="C6EFCE"/>
            <w:noWrap/>
          </w:tcPr>
          <w:p w14:paraId="70E9728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46DBC56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78305C13" w14:textId="0A113610" w:rsidR="00733DCA" w:rsidRPr="00C6700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themeColor="text1"/>
                <w:sz w:val="20"/>
              </w:rPr>
              <w:t>Šest bolnica opremit će se medicinskim uređajima za prevenciju, dijagnostiku i liječenje raka. Ulaganje će obuhvaćati nabavu nove opreme i zanavljanje stare opreme.</w:t>
            </w:r>
          </w:p>
        </w:tc>
      </w:tr>
      <w:tr w:rsidR="00525BF2" w:rsidRPr="00F656F1" w14:paraId="3E755023"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7F6014F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332</w:t>
            </w:r>
          </w:p>
        </w:tc>
        <w:tc>
          <w:tcPr>
            <w:tcW w:w="843" w:type="dxa"/>
            <w:tcBorders>
              <w:top w:val="single" w:sz="4" w:space="0" w:color="auto"/>
              <w:left w:val="nil"/>
              <w:bottom w:val="single" w:sz="4" w:space="0" w:color="auto"/>
              <w:right w:val="single" w:sz="4" w:space="0" w:color="auto"/>
            </w:tcBorders>
            <w:shd w:val="clear" w:color="auto" w:fill="C6EFCE"/>
            <w:noWrap/>
          </w:tcPr>
          <w:p w14:paraId="2411394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R2-I2</w:t>
            </w:r>
          </w:p>
        </w:tc>
        <w:tc>
          <w:tcPr>
            <w:tcW w:w="806" w:type="dxa"/>
            <w:tcBorders>
              <w:top w:val="single" w:sz="4" w:space="0" w:color="auto"/>
              <w:left w:val="nil"/>
              <w:bottom w:val="single" w:sz="4" w:space="0" w:color="auto"/>
              <w:right w:val="single" w:sz="4" w:space="0" w:color="auto"/>
            </w:tcBorders>
            <w:shd w:val="clear" w:color="auto" w:fill="C6EFCE"/>
            <w:noWrap/>
          </w:tcPr>
          <w:p w14:paraId="43CE06E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51EC47D3"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Jedinstvena IT platforma za povezivanje, praćenje i optimalno liječenje onkoloških pacijenata </w:t>
            </w:r>
          </w:p>
        </w:tc>
        <w:tc>
          <w:tcPr>
            <w:tcW w:w="1985" w:type="dxa"/>
            <w:tcBorders>
              <w:top w:val="single" w:sz="4" w:space="0" w:color="auto"/>
              <w:left w:val="nil"/>
              <w:bottom w:val="single" w:sz="4" w:space="0" w:color="auto"/>
              <w:right w:val="single" w:sz="4" w:space="0" w:color="auto"/>
            </w:tcBorders>
            <w:shd w:val="clear" w:color="auto" w:fill="C6EFCE"/>
            <w:noWrap/>
          </w:tcPr>
          <w:p w14:paraId="708C5D6A"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53E89DB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1DF6AEF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1BA3633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535" w:type="dxa"/>
            <w:tcBorders>
              <w:top w:val="single" w:sz="4" w:space="0" w:color="auto"/>
              <w:left w:val="nil"/>
              <w:bottom w:val="single" w:sz="4" w:space="0" w:color="auto"/>
              <w:right w:val="single" w:sz="4" w:space="0" w:color="auto"/>
            </w:tcBorders>
            <w:shd w:val="clear" w:color="auto" w:fill="C6EFCE"/>
            <w:noWrap/>
          </w:tcPr>
          <w:p w14:paraId="6622303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48A1664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72DDB4FD"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Jedinstvena, jedinstvena IT platforma za povezivanje, praćenje i optimalno liječenje onkoloških pacijenata razvijena je i u funkciji. Informatička platforma omogućit će povezivanje zdravstvenih podataka, planiranje organizacijskih i strukturnih promjena i prepoznavanje rizika te pružiti temelj za provedbu daljnjih faza strategije, uključujući uspostavu radioterapijske mreže. U nacionalnu informatičku onkološku mrežu uključit će se sve onkološke ustanove u Hrvatskoj. Odgovarajući algoritmi osnovnih dijagnostičkih postupaka potrebnih za započinjanje liječenja najčešćih dijagnoza također se ugrađuju u nacionalnu informatičku onkološku mrežu kako bi se standardiziralo liječenje na svim razinama u Hrvatskoj, od malih onkoloških ambulanti do kliničkih bolničkih centara. </w:t>
            </w:r>
          </w:p>
        </w:tc>
      </w:tr>
      <w:tr w:rsidR="00525BF2" w:rsidRPr="00F656F1" w14:paraId="7E44F515"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35901CD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333</w:t>
            </w:r>
          </w:p>
        </w:tc>
        <w:tc>
          <w:tcPr>
            <w:tcW w:w="843" w:type="dxa"/>
            <w:tcBorders>
              <w:top w:val="single" w:sz="4" w:space="0" w:color="auto"/>
              <w:left w:val="nil"/>
              <w:bottom w:val="single" w:sz="4" w:space="0" w:color="auto"/>
              <w:right w:val="single" w:sz="4" w:space="0" w:color="auto"/>
            </w:tcBorders>
            <w:shd w:val="clear" w:color="auto" w:fill="C6EFCE"/>
            <w:noWrap/>
          </w:tcPr>
          <w:p w14:paraId="74B0356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R3</w:t>
            </w:r>
          </w:p>
        </w:tc>
        <w:tc>
          <w:tcPr>
            <w:tcW w:w="806" w:type="dxa"/>
            <w:tcBorders>
              <w:top w:val="single" w:sz="4" w:space="0" w:color="auto"/>
              <w:left w:val="nil"/>
              <w:bottom w:val="single" w:sz="4" w:space="0" w:color="auto"/>
              <w:right w:val="single" w:sz="4" w:space="0" w:color="auto"/>
            </w:tcBorders>
            <w:shd w:val="clear" w:color="auto" w:fill="C6EFCE"/>
            <w:noWrap/>
          </w:tcPr>
          <w:p w14:paraId="26FEB36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2017" w:type="dxa"/>
            <w:tcBorders>
              <w:top w:val="single" w:sz="4" w:space="0" w:color="auto"/>
              <w:left w:val="nil"/>
              <w:bottom w:val="single" w:sz="4" w:space="0" w:color="auto"/>
              <w:right w:val="single" w:sz="4" w:space="0" w:color="auto"/>
            </w:tcBorders>
            <w:shd w:val="clear" w:color="auto" w:fill="C6EFCE"/>
            <w:noWrap/>
          </w:tcPr>
          <w:p w14:paraId="143616D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Nacionalni plan razvoja zdravstva za razdoblje 2021.–2027.</w:t>
            </w:r>
          </w:p>
        </w:tc>
        <w:tc>
          <w:tcPr>
            <w:tcW w:w="1985" w:type="dxa"/>
            <w:tcBorders>
              <w:top w:val="single" w:sz="4" w:space="0" w:color="auto"/>
              <w:left w:val="nil"/>
              <w:bottom w:val="single" w:sz="4" w:space="0" w:color="auto"/>
              <w:right w:val="single" w:sz="4" w:space="0" w:color="auto"/>
            </w:tcBorders>
            <w:shd w:val="clear" w:color="auto" w:fill="C6EFCE"/>
            <w:noWrap/>
          </w:tcPr>
          <w:p w14:paraId="7A162EEE"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Nacionalnog plana razvoja zdravstva za razdoblje 2021.–2027.</w:t>
            </w:r>
          </w:p>
        </w:tc>
        <w:tc>
          <w:tcPr>
            <w:tcW w:w="1296" w:type="dxa"/>
            <w:tcBorders>
              <w:top w:val="single" w:sz="4" w:space="0" w:color="auto"/>
              <w:left w:val="nil"/>
              <w:bottom w:val="single" w:sz="4" w:space="0" w:color="auto"/>
              <w:right w:val="single" w:sz="4" w:space="0" w:color="auto"/>
            </w:tcBorders>
            <w:shd w:val="clear" w:color="auto" w:fill="C6EFCE"/>
            <w:noWrap/>
          </w:tcPr>
          <w:p w14:paraId="40136CF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87" w:type="dxa"/>
            <w:tcBorders>
              <w:top w:val="single" w:sz="4" w:space="0" w:color="auto"/>
              <w:left w:val="nil"/>
              <w:bottom w:val="single" w:sz="4" w:space="0" w:color="auto"/>
              <w:right w:val="single" w:sz="4" w:space="0" w:color="auto"/>
            </w:tcBorders>
            <w:shd w:val="clear" w:color="auto" w:fill="C6EFCE"/>
            <w:noWrap/>
          </w:tcPr>
          <w:p w14:paraId="4447964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76" w:type="dxa"/>
            <w:tcBorders>
              <w:top w:val="single" w:sz="4" w:space="0" w:color="auto"/>
              <w:left w:val="nil"/>
              <w:bottom w:val="single" w:sz="4" w:space="0" w:color="auto"/>
              <w:right w:val="single" w:sz="4" w:space="0" w:color="auto"/>
            </w:tcBorders>
            <w:shd w:val="clear" w:color="auto" w:fill="C6EFCE"/>
            <w:noWrap/>
          </w:tcPr>
          <w:p w14:paraId="095DAA4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35" w:type="dxa"/>
            <w:tcBorders>
              <w:top w:val="single" w:sz="4" w:space="0" w:color="auto"/>
              <w:left w:val="nil"/>
              <w:bottom w:val="single" w:sz="4" w:space="0" w:color="auto"/>
              <w:right w:val="single" w:sz="4" w:space="0" w:color="auto"/>
            </w:tcBorders>
            <w:shd w:val="clear" w:color="auto" w:fill="C6EFCE"/>
            <w:noWrap/>
          </w:tcPr>
          <w:p w14:paraId="695ABA1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w:t>
            </w:r>
          </w:p>
        </w:tc>
        <w:tc>
          <w:tcPr>
            <w:tcW w:w="895" w:type="dxa"/>
            <w:tcBorders>
              <w:top w:val="single" w:sz="4" w:space="0" w:color="auto"/>
              <w:left w:val="nil"/>
              <w:bottom w:val="single" w:sz="4" w:space="0" w:color="auto"/>
              <w:right w:val="single" w:sz="4" w:space="0" w:color="auto"/>
            </w:tcBorders>
            <w:shd w:val="clear" w:color="auto" w:fill="C6EFCE"/>
            <w:noWrap/>
          </w:tcPr>
          <w:p w14:paraId="58A0E83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3827" w:type="dxa"/>
            <w:tcBorders>
              <w:top w:val="single" w:sz="4" w:space="0" w:color="auto"/>
              <w:left w:val="nil"/>
              <w:bottom w:val="single" w:sz="4" w:space="0" w:color="auto"/>
              <w:right w:val="single" w:sz="4" w:space="0" w:color="auto"/>
            </w:tcBorders>
            <w:shd w:val="clear" w:color="auto" w:fill="C6EFCE"/>
            <w:noWrap/>
          </w:tcPr>
          <w:p w14:paraId="2FF8FE6A"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Nacionalnom planu razvoja zdravstva za razdoblje 2021.–2027. kao krovnom propisu za sektorsko planiranje utvrdit će se specifični ciljevi, mjere, projekti i aktivnosti koji se trebaju provesti pod pokroviteljstvom MIZ-a s primarnim ciljem poboljšanja zdravstvenog sustava i zdravstvenih ishoda. Nacionalni plan razvoja zdravstva bit će u skladu s Programom reformi Vlade Republike Hrvatske i Smjernicama Europske komisije za kohezijsku politiku za razdoblje 2021.–2027. U Nacionalnom planu razvoja zdravstva definirat će se srednjoročne razvojne potrebe, i to tako što će se: </w:t>
            </w:r>
            <w:r>
              <w:rPr>
                <w:rFonts w:ascii="Calibri" w:hAnsi="Calibri"/>
                <w:noProof/>
                <w:color w:val="000000"/>
                <w:sz w:val="20"/>
              </w:rPr>
              <w:br/>
              <w:t>– definirati razvojne potrebe za postizanje fleksibilnog, učinkovitog i holističkog upravljanja zdravstvenim sustavom,</w:t>
            </w:r>
            <w:r>
              <w:rPr>
                <w:rFonts w:ascii="Calibri" w:hAnsi="Calibri"/>
                <w:noProof/>
                <w:color w:val="000000"/>
                <w:sz w:val="20"/>
              </w:rPr>
              <w:br/>
              <w:t>– utvrditi mjere za uspješno promicanje zdravlja i prevenciju bolesti,</w:t>
            </w:r>
            <w:r>
              <w:rPr>
                <w:rFonts w:ascii="Calibri" w:hAnsi="Calibri"/>
                <w:noProof/>
                <w:color w:val="000000"/>
                <w:sz w:val="20"/>
              </w:rPr>
              <w:br/>
              <w:t>– uvesti koordinacija pružatelja zdravstvene zaštite i preobrazbu modela liječenja i rehabilitacije prema aktivnom upravljanju procesom skrbi u svim fazama i na svim razinama,</w:t>
            </w:r>
            <w:r>
              <w:rPr>
                <w:rFonts w:ascii="Calibri" w:hAnsi="Calibri"/>
                <w:noProof/>
                <w:color w:val="000000"/>
                <w:sz w:val="20"/>
              </w:rPr>
              <w:br/>
              <w:t>– definirati integracija zdravstvenih usluga i socijalne skrbi te razvoj integriranih modela dugotrajne skrbi,</w:t>
            </w:r>
            <w:r>
              <w:rPr>
                <w:rFonts w:ascii="Calibri" w:hAnsi="Calibri"/>
                <w:noProof/>
                <w:color w:val="000000"/>
                <w:sz w:val="20"/>
              </w:rPr>
              <w:br/>
              <w:t>– uvesti mjere za kontrolu i poboljšanje kvalitete zdravstvene skrbi i sigurnosti pacijenata,</w:t>
            </w:r>
            <w:r>
              <w:rPr>
                <w:rFonts w:ascii="Calibri" w:hAnsi="Calibri"/>
                <w:noProof/>
                <w:color w:val="000000"/>
                <w:sz w:val="20"/>
              </w:rPr>
              <w:br/>
              <w:t xml:space="preserve">– poboljšati odredbe o upravljanju osobljem, </w:t>
            </w:r>
            <w:r>
              <w:rPr>
                <w:rFonts w:ascii="Calibri" w:hAnsi="Calibri"/>
                <w:noProof/>
                <w:color w:val="000000"/>
                <w:sz w:val="20"/>
              </w:rPr>
              <w:br/>
              <w:t xml:space="preserve">— uvesti posebni ciljevi koji neizravno doprinose postizanju strateškog cilja utvrđenog u Nacionalnoj razvojnoj strategiji (NRS) do 2030. Povećanju zdravih godina u očekivanom životnom vijeku doprinijet će se: </w:t>
            </w:r>
            <w:r>
              <w:rPr>
                <w:rFonts w:ascii="Calibri" w:hAnsi="Calibri"/>
                <w:noProof/>
                <w:color w:val="000000"/>
                <w:sz w:val="20"/>
              </w:rPr>
              <w:br/>
              <w:t>— promicanjem zdravog načina života i prevencije bolesti koji su vodeći problem javnog zdravlja,</w:t>
            </w:r>
            <w:r>
              <w:rPr>
                <w:rFonts w:ascii="Calibri" w:hAnsi="Calibri"/>
                <w:noProof/>
                <w:color w:val="000000"/>
                <w:sz w:val="20"/>
              </w:rPr>
              <w:br/>
              <w:t xml:space="preserve">— poboljšanjem kvalitete zdravstvene skrbi boljom učinkovitošću, sigurnošću i dostupnošću te funkcionalnom integracijom svih razina i dijelova zdravstvene skrbi, </w:t>
            </w:r>
            <w:r>
              <w:rPr>
                <w:rFonts w:ascii="Calibri" w:hAnsi="Calibri"/>
                <w:noProof/>
                <w:color w:val="000000"/>
                <w:sz w:val="20"/>
              </w:rPr>
              <w:br/>
              <w:t>— uvođenjem novog modela skrbi za ključna zdravstvena pitanja kao što su kardiovaskularne, onkološke i rijetke bolesti te dijabetes radi produljenja i poboljšanja kvalitete života,</w:t>
            </w:r>
            <w:r>
              <w:rPr>
                <w:rFonts w:ascii="Calibri" w:hAnsi="Calibri"/>
                <w:noProof/>
                <w:color w:val="000000"/>
                <w:sz w:val="20"/>
              </w:rPr>
              <w:br/>
              <w:t>— strateškim upravljanjem radi promicanja atraktivnosti zdravstvenog sustava kao mjesta zapošljavanja, čime će se osigurati optimalan broj i raspodjela zaposlenika u zdravstvenom sustavu,</w:t>
            </w:r>
            <w:r>
              <w:rPr>
                <w:rFonts w:ascii="Calibri" w:hAnsi="Calibri"/>
                <w:noProof/>
                <w:color w:val="000000"/>
                <w:sz w:val="20"/>
              </w:rPr>
              <w:br/>
              <w:t>— poboljšanjem modela financiranja i upravljanja zdravstvenim sustavom.</w:t>
            </w:r>
            <w:r>
              <w:rPr>
                <w:rFonts w:ascii="Calibri" w:hAnsi="Calibri"/>
                <w:noProof/>
                <w:color w:val="000000"/>
                <w:sz w:val="20"/>
              </w:rPr>
              <w:br/>
              <w:t>Kako bi se postigli posebni ciljevi, definirat će se mjere i aktivnosti koje treba provesti. Za svaku aktivnost i svaki posebni cilj i pokazatelje definirat će se pokazatelji ishoda. Nacionalni plan razvoja zdravstva uključuje rezultate mapiranja potreba zdravstvene i socijalne skrbi u području dugotrajne skrbi. Dokument se temelji na drugim nacionalnim aktima i programima (Nacionalni strateški okvir protiv raka do 2030., Nacionalni plan razvoja kliničkih bolnica, kliničkih bolničkih centara, klinika i općih bolnica u Hrvatskoj, nacionalni programi za rak, dijabetes i rijetke bolesti) i na preporukama za Hrvatsku iz 2019. i 2020.</w:t>
            </w:r>
          </w:p>
        </w:tc>
      </w:tr>
      <w:tr w:rsidR="004D0AEC" w:rsidRPr="00F656F1" w14:paraId="5FE44808"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367B18E5" w14:textId="7D38CC41" w:rsidR="00733DCA" w:rsidRPr="00F656F1" w:rsidRDefault="009302AE"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399</w:t>
            </w:r>
          </w:p>
        </w:tc>
        <w:tc>
          <w:tcPr>
            <w:tcW w:w="843" w:type="dxa"/>
            <w:tcBorders>
              <w:top w:val="single" w:sz="4" w:space="0" w:color="auto"/>
              <w:left w:val="nil"/>
              <w:bottom w:val="single" w:sz="4" w:space="0" w:color="auto"/>
              <w:right w:val="single" w:sz="4" w:space="0" w:color="auto"/>
            </w:tcBorders>
            <w:shd w:val="clear" w:color="auto" w:fill="C6EFCE"/>
            <w:noWrap/>
          </w:tcPr>
          <w:p w14:paraId="2B76E32F" w14:textId="77777777" w:rsidR="00733DCA" w:rsidRPr="00F656F1"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C5.1. R3-I1</w:t>
            </w:r>
          </w:p>
        </w:tc>
        <w:tc>
          <w:tcPr>
            <w:tcW w:w="806" w:type="dxa"/>
            <w:tcBorders>
              <w:top w:val="single" w:sz="4" w:space="0" w:color="auto"/>
              <w:left w:val="nil"/>
              <w:bottom w:val="single" w:sz="4" w:space="0" w:color="auto"/>
              <w:right w:val="single" w:sz="4" w:space="0" w:color="auto"/>
            </w:tcBorders>
            <w:shd w:val="clear" w:color="auto" w:fill="C6EFCE"/>
            <w:noWrap/>
          </w:tcPr>
          <w:p w14:paraId="0AF63B53" w14:textId="77777777" w:rsidR="00733DCA" w:rsidRPr="00F656F1"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w:t>
            </w:r>
          </w:p>
        </w:tc>
        <w:tc>
          <w:tcPr>
            <w:tcW w:w="2017" w:type="dxa"/>
            <w:tcBorders>
              <w:top w:val="single" w:sz="4" w:space="0" w:color="auto"/>
              <w:left w:val="nil"/>
              <w:bottom w:val="single" w:sz="4" w:space="0" w:color="auto"/>
              <w:right w:val="single" w:sz="4" w:space="0" w:color="auto"/>
            </w:tcBorders>
            <w:shd w:val="clear" w:color="auto" w:fill="C6EFCE"/>
            <w:noWrap/>
          </w:tcPr>
          <w:p w14:paraId="234E89F0" w14:textId="77777777" w:rsidR="00733DCA" w:rsidRPr="00F656F1"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Uspostava sustava centraliziranog financiranja specijalističkog medicinskog usavršavanja</w:t>
            </w:r>
          </w:p>
        </w:tc>
        <w:tc>
          <w:tcPr>
            <w:tcW w:w="1985" w:type="dxa"/>
            <w:tcBorders>
              <w:top w:val="single" w:sz="4" w:space="0" w:color="auto"/>
              <w:left w:val="nil"/>
              <w:bottom w:val="single" w:sz="4" w:space="0" w:color="auto"/>
              <w:right w:val="single" w:sz="4" w:space="0" w:color="auto"/>
            </w:tcBorders>
            <w:shd w:val="clear" w:color="auto" w:fill="C6EFCE"/>
            <w:noWrap/>
          </w:tcPr>
          <w:p w14:paraId="170E8B2A" w14:textId="77777777" w:rsidR="00733DCA" w:rsidRPr="00F656F1"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 xml:space="preserve">Donošenje odluke od strane Vlade </w:t>
            </w:r>
          </w:p>
        </w:tc>
        <w:tc>
          <w:tcPr>
            <w:tcW w:w="1296" w:type="dxa"/>
            <w:tcBorders>
              <w:top w:val="single" w:sz="4" w:space="0" w:color="auto"/>
              <w:left w:val="nil"/>
              <w:bottom w:val="single" w:sz="4" w:space="0" w:color="auto"/>
              <w:right w:val="single" w:sz="4" w:space="0" w:color="auto"/>
            </w:tcBorders>
            <w:shd w:val="clear" w:color="auto" w:fill="C6EFCE"/>
            <w:noWrap/>
          </w:tcPr>
          <w:p w14:paraId="23FD8EF8" w14:textId="77777777" w:rsidR="00733DCA" w:rsidRPr="00F656F1" w:rsidRDefault="00733DCA" w:rsidP="0001477B">
            <w:pPr>
              <w:spacing w:after="200" w:line="276" w:lineRule="auto"/>
              <w:jc w:val="center"/>
              <w:rPr>
                <w:rFonts w:ascii="Calibri" w:eastAsia="Calibri" w:hAnsi="Calibri" w:cs="Arial"/>
                <w:noProof/>
                <w:color w:val="000000"/>
                <w:sz w:val="20"/>
                <w:szCs w:val="20"/>
                <w:lang w:val="en-GB"/>
              </w:rPr>
            </w:pPr>
          </w:p>
        </w:tc>
        <w:tc>
          <w:tcPr>
            <w:tcW w:w="1087" w:type="dxa"/>
            <w:tcBorders>
              <w:top w:val="single" w:sz="4" w:space="0" w:color="auto"/>
              <w:left w:val="nil"/>
              <w:bottom w:val="single" w:sz="4" w:space="0" w:color="auto"/>
              <w:right w:val="single" w:sz="4" w:space="0" w:color="auto"/>
            </w:tcBorders>
            <w:shd w:val="clear" w:color="auto" w:fill="C6EFCE"/>
            <w:noWrap/>
          </w:tcPr>
          <w:p w14:paraId="51628939" w14:textId="77777777" w:rsidR="00733DCA" w:rsidRPr="00F656F1" w:rsidRDefault="00733DCA" w:rsidP="0001477B">
            <w:pPr>
              <w:spacing w:after="200" w:line="276" w:lineRule="auto"/>
              <w:jc w:val="center"/>
              <w:rPr>
                <w:rFonts w:ascii="Calibri" w:eastAsia="Calibri" w:hAnsi="Calibri" w:cs="Arial"/>
                <w:noProof/>
                <w:color w:val="000000"/>
                <w:sz w:val="20"/>
                <w:szCs w:val="20"/>
                <w:lang w:val="en-GB"/>
              </w:rPr>
            </w:pPr>
          </w:p>
        </w:tc>
        <w:tc>
          <w:tcPr>
            <w:tcW w:w="976" w:type="dxa"/>
            <w:tcBorders>
              <w:top w:val="single" w:sz="4" w:space="0" w:color="auto"/>
              <w:left w:val="nil"/>
              <w:bottom w:val="single" w:sz="4" w:space="0" w:color="auto"/>
              <w:right w:val="single" w:sz="4" w:space="0" w:color="auto"/>
            </w:tcBorders>
            <w:shd w:val="clear" w:color="auto" w:fill="C6EFCE"/>
            <w:noWrap/>
          </w:tcPr>
          <w:p w14:paraId="4C373456" w14:textId="77777777" w:rsidR="00733DCA" w:rsidRPr="00F656F1" w:rsidRDefault="00733DCA" w:rsidP="0001477B">
            <w:pPr>
              <w:spacing w:after="200" w:line="276" w:lineRule="auto"/>
              <w:jc w:val="center"/>
              <w:rPr>
                <w:rFonts w:ascii="Calibri" w:eastAsia="Calibri" w:hAnsi="Calibri" w:cs="Arial"/>
                <w:noProof/>
                <w:color w:val="000000"/>
                <w:sz w:val="20"/>
                <w:szCs w:val="20"/>
                <w:lang w:val="en-GB"/>
              </w:rPr>
            </w:pPr>
          </w:p>
        </w:tc>
        <w:tc>
          <w:tcPr>
            <w:tcW w:w="535" w:type="dxa"/>
            <w:tcBorders>
              <w:top w:val="single" w:sz="4" w:space="0" w:color="auto"/>
              <w:left w:val="nil"/>
              <w:bottom w:val="single" w:sz="4" w:space="0" w:color="auto"/>
              <w:right w:val="single" w:sz="4" w:space="0" w:color="auto"/>
            </w:tcBorders>
            <w:shd w:val="clear" w:color="auto" w:fill="C6EFCE"/>
            <w:noWrap/>
          </w:tcPr>
          <w:p w14:paraId="7CDF9EE8" w14:textId="77777777" w:rsidR="00733DCA" w:rsidRPr="00F656F1"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29E0180E" w14:textId="77777777" w:rsidR="00733DCA" w:rsidRPr="00F656F1"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themeColor="text1"/>
                <w:sz w:val="20"/>
              </w:rPr>
              <w:t>2023.</w:t>
            </w:r>
          </w:p>
        </w:tc>
        <w:tc>
          <w:tcPr>
            <w:tcW w:w="3827" w:type="dxa"/>
            <w:tcBorders>
              <w:top w:val="single" w:sz="4" w:space="0" w:color="auto"/>
              <w:left w:val="nil"/>
              <w:bottom w:val="single" w:sz="4" w:space="0" w:color="auto"/>
              <w:right w:val="single" w:sz="4" w:space="0" w:color="auto"/>
            </w:tcBorders>
            <w:shd w:val="clear" w:color="auto" w:fill="C6EFCE"/>
            <w:noWrap/>
          </w:tcPr>
          <w:p w14:paraId="1507889C" w14:textId="77777777" w:rsidR="00733DCA" w:rsidRDefault="00733DCA" w:rsidP="0001477B">
            <w:pPr>
              <w:spacing w:after="0" w:line="276" w:lineRule="auto"/>
              <w:rPr>
                <w:rFonts w:ascii="Calibri" w:eastAsia="Calibri" w:hAnsi="Calibri" w:cs="Arial"/>
                <w:noProof/>
                <w:color w:val="000000"/>
                <w:sz w:val="20"/>
                <w:szCs w:val="20"/>
              </w:rPr>
            </w:pPr>
            <w:r>
              <w:rPr>
                <w:rFonts w:ascii="Calibri" w:hAnsi="Calibri"/>
                <w:noProof/>
                <w:color w:val="000000"/>
                <w:sz w:val="20"/>
              </w:rPr>
              <w:t>Institucionalizacija financijske potpore za medicinske specijalizacije provodi se uspostavom sustava centraliziranog financiranja specijalističkog medicinskog usavršavanja, prvenstveno usmjerenom na rješavanje nedostataka u određenim medicinskim specijalnostima, uključujući, ali ne ograničavajući se na primarnu zdravstvenu zaštitu i javno zdravstvo. Dodjela financijskih sredstava za ovu svrhu bit će isključivo namijenjena potrebama Mreže javne zdravstvene službe.</w:t>
            </w:r>
          </w:p>
          <w:p w14:paraId="5D109300" w14:textId="77777777" w:rsidR="00733DCA" w:rsidRPr="00F656F1"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Ovaj sustav će biti izgrađen tako da jamči vraćanje sredstava iz nedovršenih programa specijalističkog medicinskog usavršavanja, usmjeravajući ih prema unaprijed definiranim ciljevima sustava centraliziranog financiranja specijalističkog medicinskog usavršavanja, s posebnim fokusom na otklanjanje manjka specijalista medicine.</w:t>
            </w:r>
          </w:p>
        </w:tc>
      </w:tr>
      <w:tr w:rsidR="004D0AEC" w:rsidRPr="00F656F1" w14:paraId="1A52F772"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53AC3D5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334</w:t>
            </w:r>
          </w:p>
        </w:tc>
        <w:tc>
          <w:tcPr>
            <w:tcW w:w="843" w:type="dxa"/>
            <w:tcBorders>
              <w:top w:val="single" w:sz="4" w:space="0" w:color="auto"/>
              <w:left w:val="nil"/>
              <w:bottom w:val="single" w:sz="4" w:space="0" w:color="auto"/>
              <w:right w:val="single" w:sz="4" w:space="0" w:color="auto"/>
            </w:tcBorders>
            <w:shd w:val="clear" w:color="auto" w:fill="C6EFCE"/>
            <w:noWrap/>
          </w:tcPr>
          <w:p w14:paraId="11BAE63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R3-I1</w:t>
            </w:r>
          </w:p>
        </w:tc>
        <w:tc>
          <w:tcPr>
            <w:tcW w:w="806" w:type="dxa"/>
            <w:tcBorders>
              <w:top w:val="single" w:sz="4" w:space="0" w:color="auto"/>
              <w:left w:val="nil"/>
              <w:bottom w:val="single" w:sz="4" w:space="0" w:color="auto"/>
              <w:right w:val="single" w:sz="4" w:space="0" w:color="auto"/>
            </w:tcBorders>
            <w:shd w:val="clear" w:color="auto" w:fill="C6EFCE"/>
            <w:noWrap/>
          </w:tcPr>
          <w:p w14:paraId="4A1D8B4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6A7482A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Specijalističko medicinsko osposobljavanje na primarnoj razini zdravstvene zaštite</w:t>
            </w:r>
          </w:p>
        </w:tc>
        <w:tc>
          <w:tcPr>
            <w:tcW w:w="1985" w:type="dxa"/>
            <w:tcBorders>
              <w:top w:val="single" w:sz="4" w:space="0" w:color="auto"/>
              <w:left w:val="nil"/>
              <w:bottom w:val="single" w:sz="4" w:space="0" w:color="auto"/>
              <w:right w:val="single" w:sz="4" w:space="0" w:color="auto"/>
            </w:tcBorders>
            <w:shd w:val="clear" w:color="auto" w:fill="C6EFCE"/>
            <w:noWrap/>
          </w:tcPr>
          <w:p w14:paraId="12C4F71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29471C1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280CB0A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09E2203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467</w:t>
            </w:r>
          </w:p>
        </w:tc>
        <w:tc>
          <w:tcPr>
            <w:tcW w:w="535" w:type="dxa"/>
            <w:tcBorders>
              <w:top w:val="single" w:sz="4" w:space="0" w:color="auto"/>
              <w:left w:val="nil"/>
              <w:bottom w:val="single" w:sz="4" w:space="0" w:color="auto"/>
              <w:right w:val="single" w:sz="4" w:space="0" w:color="auto"/>
            </w:tcBorders>
            <w:shd w:val="clear" w:color="auto" w:fill="C6EFCE"/>
            <w:noWrap/>
          </w:tcPr>
          <w:p w14:paraId="42FB534C" w14:textId="396670B1"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95" w:type="dxa"/>
            <w:tcBorders>
              <w:top w:val="single" w:sz="4" w:space="0" w:color="auto"/>
              <w:left w:val="nil"/>
              <w:bottom w:val="single" w:sz="4" w:space="0" w:color="auto"/>
              <w:right w:val="single" w:sz="4" w:space="0" w:color="auto"/>
            </w:tcBorders>
            <w:shd w:val="clear" w:color="auto" w:fill="C6EFCE"/>
            <w:noWrap/>
          </w:tcPr>
          <w:p w14:paraId="3EB7589C" w14:textId="375D7694"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827" w:type="dxa"/>
            <w:tcBorders>
              <w:top w:val="single" w:sz="4" w:space="0" w:color="auto"/>
              <w:left w:val="nil"/>
              <w:bottom w:val="single" w:sz="4" w:space="0" w:color="auto"/>
              <w:right w:val="single" w:sz="4" w:space="0" w:color="auto"/>
            </w:tcBorders>
            <w:shd w:val="clear" w:color="auto" w:fill="C6EFCE"/>
            <w:noWrap/>
          </w:tcPr>
          <w:p w14:paraId="1ACF35E3" w14:textId="6F41CC02"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Sklopit će se ugovori o specijalističkom medicinskom osposobljavanju za najmanje 467 zdravstvenih radnika, uključujući liječnike medicine na primarnoj razini zdravstvene zaštite, hitne medicine te u području javnog zdravstva. Ti ugovori financirat će se sredstvima iz uspostavljenog sustava centralnog financiranja specijalističkog medicinskog usavršavanja. </w:t>
            </w:r>
          </w:p>
        </w:tc>
      </w:tr>
      <w:tr w:rsidR="00525BF2" w:rsidRPr="00F656F1" w14:paraId="0A750B37"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7BEB89C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335</w:t>
            </w:r>
          </w:p>
        </w:tc>
        <w:tc>
          <w:tcPr>
            <w:tcW w:w="843" w:type="dxa"/>
            <w:tcBorders>
              <w:top w:val="single" w:sz="4" w:space="0" w:color="auto"/>
              <w:left w:val="nil"/>
              <w:bottom w:val="single" w:sz="4" w:space="0" w:color="auto"/>
              <w:right w:val="single" w:sz="4" w:space="0" w:color="auto"/>
            </w:tcBorders>
            <w:shd w:val="clear" w:color="auto" w:fill="C6EFCE"/>
            <w:noWrap/>
          </w:tcPr>
          <w:p w14:paraId="1612A94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R3-I2</w:t>
            </w:r>
          </w:p>
        </w:tc>
        <w:tc>
          <w:tcPr>
            <w:tcW w:w="806" w:type="dxa"/>
            <w:tcBorders>
              <w:top w:val="single" w:sz="4" w:space="0" w:color="auto"/>
              <w:left w:val="nil"/>
              <w:bottom w:val="single" w:sz="4" w:space="0" w:color="auto"/>
              <w:right w:val="single" w:sz="4" w:space="0" w:color="auto"/>
            </w:tcBorders>
            <w:shd w:val="clear" w:color="auto" w:fill="C6EFCE"/>
            <w:noWrap/>
          </w:tcPr>
          <w:p w14:paraId="64F51C5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2A4C8EF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Specijalističko usavršavanje prvostupnika sestrinstva u djelatnosti hitne medicine </w:t>
            </w:r>
          </w:p>
        </w:tc>
        <w:tc>
          <w:tcPr>
            <w:tcW w:w="1985" w:type="dxa"/>
            <w:tcBorders>
              <w:top w:val="single" w:sz="4" w:space="0" w:color="auto"/>
              <w:left w:val="nil"/>
              <w:bottom w:val="single" w:sz="4" w:space="0" w:color="auto"/>
              <w:right w:val="single" w:sz="4" w:space="0" w:color="auto"/>
            </w:tcBorders>
            <w:shd w:val="clear" w:color="auto" w:fill="C6EFCE"/>
            <w:noWrap/>
          </w:tcPr>
          <w:p w14:paraId="561497E1"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6F1374E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58784D1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1A31FB0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375</w:t>
            </w:r>
          </w:p>
        </w:tc>
        <w:tc>
          <w:tcPr>
            <w:tcW w:w="535" w:type="dxa"/>
            <w:tcBorders>
              <w:top w:val="single" w:sz="4" w:space="0" w:color="auto"/>
              <w:left w:val="nil"/>
              <w:bottom w:val="single" w:sz="4" w:space="0" w:color="auto"/>
              <w:right w:val="single" w:sz="4" w:space="0" w:color="auto"/>
            </w:tcBorders>
            <w:shd w:val="clear" w:color="auto" w:fill="C6EFCE"/>
            <w:noWrap/>
          </w:tcPr>
          <w:p w14:paraId="0A77A0DF" w14:textId="1D6959C8"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2A634B60" w14:textId="28F50D02"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827" w:type="dxa"/>
            <w:tcBorders>
              <w:top w:val="single" w:sz="4" w:space="0" w:color="auto"/>
              <w:left w:val="nil"/>
              <w:bottom w:val="single" w:sz="4" w:space="0" w:color="auto"/>
              <w:right w:val="single" w:sz="4" w:space="0" w:color="auto"/>
            </w:tcBorders>
            <w:shd w:val="clear" w:color="auto" w:fill="C6EFCE"/>
            <w:noWrap/>
          </w:tcPr>
          <w:p w14:paraId="3E4F7CD7" w14:textId="17035236" w:rsidR="00733DCA" w:rsidRPr="00C6700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Ukupno 375 prvostupnika medicinskih sestara/tehničara educirat će se u okviru jednogodišnjeg specijalističkog usavršavanja u djelatnosti hitne medicine, od čega 210 iz postojećih timova T2 koji već rade u županijskim zavodima za hitnu medicinu, kako bi se u postojećoj mreži hitne medicine osiguralo da svaki tim T2 ima jednog prvostupnika sestrinstva sa specijalističkim usavršavanjem, a preostalih 165 prvostupnika imat će završen program specijalizacije u cilju jačanja zdravstvenog sustava, posebno u područjima s manjkom liječnika.</w:t>
            </w:r>
          </w:p>
        </w:tc>
      </w:tr>
      <w:tr w:rsidR="00525BF2" w:rsidRPr="00F656F1" w14:paraId="515D615D"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473BFEE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336</w:t>
            </w:r>
          </w:p>
        </w:tc>
        <w:tc>
          <w:tcPr>
            <w:tcW w:w="843" w:type="dxa"/>
            <w:tcBorders>
              <w:top w:val="single" w:sz="4" w:space="0" w:color="auto"/>
              <w:left w:val="nil"/>
              <w:bottom w:val="single" w:sz="4" w:space="0" w:color="auto"/>
              <w:right w:val="single" w:sz="4" w:space="0" w:color="auto"/>
            </w:tcBorders>
            <w:shd w:val="clear" w:color="auto" w:fill="C6EFCE"/>
            <w:noWrap/>
          </w:tcPr>
          <w:p w14:paraId="63AF513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w:t>
            </w:r>
          </w:p>
        </w:tc>
        <w:tc>
          <w:tcPr>
            <w:tcW w:w="806" w:type="dxa"/>
            <w:tcBorders>
              <w:top w:val="single" w:sz="4" w:space="0" w:color="auto"/>
              <w:left w:val="nil"/>
              <w:bottom w:val="single" w:sz="4" w:space="0" w:color="auto"/>
              <w:right w:val="single" w:sz="4" w:space="0" w:color="auto"/>
            </w:tcBorders>
            <w:shd w:val="clear" w:color="auto" w:fill="C6EFCE"/>
            <w:noWrap/>
          </w:tcPr>
          <w:p w14:paraId="57CB8EA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17" w:type="dxa"/>
            <w:tcBorders>
              <w:top w:val="single" w:sz="4" w:space="0" w:color="auto"/>
              <w:left w:val="nil"/>
              <w:bottom w:val="single" w:sz="4" w:space="0" w:color="auto"/>
              <w:right w:val="single" w:sz="4" w:space="0" w:color="auto"/>
            </w:tcBorders>
            <w:shd w:val="clear" w:color="auto" w:fill="C6EFCE"/>
            <w:noWrap/>
          </w:tcPr>
          <w:p w14:paraId="372BCD0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Izmjene Zakona o zdravstvenoj zaštiti i Zakona o obveznom zdravstvenom osiguranju</w:t>
            </w:r>
          </w:p>
        </w:tc>
        <w:tc>
          <w:tcPr>
            <w:tcW w:w="1985" w:type="dxa"/>
            <w:tcBorders>
              <w:top w:val="single" w:sz="4" w:space="0" w:color="auto"/>
              <w:left w:val="nil"/>
              <w:bottom w:val="single" w:sz="4" w:space="0" w:color="auto"/>
              <w:right w:val="single" w:sz="4" w:space="0" w:color="auto"/>
            </w:tcBorders>
            <w:shd w:val="clear" w:color="auto" w:fill="C6EFCE"/>
            <w:noWrap/>
          </w:tcPr>
          <w:p w14:paraId="26650F6F"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izmjena Zakona o zdravstvenoj zaštiti i Zakona o obveznom zdravstvenom osiguranju</w:t>
            </w:r>
          </w:p>
        </w:tc>
        <w:tc>
          <w:tcPr>
            <w:tcW w:w="1296" w:type="dxa"/>
            <w:tcBorders>
              <w:top w:val="single" w:sz="4" w:space="0" w:color="auto"/>
              <w:left w:val="nil"/>
              <w:bottom w:val="single" w:sz="4" w:space="0" w:color="auto"/>
              <w:right w:val="single" w:sz="4" w:space="0" w:color="auto"/>
            </w:tcBorders>
            <w:shd w:val="clear" w:color="auto" w:fill="C6EFCE"/>
            <w:noWrap/>
          </w:tcPr>
          <w:p w14:paraId="0E0DEE4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87" w:type="dxa"/>
            <w:tcBorders>
              <w:top w:val="single" w:sz="4" w:space="0" w:color="auto"/>
              <w:left w:val="nil"/>
              <w:bottom w:val="single" w:sz="4" w:space="0" w:color="auto"/>
              <w:right w:val="single" w:sz="4" w:space="0" w:color="auto"/>
            </w:tcBorders>
            <w:shd w:val="clear" w:color="auto" w:fill="C6EFCE"/>
            <w:noWrap/>
          </w:tcPr>
          <w:p w14:paraId="477A717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76" w:type="dxa"/>
            <w:tcBorders>
              <w:top w:val="single" w:sz="4" w:space="0" w:color="auto"/>
              <w:left w:val="nil"/>
              <w:bottom w:val="single" w:sz="4" w:space="0" w:color="auto"/>
              <w:right w:val="single" w:sz="4" w:space="0" w:color="auto"/>
            </w:tcBorders>
            <w:shd w:val="clear" w:color="auto" w:fill="C6EFCE"/>
            <w:noWrap/>
          </w:tcPr>
          <w:p w14:paraId="3F60602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35" w:type="dxa"/>
            <w:tcBorders>
              <w:top w:val="single" w:sz="4" w:space="0" w:color="auto"/>
              <w:left w:val="nil"/>
              <w:bottom w:val="single" w:sz="4" w:space="0" w:color="auto"/>
              <w:right w:val="single" w:sz="4" w:space="0" w:color="auto"/>
            </w:tcBorders>
            <w:shd w:val="clear" w:color="auto" w:fill="C6EFCE"/>
            <w:noWrap/>
          </w:tcPr>
          <w:p w14:paraId="6F55F4F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4FA45D8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827" w:type="dxa"/>
            <w:tcBorders>
              <w:top w:val="single" w:sz="4" w:space="0" w:color="auto"/>
              <w:left w:val="nil"/>
              <w:bottom w:val="single" w:sz="4" w:space="0" w:color="auto"/>
              <w:right w:val="single" w:sz="4" w:space="0" w:color="auto"/>
            </w:tcBorders>
            <w:shd w:val="clear" w:color="auto" w:fill="C6EFCE"/>
            <w:noWrap/>
          </w:tcPr>
          <w:p w14:paraId="6FA6141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Izmjene Zakona o zdravstvenoj omogućit će da nova odluka o zajedničkoj nabavi bude obvezujuća i za one zdravstvene ustanove čije je sudjelovanje do sada bilo dobrovoljno, što će posljedično povećati broj dionika obuhvaćenih zajedničkom nabavom.</w:t>
            </w:r>
            <w:r>
              <w:rPr>
                <w:rFonts w:ascii="Calibri" w:hAnsi="Calibri"/>
                <w:noProof/>
                <w:color w:val="000000"/>
                <w:sz w:val="20"/>
              </w:rPr>
              <w:br/>
              <w:t xml:space="preserve">– Jedinstveni ured za hitnu medicinu unaprjeđuje organizaciju djelatnosti hitne medicine i obavlja operativne zadaće na cijelom području Republike Hrvatske putem određenih organizacijskih jedinica, </w:t>
            </w:r>
            <w:r>
              <w:rPr>
                <w:rFonts w:ascii="Calibri" w:hAnsi="Calibri"/>
                <w:noProof/>
                <w:color w:val="000000"/>
                <w:sz w:val="20"/>
              </w:rPr>
              <w:br/>
              <w:t xml:space="preserve">– reorganizacija službe javnog zdravstva s ciljem povećanja njezine učinkovitosti, s posebnim naglaskom na prevenciji i ranoj dijagnozi, boljem odgovoru u izvanrednim situacijama i posebnim okolnostima (pandemijama), </w:t>
            </w:r>
            <w:r>
              <w:rPr>
                <w:rFonts w:ascii="Calibri" w:hAnsi="Calibri"/>
                <w:noProof/>
                <w:color w:val="000000"/>
                <w:sz w:val="20"/>
              </w:rPr>
              <w:br/>
              <w:t xml:space="preserve">– prijenos prava upravljanja bolnicama sa županija i Grada Zagreba na Republiku Hrvatsku radi racionalnog i kvalitetnog iskorištavanja postojećih kapaciteta te poboljšanja dostupnosti i kvalitete zdravstvene skrbi reorganizacijom modela upravljanja bolnicama, </w:t>
            </w:r>
            <w:r>
              <w:rPr>
                <w:rFonts w:ascii="Calibri" w:hAnsi="Calibri"/>
                <w:noProof/>
                <w:color w:val="000000"/>
                <w:sz w:val="20"/>
              </w:rPr>
              <w:br/>
            </w:r>
            <w:r>
              <w:rPr>
                <w:rFonts w:ascii="Calibri" w:hAnsi="Calibri"/>
                <w:noProof/>
                <w:color w:val="000000"/>
                <w:sz w:val="20"/>
              </w:rPr>
              <w:br/>
              <w:t>Izmjenama Zakona o obveznom zdravstvenom osiguranju utvrdit će se jasna i transparentna mjerila za određivanje programa mjera zdravstvene zaštite iz obveznog zdravstvenog osiguranja, tijela koje će utvrditi i donositi program mjera i opseg zdravstvene zaštite koja će se osiguravati iz obveznoga zdravstvenog osiguranja te usklađenje s drugim zakonskim propisima. Zakonom će se nastojati postići sljedeće:</w:t>
            </w:r>
            <w:r>
              <w:rPr>
                <w:rFonts w:ascii="Calibri" w:hAnsi="Calibri"/>
                <w:noProof/>
                <w:color w:val="000000"/>
                <w:sz w:val="20"/>
              </w:rPr>
              <w:br/>
              <w:t xml:space="preserve">– bolja dostupnost i pravodobnost zdravstvene zaštite osiguranim osobama kada im je ona potrebna, </w:t>
            </w:r>
            <w:r>
              <w:rPr>
                <w:rFonts w:ascii="Calibri" w:hAnsi="Calibri"/>
                <w:noProof/>
                <w:color w:val="000000"/>
                <w:sz w:val="20"/>
              </w:rPr>
              <w:br/>
              <w:t>– skraćivanje lista čekanja za pojedinačne zdravstvene usluge, optimizacija i, s tim u vezi, bolja raspodjela dostupnih zdravstvenih resursa iz obveznog zdravstvenog osiguranja,</w:t>
            </w:r>
            <w:r>
              <w:rPr>
                <w:rFonts w:ascii="Calibri" w:hAnsi="Calibri"/>
                <w:noProof/>
                <w:color w:val="000000"/>
                <w:sz w:val="20"/>
              </w:rPr>
              <w:br/>
              <w:t xml:space="preserve">– osiguravanje financijskih sredstava u svrhu postizanja financijske stabilnosti, njezine održivosti te s tim u vezi poboljšanje položaja osiguranih osoba u ostvarivanju prava iz obveznoga zdravstvenog osiguranja, </w:t>
            </w:r>
            <w:r>
              <w:rPr>
                <w:rFonts w:ascii="Calibri" w:hAnsi="Calibri"/>
                <w:noProof/>
                <w:color w:val="000000"/>
                <w:sz w:val="20"/>
              </w:rPr>
              <w:br/>
              <w:t>– uvođenje odredbe o povoljnijem položaju ugovornih subjekata HZZO-a kao pružatelja zdravstvene zaštite iz obveznoga zdravstvenog osiguranja, vezano uz podmirenje obveza HZZO-a prema njima u zakonom propisanim rokovima, a sve u svrhu osiguranja prava na zdravstvenu zaštitu osiguranim osobama.</w:t>
            </w:r>
          </w:p>
        </w:tc>
      </w:tr>
      <w:tr w:rsidR="00525BF2" w:rsidRPr="00F656F1" w14:paraId="6BE6B2FE"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066D10D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337</w:t>
            </w:r>
          </w:p>
        </w:tc>
        <w:tc>
          <w:tcPr>
            <w:tcW w:w="843" w:type="dxa"/>
            <w:tcBorders>
              <w:top w:val="single" w:sz="4" w:space="0" w:color="auto"/>
              <w:left w:val="nil"/>
              <w:bottom w:val="single" w:sz="4" w:space="0" w:color="auto"/>
              <w:right w:val="single" w:sz="4" w:space="0" w:color="auto"/>
            </w:tcBorders>
            <w:shd w:val="clear" w:color="auto" w:fill="C6EFCE"/>
            <w:noWrap/>
          </w:tcPr>
          <w:p w14:paraId="212AE83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w:t>
            </w:r>
          </w:p>
        </w:tc>
        <w:tc>
          <w:tcPr>
            <w:tcW w:w="806" w:type="dxa"/>
            <w:tcBorders>
              <w:top w:val="single" w:sz="4" w:space="0" w:color="auto"/>
              <w:left w:val="nil"/>
              <w:bottom w:val="single" w:sz="4" w:space="0" w:color="auto"/>
              <w:right w:val="single" w:sz="4" w:space="0" w:color="auto"/>
            </w:tcBorders>
            <w:shd w:val="clear" w:color="auto" w:fill="C6EFCE"/>
            <w:noWrap/>
          </w:tcPr>
          <w:p w14:paraId="061B21A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59E5F84D"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Funkcionalna integracija bolnica </w:t>
            </w:r>
          </w:p>
        </w:tc>
        <w:tc>
          <w:tcPr>
            <w:tcW w:w="1985" w:type="dxa"/>
            <w:tcBorders>
              <w:top w:val="single" w:sz="4" w:space="0" w:color="auto"/>
              <w:left w:val="nil"/>
              <w:bottom w:val="single" w:sz="4" w:space="0" w:color="auto"/>
              <w:right w:val="single" w:sz="4" w:space="0" w:color="auto"/>
            </w:tcBorders>
            <w:shd w:val="clear" w:color="auto" w:fill="C6EFCE"/>
            <w:noWrap/>
          </w:tcPr>
          <w:p w14:paraId="66738181"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783C226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3600C2E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w:t>
            </w:r>
          </w:p>
        </w:tc>
        <w:tc>
          <w:tcPr>
            <w:tcW w:w="976" w:type="dxa"/>
            <w:tcBorders>
              <w:top w:val="single" w:sz="4" w:space="0" w:color="auto"/>
              <w:left w:val="nil"/>
              <w:bottom w:val="single" w:sz="4" w:space="0" w:color="auto"/>
              <w:right w:val="single" w:sz="4" w:space="0" w:color="auto"/>
            </w:tcBorders>
            <w:shd w:val="clear" w:color="auto" w:fill="C6EFCE"/>
            <w:noWrap/>
          </w:tcPr>
          <w:p w14:paraId="5640F62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w:t>
            </w:r>
          </w:p>
        </w:tc>
        <w:tc>
          <w:tcPr>
            <w:tcW w:w="535" w:type="dxa"/>
            <w:tcBorders>
              <w:top w:val="single" w:sz="4" w:space="0" w:color="auto"/>
              <w:left w:val="nil"/>
              <w:bottom w:val="single" w:sz="4" w:space="0" w:color="auto"/>
              <w:right w:val="single" w:sz="4" w:space="0" w:color="auto"/>
            </w:tcBorders>
            <w:shd w:val="clear" w:color="auto" w:fill="C6EFCE"/>
            <w:noWrap/>
          </w:tcPr>
          <w:p w14:paraId="152FE36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69349B5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827" w:type="dxa"/>
            <w:tcBorders>
              <w:top w:val="single" w:sz="4" w:space="0" w:color="auto"/>
              <w:left w:val="nil"/>
              <w:bottom w:val="single" w:sz="4" w:space="0" w:color="auto"/>
              <w:right w:val="single" w:sz="4" w:space="0" w:color="auto"/>
            </w:tcBorders>
            <w:shd w:val="clear" w:color="auto" w:fill="C6EFCE"/>
            <w:noWrap/>
          </w:tcPr>
          <w:p w14:paraId="22387B80"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Dovršit će se funkcionalna integracija najmanje osam bolnica kako bi se bolnički sustav racionalizirao smanjenjem/preraspodjelom aktivnosti i smanjenjem akutnog stacionarnog kapaciteta te će se ojačati dnevne bolnice kao troškovno učinkovitije liječenje.</w:t>
            </w:r>
          </w:p>
        </w:tc>
      </w:tr>
      <w:tr w:rsidR="00525BF2" w:rsidRPr="00F656F1" w14:paraId="38DCAFC8"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0C6D9DC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338</w:t>
            </w:r>
          </w:p>
        </w:tc>
        <w:tc>
          <w:tcPr>
            <w:tcW w:w="843" w:type="dxa"/>
            <w:tcBorders>
              <w:top w:val="single" w:sz="4" w:space="0" w:color="auto"/>
              <w:left w:val="nil"/>
              <w:bottom w:val="single" w:sz="4" w:space="0" w:color="auto"/>
              <w:right w:val="single" w:sz="4" w:space="0" w:color="auto"/>
            </w:tcBorders>
            <w:shd w:val="clear" w:color="auto" w:fill="C6EFCE"/>
            <w:noWrap/>
          </w:tcPr>
          <w:p w14:paraId="644ABD8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w:t>
            </w:r>
          </w:p>
        </w:tc>
        <w:tc>
          <w:tcPr>
            <w:tcW w:w="806" w:type="dxa"/>
            <w:tcBorders>
              <w:top w:val="single" w:sz="4" w:space="0" w:color="auto"/>
              <w:left w:val="nil"/>
              <w:bottom w:val="single" w:sz="4" w:space="0" w:color="auto"/>
              <w:right w:val="single" w:sz="4" w:space="0" w:color="auto"/>
            </w:tcBorders>
            <w:shd w:val="clear" w:color="auto" w:fill="C6EFCE"/>
            <w:noWrap/>
          </w:tcPr>
          <w:p w14:paraId="22559C8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49633253"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Postupak zajedničke javne nabave za zdravstvene ustanove</w:t>
            </w:r>
          </w:p>
        </w:tc>
        <w:tc>
          <w:tcPr>
            <w:tcW w:w="1985" w:type="dxa"/>
            <w:tcBorders>
              <w:top w:val="single" w:sz="4" w:space="0" w:color="auto"/>
              <w:left w:val="nil"/>
              <w:bottom w:val="single" w:sz="4" w:space="0" w:color="auto"/>
              <w:right w:val="single" w:sz="4" w:space="0" w:color="auto"/>
            </w:tcBorders>
            <w:shd w:val="clear" w:color="auto" w:fill="C6EFCE"/>
            <w:noWrap/>
          </w:tcPr>
          <w:p w14:paraId="7D8E6BF8"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5BD116C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1087" w:type="dxa"/>
            <w:tcBorders>
              <w:top w:val="single" w:sz="4" w:space="0" w:color="auto"/>
              <w:left w:val="nil"/>
              <w:bottom w:val="single" w:sz="4" w:space="0" w:color="auto"/>
              <w:right w:val="single" w:sz="4" w:space="0" w:color="auto"/>
            </w:tcBorders>
            <w:shd w:val="clear" w:color="auto" w:fill="C6EFCE"/>
            <w:noWrap/>
          </w:tcPr>
          <w:p w14:paraId="7F63E31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360B49B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85</w:t>
            </w:r>
          </w:p>
        </w:tc>
        <w:tc>
          <w:tcPr>
            <w:tcW w:w="535" w:type="dxa"/>
            <w:tcBorders>
              <w:top w:val="single" w:sz="4" w:space="0" w:color="auto"/>
              <w:left w:val="nil"/>
              <w:bottom w:val="single" w:sz="4" w:space="0" w:color="auto"/>
              <w:right w:val="single" w:sz="4" w:space="0" w:color="auto"/>
            </w:tcBorders>
            <w:shd w:val="clear" w:color="auto" w:fill="C6EFCE"/>
            <w:noWrap/>
          </w:tcPr>
          <w:p w14:paraId="6A18989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4CA3F81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827" w:type="dxa"/>
            <w:tcBorders>
              <w:top w:val="single" w:sz="4" w:space="0" w:color="auto"/>
              <w:left w:val="nil"/>
              <w:bottom w:val="single" w:sz="4" w:space="0" w:color="auto"/>
              <w:right w:val="single" w:sz="4" w:space="0" w:color="auto"/>
            </w:tcBorders>
            <w:shd w:val="clear" w:color="auto" w:fill="C6EFCE"/>
            <w:noWrap/>
          </w:tcPr>
          <w:p w14:paraId="497216AC"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85 % kategorija nabave, koje čine najmanje 80 % ukupne potrošnje bolnica kojima upravlja država, nabavljeno je u okviru postupka zajedničke javne nabave.  Kako bi se ostvarila ta ciljna vrijednost, na temelju izmjene odluke o obveznoj zajedničkoj provedbi određenog postupka nabave za zdravstvene ustanove, Ministarstvo zdravstva dužno je: i. donijeti odluku o provedbi postupka zajedničke javne nabave;</w:t>
            </w:r>
            <w:r>
              <w:rPr>
                <w:rFonts w:ascii="Calibri" w:hAnsi="Calibri"/>
                <w:noProof/>
                <w:color w:val="000000"/>
                <w:sz w:val="20"/>
              </w:rPr>
              <w:br/>
              <w:t xml:space="preserve"> ii. sklopiti sporazume s dionicima zajedničke javne nabave; iii. osnovati stručna povjerenstva za izradu tehničkih specifikacija za predmetne kategorije; i iv. provoditi nabavne kategorije iz odluke o obveznoj zajedničkoj provedbi određenog postupka nabave za zdravstvene ustanove, nakon stupanja na snagu tehničkih specifikacija.  Postupci zajedničke javne nabave provodit će se u skladu sa Zakonom o javnoj nabavi i sklapanjem okvirnih sporazuma/ugovora.</w:t>
            </w:r>
          </w:p>
        </w:tc>
      </w:tr>
      <w:tr w:rsidR="00525BF2" w:rsidRPr="00F656F1" w14:paraId="4A6CAB45"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055069B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339</w:t>
            </w:r>
          </w:p>
        </w:tc>
        <w:tc>
          <w:tcPr>
            <w:tcW w:w="843" w:type="dxa"/>
            <w:tcBorders>
              <w:top w:val="single" w:sz="4" w:space="0" w:color="auto"/>
              <w:left w:val="nil"/>
              <w:bottom w:val="single" w:sz="4" w:space="0" w:color="auto"/>
              <w:right w:val="single" w:sz="4" w:space="0" w:color="auto"/>
            </w:tcBorders>
            <w:shd w:val="clear" w:color="auto" w:fill="C6EFCE"/>
            <w:noWrap/>
          </w:tcPr>
          <w:p w14:paraId="78F3839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R4-I1</w:t>
            </w:r>
          </w:p>
        </w:tc>
        <w:tc>
          <w:tcPr>
            <w:tcW w:w="806" w:type="dxa"/>
            <w:tcBorders>
              <w:top w:val="single" w:sz="4" w:space="0" w:color="auto"/>
              <w:left w:val="nil"/>
              <w:bottom w:val="single" w:sz="4" w:space="0" w:color="auto"/>
              <w:right w:val="single" w:sz="4" w:space="0" w:color="auto"/>
            </w:tcBorders>
            <w:shd w:val="clear" w:color="auto" w:fill="C6EFCE"/>
            <w:noWrap/>
          </w:tcPr>
          <w:p w14:paraId="310B2A7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1468FA83"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Centralno upravljanje svim parenteralnim pripravcima u osam bolnica </w:t>
            </w:r>
          </w:p>
        </w:tc>
        <w:tc>
          <w:tcPr>
            <w:tcW w:w="1985" w:type="dxa"/>
            <w:tcBorders>
              <w:top w:val="single" w:sz="4" w:space="0" w:color="auto"/>
              <w:left w:val="nil"/>
              <w:bottom w:val="single" w:sz="4" w:space="0" w:color="auto"/>
              <w:right w:val="single" w:sz="4" w:space="0" w:color="auto"/>
            </w:tcBorders>
            <w:shd w:val="clear" w:color="auto" w:fill="C6EFCE"/>
            <w:noWrap/>
          </w:tcPr>
          <w:p w14:paraId="1A5F40EB"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534A3C3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1087" w:type="dxa"/>
            <w:tcBorders>
              <w:top w:val="single" w:sz="4" w:space="0" w:color="auto"/>
              <w:left w:val="nil"/>
              <w:bottom w:val="single" w:sz="4" w:space="0" w:color="auto"/>
              <w:right w:val="single" w:sz="4" w:space="0" w:color="auto"/>
            </w:tcBorders>
            <w:shd w:val="clear" w:color="auto" w:fill="C6EFCE"/>
            <w:noWrap/>
          </w:tcPr>
          <w:p w14:paraId="61F57A8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21695CE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75</w:t>
            </w:r>
          </w:p>
        </w:tc>
        <w:tc>
          <w:tcPr>
            <w:tcW w:w="535" w:type="dxa"/>
            <w:tcBorders>
              <w:top w:val="single" w:sz="4" w:space="0" w:color="auto"/>
              <w:left w:val="nil"/>
              <w:bottom w:val="single" w:sz="4" w:space="0" w:color="auto"/>
              <w:right w:val="single" w:sz="4" w:space="0" w:color="auto"/>
            </w:tcBorders>
            <w:shd w:val="clear" w:color="auto" w:fill="C6EFCE"/>
            <w:noWrap/>
          </w:tcPr>
          <w:p w14:paraId="621D48E1" w14:textId="1623A600"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1881C678" w14:textId="214C914A"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45A79E32" w14:textId="387DE55A" w:rsidR="00733DCA" w:rsidRPr="00C6700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75 % parenteralnih pripravaka u osam hrvatskih bolnica provodi se u okviru centralne priprave lijekova. Uz provedbu centralne priprave lijekova, laboratorij ljekarne priprema većinu potrebne parenteralne terapije za odjele, i to u skladu s najvišim sigurnosnim standardima „spremno za uporabu”. Pripravci se označavaju imenom i prezimenom pacijenta, nazivom lijeka i dozom, a cilj je tog sustava označivanja spriječiti moguće pogreške u liječenju.</w:t>
            </w:r>
          </w:p>
        </w:tc>
      </w:tr>
      <w:tr w:rsidR="00525BF2" w:rsidRPr="00F656F1" w14:paraId="4A91E264"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45F35E5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340</w:t>
            </w:r>
          </w:p>
        </w:tc>
        <w:tc>
          <w:tcPr>
            <w:tcW w:w="843" w:type="dxa"/>
            <w:tcBorders>
              <w:top w:val="single" w:sz="4" w:space="0" w:color="auto"/>
              <w:left w:val="nil"/>
              <w:bottom w:val="single" w:sz="4" w:space="0" w:color="auto"/>
              <w:right w:val="single" w:sz="4" w:space="0" w:color="auto"/>
            </w:tcBorders>
            <w:shd w:val="clear" w:color="auto" w:fill="C6EFCE"/>
            <w:noWrap/>
          </w:tcPr>
          <w:p w14:paraId="24780FF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R4-I2</w:t>
            </w:r>
          </w:p>
        </w:tc>
        <w:tc>
          <w:tcPr>
            <w:tcW w:w="806" w:type="dxa"/>
            <w:tcBorders>
              <w:top w:val="single" w:sz="4" w:space="0" w:color="auto"/>
              <w:left w:val="nil"/>
              <w:bottom w:val="single" w:sz="4" w:space="0" w:color="auto"/>
              <w:right w:val="single" w:sz="4" w:space="0" w:color="auto"/>
            </w:tcBorders>
            <w:shd w:val="clear" w:color="auto" w:fill="C6EFCE"/>
            <w:noWrap/>
          </w:tcPr>
          <w:p w14:paraId="2D0A66E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031B824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Sustav jedinične terapije za lijekove u krutom obliku u 40 hrvatskih bolnica </w:t>
            </w:r>
          </w:p>
        </w:tc>
        <w:tc>
          <w:tcPr>
            <w:tcW w:w="1985" w:type="dxa"/>
            <w:tcBorders>
              <w:top w:val="single" w:sz="4" w:space="0" w:color="auto"/>
              <w:left w:val="nil"/>
              <w:bottom w:val="single" w:sz="4" w:space="0" w:color="auto"/>
              <w:right w:val="single" w:sz="4" w:space="0" w:color="auto"/>
            </w:tcBorders>
            <w:shd w:val="clear" w:color="auto" w:fill="C6EFCE"/>
            <w:noWrap/>
          </w:tcPr>
          <w:p w14:paraId="5161415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1B13BFB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1087" w:type="dxa"/>
            <w:tcBorders>
              <w:top w:val="single" w:sz="4" w:space="0" w:color="auto"/>
              <w:left w:val="nil"/>
              <w:bottom w:val="single" w:sz="4" w:space="0" w:color="auto"/>
              <w:right w:val="single" w:sz="4" w:space="0" w:color="auto"/>
            </w:tcBorders>
            <w:shd w:val="clear" w:color="auto" w:fill="C6EFCE"/>
            <w:noWrap/>
          </w:tcPr>
          <w:p w14:paraId="5FAF4AB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62D229E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w:t>
            </w:r>
          </w:p>
        </w:tc>
        <w:tc>
          <w:tcPr>
            <w:tcW w:w="535" w:type="dxa"/>
            <w:tcBorders>
              <w:top w:val="single" w:sz="4" w:space="0" w:color="auto"/>
              <w:left w:val="nil"/>
              <w:bottom w:val="single" w:sz="4" w:space="0" w:color="auto"/>
              <w:right w:val="single" w:sz="4" w:space="0" w:color="auto"/>
            </w:tcBorders>
            <w:shd w:val="clear" w:color="auto" w:fill="C6EFCE"/>
            <w:noWrap/>
          </w:tcPr>
          <w:p w14:paraId="339E00B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4F8F6EF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4CA0A976"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 31. prosinca 2025. 50 % svih lijekova u krutom obliku priprema se u okviru sustava za jediničnu terapiju u 40 hrvatskih bolnica. U svakoj bolnici organizirat će se prostor za raspodjelu jedinične terapije i uređaji s odgovarajućim kapacitetom pakiranja jedinične terapije za dnevne potrebe bolnice. Uvest će se digitalni komunikacijski kanal od bolničkih odjela do bolničke ljekarne kako bi liječnici mogli naručivati potrebnu terapiju za pacijente i dobivati povratne informacije o vremenu isporuke (integracija rješenje u informacijski sustav bolnice).</w:t>
            </w:r>
          </w:p>
        </w:tc>
      </w:tr>
      <w:tr w:rsidR="00525BF2" w:rsidRPr="00F656F1" w14:paraId="60EF62BD"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59A6FDF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341</w:t>
            </w:r>
          </w:p>
        </w:tc>
        <w:tc>
          <w:tcPr>
            <w:tcW w:w="843" w:type="dxa"/>
            <w:tcBorders>
              <w:top w:val="single" w:sz="4" w:space="0" w:color="auto"/>
              <w:left w:val="nil"/>
              <w:bottom w:val="single" w:sz="4" w:space="0" w:color="auto"/>
              <w:right w:val="single" w:sz="4" w:space="0" w:color="auto"/>
            </w:tcBorders>
            <w:shd w:val="clear" w:color="auto" w:fill="C6EFCE"/>
            <w:noWrap/>
          </w:tcPr>
          <w:p w14:paraId="76695B7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R4-I3</w:t>
            </w:r>
          </w:p>
        </w:tc>
        <w:tc>
          <w:tcPr>
            <w:tcW w:w="806" w:type="dxa"/>
            <w:tcBorders>
              <w:top w:val="single" w:sz="4" w:space="0" w:color="auto"/>
              <w:left w:val="nil"/>
              <w:bottom w:val="single" w:sz="4" w:space="0" w:color="auto"/>
              <w:right w:val="single" w:sz="4" w:space="0" w:color="auto"/>
            </w:tcBorders>
            <w:shd w:val="clear" w:color="auto" w:fill="C6EFCE"/>
            <w:noWrap/>
          </w:tcPr>
          <w:p w14:paraId="42E7F98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585C29D3"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Praćenje lijeka u bolničkom sustavu od ljekarne do bolesnika </w:t>
            </w:r>
          </w:p>
        </w:tc>
        <w:tc>
          <w:tcPr>
            <w:tcW w:w="1985" w:type="dxa"/>
            <w:tcBorders>
              <w:top w:val="single" w:sz="4" w:space="0" w:color="auto"/>
              <w:left w:val="nil"/>
              <w:bottom w:val="single" w:sz="4" w:space="0" w:color="auto"/>
              <w:right w:val="single" w:sz="4" w:space="0" w:color="auto"/>
            </w:tcBorders>
            <w:shd w:val="clear" w:color="auto" w:fill="C6EFCE"/>
            <w:noWrap/>
          </w:tcPr>
          <w:p w14:paraId="62BD5A91"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1548617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14D0D91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2B24472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w:t>
            </w:r>
          </w:p>
        </w:tc>
        <w:tc>
          <w:tcPr>
            <w:tcW w:w="535" w:type="dxa"/>
            <w:tcBorders>
              <w:top w:val="single" w:sz="4" w:space="0" w:color="auto"/>
              <w:left w:val="nil"/>
              <w:bottom w:val="single" w:sz="4" w:space="0" w:color="auto"/>
              <w:right w:val="single" w:sz="4" w:space="0" w:color="auto"/>
            </w:tcBorders>
            <w:shd w:val="clear" w:color="auto" w:fill="C6EFCE"/>
            <w:noWrap/>
          </w:tcPr>
          <w:p w14:paraId="29CA852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5963D94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827" w:type="dxa"/>
            <w:tcBorders>
              <w:top w:val="single" w:sz="4" w:space="0" w:color="auto"/>
              <w:left w:val="nil"/>
              <w:bottom w:val="single" w:sz="4" w:space="0" w:color="auto"/>
              <w:right w:val="single" w:sz="4" w:space="0" w:color="auto"/>
            </w:tcBorders>
            <w:shd w:val="clear" w:color="auto" w:fill="C6EFCE"/>
            <w:noWrap/>
          </w:tcPr>
          <w:p w14:paraId="66944386"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Najmanje 30 bolnica mora imati funkcionalno integrirano IT rješenje za potpuno praćenje lijeka u bolničkom sustavu od ljekarne do pacijenta. Izradit će se obrazac za izvješćivanje HZZO-a i Agencije za lijekove i medicinske proizvode (HALMED) o potrošnji svih lijekova i izdvojeno izvješćivanje o potrošnji određenih kategorija lijekova kao što su rezervni antibiotici i posebno skupi lijekovi te o svim drugim farmakoepidemiološkim informacijama koje se zahtijevaju u zdravstvenom sustavu. Softversko rješenje za digitalno praćenje lijekova u bolnicama razvijeno je i intergrirano u najmanje 30 bolnica u završnoj fazi. </w:t>
            </w:r>
          </w:p>
        </w:tc>
      </w:tr>
      <w:tr w:rsidR="00525BF2" w:rsidRPr="00F656F1" w14:paraId="14781A91" w14:textId="77777777" w:rsidTr="00FF085A">
        <w:trPr>
          <w:trHeight w:val="770"/>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5AABDE8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342</w:t>
            </w:r>
          </w:p>
        </w:tc>
        <w:tc>
          <w:tcPr>
            <w:tcW w:w="843" w:type="dxa"/>
            <w:tcBorders>
              <w:top w:val="single" w:sz="4" w:space="0" w:color="auto"/>
              <w:left w:val="nil"/>
              <w:bottom w:val="single" w:sz="4" w:space="0" w:color="auto"/>
              <w:right w:val="single" w:sz="4" w:space="0" w:color="auto"/>
            </w:tcBorders>
            <w:shd w:val="clear" w:color="auto" w:fill="C6EFCE"/>
            <w:noWrap/>
          </w:tcPr>
          <w:p w14:paraId="0E85A4A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R4-I4</w:t>
            </w:r>
          </w:p>
        </w:tc>
        <w:tc>
          <w:tcPr>
            <w:tcW w:w="806" w:type="dxa"/>
            <w:tcBorders>
              <w:top w:val="single" w:sz="4" w:space="0" w:color="auto"/>
              <w:left w:val="nil"/>
              <w:bottom w:val="single" w:sz="4" w:space="0" w:color="auto"/>
              <w:right w:val="single" w:sz="4" w:space="0" w:color="auto"/>
            </w:tcBorders>
            <w:shd w:val="clear" w:color="auto" w:fill="C6EFCE"/>
            <w:noWrap/>
          </w:tcPr>
          <w:p w14:paraId="380AAE4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0CCCAD31"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Sustav za praćenje nestašice lijekova na temelju tehnologije lanaca blokova</w:t>
            </w:r>
          </w:p>
        </w:tc>
        <w:tc>
          <w:tcPr>
            <w:tcW w:w="1985" w:type="dxa"/>
            <w:tcBorders>
              <w:top w:val="single" w:sz="4" w:space="0" w:color="auto"/>
              <w:left w:val="nil"/>
              <w:bottom w:val="single" w:sz="4" w:space="0" w:color="auto"/>
              <w:right w:val="single" w:sz="4" w:space="0" w:color="auto"/>
            </w:tcBorders>
            <w:shd w:val="clear" w:color="auto" w:fill="C6EFCE"/>
            <w:noWrap/>
          </w:tcPr>
          <w:p w14:paraId="231CEAA6"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27629E7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1087" w:type="dxa"/>
            <w:tcBorders>
              <w:top w:val="single" w:sz="4" w:space="0" w:color="auto"/>
              <w:left w:val="nil"/>
              <w:bottom w:val="single" w:sz="4" w:space="0" w:color="auto"/>
              <w:right w:val="single" w:sz="4" w:space="0" w:color="auto"/>
            </w:tcBorders>
            <w:shd w:val="clear" w:color="auto" w:fill="C6EFCE"/>
            <w:noWrap/>
          </w:tcPr>
          <w:p w14:paraId="0D665C5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2AF0CA3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100</w:t>
            </w:r>
          </w:p>
        </w:tc>
        <w:tc>
          <w:tcPr>
            <w:tcW w:w="535" w:type="dxa"/>
            <w:tcBorders>
              <w:top w:val="single" w:sz="4" w:space="0" w:color="auto"/>
              <w:left w:val="nil"/>
              <w:bottom w:val="single" w:sz="4" w:space="0" w:color="auto"/>
              <w:right w:val="single" w:sz="4" w:space="0" w:color="auto"/>
            </w:tcBorders>
            <w:shd w:val="clear" w:color="auto" w:fill="C6EFCE"/>
            <w:noWrap/>
          </w:tcPr>
          <w:p w14:paraId="728AC00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4FF5A5C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1DE5D063"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Razvit će se softversko rješenje za praćenje nestašice lijekova u Hrvatskoj i integrirani model za predviđanje i sprečavanje nestašice lijekova. Kako bi se zaštitili pojedinačni korisnici, tehnologija lanca blokova primjenjuje se za osiguravanje transparentnosti podataka objavljenih javnosti, uz istodobnu zaštitu podataka koji se smatraju anonimnima ili potencijalno dostupnima državi. Softverskim rješenjem na temelju lanaca blokova prati se 100 % lijekova radi predviđanja i sprečavanja nestašice.</w:t>
            </w:r>
          </w:p>
        </w:tc>
      </w:tr>
      <w:tr w:rsidR="00525BF2" w:rsidRPr="00F656F1" w14:paraId="7C17672F"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5E9FF3C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343</w:t>
            </w:r>
          </w:p>
        </w:tc>
        <w:tc>
          <w:tcPr>
            <w:tcW w:w="843" w:type="dxa"/>
            <w:tcBorders>
              <w:top w:val="single" w:sz="4" w:space="0" w:color="auto"/>
              <w:left w:val="nil"/>
              <w:bottom w:val="single" w:sz="4" w:space="0" w:color="auto"/>
              <w:right w:val="single" w:sz="4" w:space="0" w:color="auto"/>
            </w:tcBorders>
            <w:shd w:val="clear" w:color="auto" w:fill="C6EFCE"/>
            <w:noWrap/>
          </w:tcPr>
          <w:p w14:paraId="395827F5" w14:textId="18A16C86"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C5.1. R5-I5</w:t>
            </w:r>
          </w:p>
        </w:tc>
        <w:tc>
          <w:tcPr>
            <w:tcW w:w="806" w:type="dxa"/>
            <w:tcBorders>
              <w:top w:val="single" w:sz="4" w:space="0" w:color="auto"/>
              <w:left w:val="nil"/>
              <w:bottom w:val="single" w:sz="4" w:space="0" w:color="auto"/>
              <w:right w:val="single" w:sz="4" w:space="0" w:color="auto"/>
            </w:tcBorders>
            <w:shd w:val="clear" w:color="auto" w:fill="C6EFCE"/>
            <w:noWrap/>
          </w:tcPr>
          <w:p w14:paraId="0601B5DA" w14:textId="77777777" w:rsidR="00733DCA" w:rsidRPr="00C6700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0AAA297E"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Dijagnostičke jedinice u KBC-u Merkur </w:t>
            </w:r>
          </w:p>
        </w:tc>
        <w:tc>
          <w:tcPr>
            <w:tcW w:w="1985" w:type="dxa"/>
            <w:tcBorders>
              <w:top w:val="single" w:sz="4" w:space="0" w:color="auto"/>
              <w:left w:val="nil"/>
              <w:bottom w:val="single" w:sz="4" w:space="0" w:color="auto"/>
              <w:right w:val="single" w:sz="4" w:space="0" w:color="auto"/>
            </w:tcBorders>
            <w:shd w:val="clear" w:color="auto" w:fill="C6EFCE"/>
            <w:noWrap/>
          </w:tcPr>
          <w:p w14:paraId="3D066A37"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3A259699"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4F0F448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17C4937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535" w:type="dxa"/>
            <w:tcBorders>
              <w:top w:val="single" w:sz="4" w:space="0" w:color="auto"/>
              <w:left w:val="nil"/>
              <w:bottom w:val="single" w:sz="4" w:space="0" w:color="auto"/>
              <w:right w:val="single" w:sz="4" w:space="0" w:color="auto"/>
            </w:tcBorders>
            <w:shd w:val="clear" w:color="auto" w:fill="C6EFCE"/>
            <w:noWrap/>
          </w:tcPr>
          <w:p w14:paraId="6B59D3F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95" w:type="dxa"/>
            <w:tcBorders>
              <w:top w:val="single" w:sz="4" w:space="0" w:color="auto"/>
              <w:left w:val="nil"/>
              <w:bottom w:val="single" w:sz="4" w:space="0" w:color="auto"/>
              <w:right w:val="single" w:sz="4" w:space="0" w:color="auto"/>
            </w:tcBorders>
            <w:shd w:val="clear" w:color="auto" w:fill="C6EFCE"/>
            <w:noWrap/>
          </w:tcPr>
          <w:p w14:paraId="7026344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827" w:type="dxa"/>
            <w:tcBorders>
              <w:top w:val="single" w:sz="4" w:space="0" w:color="auto"/>
              <w:left w:val="nil"/>
              <w:bottom w:val="single" w:sz="4" w:space="0" w:color="auto"/>
              <w:right w:val="single" w:sz="4" w:space="0" w:color="auto"/>
            </w:tcBorders>
            <w:shd w:val="clear" w:color="auto" w:fill="C6EFCE"/>
            <w:noWrap/>
          </w:tcPr>
          <w:p w14:paraId="04B0577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Radi poboljšanja kvalitete usluge, povećanja broja obrada pacijenata, povećanja brzine i dostupnosti te kvalitete zdravstvene zaštite za sve kategorije pacijenata, ugradit će se oprema za barem četiri dijagnostičke jedinice u KBC-u Merkur. Ugrađena oprema obuhvaćat će sljedeće:</w:t>
            </w:r>
            <w:r>
              <w:rPr>
                <w:rFonts w:ascii="Calibri" w:hAnsi="Calibri"/>
                <w:noProof/>
                <w:color w:val="000000"/>
                <w:sz w:val="20"/>
              </w:rPr>
              <w:br/>
              <w:t>– aparat za transtorakalnu i transezofagusnu ehokardiografiju,</w:t>
            </w:r>
            <w:r>
              <w:rPr>
                <w:rFonts w:ascii="Calibri" w:hAnsi="Calibri"/>
                <w:noProof/>
                <w:color w:val="000000"/>
                <w:sz w:val="20"/>
              </w:rPr>
              <w:br/>
              <w:t>– tri monitora za potrebe Koronarne jedinice,</w:t>
            </w:r>
            <w:r>
              <w:rPr>
                <w:rFonts w:ascii="Calibri" w:hAnsi="Calibri"/>
                <w:noProof/>
                <w:color w:val="000000"/>
                <w:sz w:val="20"/>
              </w:rPr>
              <w:br/>
              <w:t>– sustav za telemetriju bolesnika na otvorenom odjelu;</w:t>
            </w:r>
            <w:r>
              <w:rPr>
                <w:rFonts w:ascii="Calibri" w:hAnsi="Calibri"/>
                <w:noProof/>
                <w:color w:val="000000"/>
                <w:sz w:val="20"/>
              </w:rPr>
              <w:br/>
              <w:t>– UZV za RTG jače snage,</w:t>
            </w:r>
            <w:r>
              <w:rPr>
                <w:rFonts w:ascii="Calibri" w:hAnsi="Calibri"/>
                <w:noProof/>
                <w:color w:val="000000"/>
                <w:sz w:val="20"/>
              </w:rPr>
              <w:br/>
              <w:t>– UZV za RTG manje snage,</w:t>
            </w:r>
            <w:r>
              <w:rPr>
                <w:rFonts w:ascii="Calibri" w:hAnsi="Calibri"/>
                <w:noProof/>
                <w:color w:val="000000"/>
                <w:sz w:val="20"/>
              </w:rPr>
              <w:br/>
              <w:t>– magnet 3 Tesla RTG,</w:t>
            </w:r>
            <w:r>
              <w:rPr>
                <w:rFonts w:ascii="Calibri" w:hAnsi="Calibri"/>
                <w:noProof/>
                <w:color w:val="000000"/>
                <w:sz w:val="20"/>
              </w:rPr>
              <w:br/>
              <w:t>– mamograf za RTG,</w:t>
            </w:r>
            <w:r>
              <w:rPr>
                <w:rFonts w:ascii="Calibri" w:hAnsi="Calibri"/>
                <w:noProof/>
                <w:color w:val="000000"/>
                <w:sz w:val="20"/>
              </w:rPr>
              <w:br/>
              <w:t>– MSCT za RTG,</w:t>
            </w:r>
            <w:r>
              <w:rPr>
                <w:rFonts w:ascii="Calibri" w:hAnsi="Calibri"/>
                <w:noProof/>
                <w:color w:val="000000"/>
                <w:sz w:val="20"/>
              </w:rPr>
              <w:br/>
              <w:t xml:space="preserve">– ultrazvuk, </w:t>
            </w:r>
            <w:r>
              <w:rPr>
                <w:rFonts w:ascii="Calibri" w:hAnsi="Calibri"/>
                <w:noProof/>
                <w:color w:val="000000"/>
                <w:sz w:val="20"/>
              </w:rPr>
              <w:br/>
              <w:t>– UZV s 3D/4D konveksnom, 3D/4D vaginalnom, 2 D vaginalnom i 2D konveksnom sondom i printerom,</w:t>
            </w:r>
            <w:r>
              <w:rPr>
                <w:rFonts w:ascii="Calibri" w:hAnsi="Calibri"/>
                <w:noProof/>
                <w:color w:val="000000"/>
                <w:sz w:val="20"/>
              </w:rPr>
              <w:br/>
              <w:t>– UZV Color Doppler visoke klase.</w:t>
            </w:r>
          </w:p>
        </w:tc>
      </w:tr>
      <w:tr w:rsidR="00525BF2" w:rsidRPr="00F656F1" w14:paraId="0BB8F93E"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28DE6DD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344</w:t>
            </w:r>
          </w:p>
        </w:tc>
        <w:tc>
          <w:tcPr>
            <w:tcW w:w="843" w:type="dxa"/>
            <w:tcBorders>
              <w:top w:val="single" w:sz="4" w:space="0" w:color="auto"/>
              <w:left w:val="nil"/>
              <w:bottom w:val="single" w:sz="4" w:space="0" w:color="auto"/>
              <w:right w:val="single" w:sz="4" w:space="0" w:color="auto"/>
            </w:tcBorders>
            <w:shd w:val="clear" w:color="auto" w:fill="C6EFCE"/>
            <w:noWrap/>
          </w:tcPr>
          <w:p w14:paraId="7827823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R4-I5</w:t>
            </w:r>
          </w:p>
        </w:tc>
        <w:tc>
          <w:tcPr>
            <w:tcW w:w="806" w:type="dxa"/>
            <w:tcBorders>
              <w:top w:val="single" w:sz="4" w:space="0" w:color="auto"/>
              <w:left w:val="nil"/>
              <w:bottom w:val="single" w:sz="4" w:space="0" w:color="auto"/>
              <w:right w:val="single" w:sz="4" w:space="0" w:color="auto"/>
            </w:tcBorders>
            <w:shd w:val="clear" w:color="auto" w:fill="C6EFCE"/>
            <w:noWrap/>
          </w:tcPr>
          <w:p w14:paraId="1EBBD7B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274F700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Praćenje ishoda liječenja kroničnih nebolničkih bolesnika u javnim ljekarnama</w:t>
            </w:r>
          </w:p>
        </w:tc>
        <w:tc>
          <w:tcPr>
            <w:tcW w:w="1985" w:type="dxa"/>
            <w:tcBorders>
              <w:top w:val="single" w:sz="4" w:space="0" w:color="auto"/>
              <w:left w:val="nil"/>
              <w:bottom w:val="single" w:sz="4" w:space="0" w:color="auto"/>
              <w:right w:val="single" w:sz="4" w:space="0" w:color="auto"/>
            </w:tcBorders>
            <w:shd w:val="clear" w:color="auto" w:fill="C6EFCE"/>
            <w:noWrap/>
          </w:tcPr>
          <w:p w14:paraId="2D88BF1D"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721892D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(postotak)</w:t>
            </w:r>
          </w:p>
        </w:tc>
        <w:tc>
          <w:tcPr>
            <w:tcW w:w="1087" w:type="dxa"/>
            <w:tcBorders>
              <w:top w:val="single" w:sz="4" w:space="0" w:color="auto"/>
              <w:left w:val="nil"/>
              <w:bottom w:val="single" w:sz="4" w:space="0" w:color="auto"/>
              <w:right w:val="single" w:sz="4" w:space="0" w:color="auto"/>
            </w:tcBorders>
            <w:shd w:val="clear" w:color="auto" w:fill="C6EFCE"/>
            <w:noWrap/>
          </w:tcPr>
          <w:p w14:paraId="33C599F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3EAFA4F7"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w:t>
            </w:r>
          </w:p>
        </w:tc>
        <w:tc>
          <w:tcPr>
            <w:tcW w:w="535" w:type="dxa"/>
            <w:tcBorders>
              <w:top w:val="single" w:sz="4" w:space="0" w:color="auto"/>
              <w:left w:val="nil"/>
              <w:bottom w:val="single" w:sz="4" w:space="0" w:color="auto"/>
              <w:right w:val="single" w:sz="4" w:space="0" w:color="auto"/>
            </w:tcBorders>
            <w:shd w:val="clear" w:color="auto" w:fill="C6EFCE"/>
            <w:noWrap/>
          </w:tcPr>
          <w:p w14:paraId="73587F9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25234787" w14:textId="2FB54916"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3827" w:type="dxa"/>
            <w:tcBorders>
              <w:top w:val="single" w:sz="4" w:space="0" w:color="auto"/>
              <w:left w:val="nil"/>
              <w:bottom w:val="single" w:sz="4" w:space="0" w:color="auto"/>
              <w:right w:val="single" w:sz="4" w:space="0" w:color="auto"/>
            </w:tcBorders>
            <w:shd w:val="clear" w:color="auto" w:fill="C6EFCE"/>
            <w:noWrap/>
          </w:tcPr>
          <w:p w14:paraId="557BDC22" w14:textId="77777777" w:rsidR="00733DCA" w:rsidRPr="000520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 programu praćenja ishoda liječenja u javnim ljekarnama sudjeluje 20 % nebolničkih pacijenata. </w:t>
            </w:r>
            <w:r>
              <w:rPr>
                <w:rFonts w:ascii="Calibri" w:hAnsi="Calibri"/>
                <w:noProof/>
                <w:color w:val="000000"/>
                <w:sz w:val="20"/>
              </w:rPr>
              <w:br/>
              <w:t>Projekt podrazumijeva praćenje pacijenata te kreiranje strukturiranih podataka koji će zatim putem CEZIH-a biti dostupni za daljnju evaluaciju odabranom liječniku obiteljske medicine.</w:t>
            </w:r>
          </w:p>
        </w:tc>
      </w:tr>
      <w:tr w:rsidR="00525BF2" w:rsidRPr="00F656F1" w14:paraId="42F69815"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49C59C1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346</w:t>
            </w:r>
          </w:p>
        </w:tc>
        <w:tc>
          <w:tcPr>
            <w:tcW w:w="843" w:type="dxa"/>
            <w:tcBorders>
              <w:top w:val="single" w:sz="4" w:space="0" w:color="auto"/>
              <w:left w:val="nil"/>
              <w:bottom w:val="single" w:sz="4" w:space="0" w:color="auto"/>
              <w:right w:val="single" w:sz="4" w:space="0" w:color="auto"/>
            </w:tcBorders>
            <w:shd w:val="clear" w:color="auto" w:fill="C6EFCE"/>
            <w:noWrap/>
          </w:tcPr>
          <w:p w14:paraId="3D022D7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R5</w:t>
            </w:r>
          </w:p>
        </w:tc>
        <w:tc>
          <w:tcPr>
            <w:tcW w:w="806" w:type="dxa"/>
            <w:tcBorders>
              <w:top w:val="single" w:sz="4" w:space="0" w:color="auto"/>
              <w:left w:val="nil"/>
              <w:bottom w:val="single" w:sz="4" w:space="0" w:color="auto"/>
              <w:right w:val="single" w:sz="4" w:space="0" w:color="auto"/>
            </w:tcBorders>
            <w:shd w:val="clear" w:color="auto" w:fill="C6EFCE"/>
            <w:noWrap/>
          </w:tcPr>
          <w:p w14:paraId="17972BE3"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17" w:type="dxa"/>
            <w:tcBorders>
              <w:top w:val="single" w:sz="4" w:space="0" w:color="auto"/>
              <w:left w:val="nil"/>
              <w:bottom w:val="single" w:sz="4" w:space="0" w:color="auto"/>
              <w:right w:val="single" w:sz="4" w:space="0" w:color="auto"/>
            </w:tcBorders>
            <w:shd w:val="clear" w:color="auto" w:fill="C6EFCE"/>
            <w:noWrap/>
          </w:tcPr>
          <w:p w14:paraId="1D7B6E6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Poboljšanje i proširenje usluga telemedicine</w:t>
            </w:r>
          </w:p>
        </w:tc>
        <w:tc>
          <w:tcPr>
            <w:tcW w:w="1985" w:type="dxa"/>
            <w:tcBorders>
              <w:top w:val="single" w:sz="4" w:space="0" w:color="auto"/>
              <w:left w:val="nil"/>
              <w:bottom w:val="single" w:sz="4" w:space="0" w:color="auto"/>
              <w:right w:val="single" w:sz="4" w:space="0" w:color="auto"/>
            </w:tcBorders>
            <w:shd w:val="clear" w:color="auto" w:fill="C6EFCE"/>
            <w:noWrap/>
          </w:tcPr>
          <w:p w14:paraId="2346E4BF"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Stupanje na snagu nacionalnog telemedicinskog okvira kojim se širi opseg usluga telemedicine</w:t>
            </w:r>
          </w:p>
        </w:tc>
        <w:tc>
          <w:tcPr>
            <w:tcW w:w="1296" w:type="dxa"/>
            <w:tcBorders>
              <w:top w:val="single" w:sz="4" w:space="0" w:color="auto"/>
              <w:left w:val="nil"/>
              <w:bottom w:val="single" w:sz="4" w:space="0" w:color="auto"/>
              <w:right w:val="single" w:sz="4" w:space="0" w:color="auto"/>
            </w:tcBorders>
            <w:shd w:val="clear" w:color="auto" w:fill="C6EFCE"/>
            <w:noWrap/>
          </w:tcPr>
          <w:p w14:paraId="71C234D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087" w:type="dxa"/>
            <w:tcBorders>
              <w:top w:val="single" w:sz="4" w:space="0" w:color="auto"/>
              <w:left w:val="nil"/>
              <w:bottom w:val="single" w:sz="4" w:space="0" w:color="auto"/>
              <w:right w:val="single" w:sz="4" w:space="0" w:color="auto"/>
            </w:tcBorders>
            <w:shd w:val="clear" w:color="auto" w:fill="C6EFCE"/>
            <w:noWrap/>
          </w:tcPr>
          <w:p w14:paraId="427345C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976" w:type="dxa"/>
            <w:tcBorders>
              <w:top w:val="single" w:sz="4" w:space="0" w:color="auto"/>
              <w:left w:val="nil"/>
              <w:bottom w:val="single" w:sz="4" w:space="0" w:color="auto"/>
              <w:right w:val="single" w:sz="4" w:space="0" w:color="auto"/>
            </w:tcBorders>
            <w:shd w:val="clear" w:color="auto" w:fill="C6EFCE"/>
            <w:noWrap/>
          </w:tcPr>
          <w:p w14:paraId="5B48930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535" w:type="dxa"/>
            <w:tcBorders>
              <w:top w:val="single" w:sz="4" w:space="0" w:color="auto"/>
              <w:left w:val="nil"/>
              <w:bottom w:val="single" w:sz="4" w:space="0" w:color="auto"/>
              <w:right w:val="single" w:sz="4" w:space="0" w:color="auto"/>
            </w:tcBorders>
            <w:shd w:val="clear" w:color="auto" w:fill="C6EFCE"/>
            <w:noWrap/>
          </w:tcPr>
          <w:p w14:paraId="0A3D1BB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655CB004"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827" w:type="dxa"/>
            <w:tcBorders>
              <w:top w:val="single" w:sz="4" w:space="0" w:color="auto"/>
              <w:left w:val="nil"/>
              <w:bottom w:val="single" w:sz="4" w:space="0" w:color="auto"/>
              <w:right w:val="single" w:sz="4" w:space="0" w:color="auto"/>
            </w:tcBorders>
            <w:shd w:val="clear" w:color="auto" w:fill="C6EFCE"/>
            <w:noWrap/>
          </w:tcPr>
          <w:p w14:paraId="2FD96B50" w14:textId="40A00E66"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Reformom se uvode odredbe za uspostavu funkcionalnog nacionalnog telemedicinskog okvira za prijenos vitalnih parametara pacijenata iz hitne medicinske službe u objedinjeni hitni bolnički prijem i nadzor hitne medicinske službe na daljinu. Projekt uključuje: i. situacijsku analizu, ii. nacionalni okvir za uvođenje nadzora hitne medicinske službe na daljinu, i iii. akcijski plan uvođenja nadzora te okvir za praćenje provedbe. </w:t>
            </w:r>
            <w:r>
              <w:rPr>
                <w:rFonts w:ascii="Calibri" w:hAnsi="Calibri"/>
                <w:noProof/>
                <w:color w:val="000000"/>
                <w:sz w:val="20"/>
              </w:rPr>
              <w:br/>
              <w:t>S obzirom na ograničene resurse i trajanje tehničke pomoći, teleradiološka komponenta samo je uvodna komponenta na razini mapiranja najboljih praksi.</w:t>
            </w:r>
          </w:p>
        </w:tc>
      </w:tr>
      <w:tr w:rsidR="00525BF2" w:rsidRPr="00F656F1" w14:paraId="61183A85"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09352411" w14:textId="77777777"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347</w:t>
            </w:r>
          </w:p>
        </w:tc>
        <w:tc>
          <w:tcPr>
            <w:tcW w:w="843" w:type="dxa"/>
            <w:tcBorders>
              <w:top w:val="single" w:sz="4" w:space="0" w:color="auto"/>
              <w:left w:val="nil"/>
              <w:bottom w:val="single" w:sz="4" w:space="0" w:color="auto"/>
              <w:right w:val="single" w:sz="4" w:space="0" w:color="auto"/>
            </w:tcBorders>
            <w:shd w:val="clear" w:color="auto" w:fill="C6EFCE"/>
            <w:noWrap/>
          </w:tcPr>
          <w:p w14:paraId="56B549C3" w14:textId="77777777"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R5-I1</w:t>
            </w:r>
          </w:p>
        </w:tc>
        <w:tc>
          <w:tcPr>
            <w:tcW w:w="806" w:type="dxa"/>
            <w:tcBorders>
              <w:top w:val="single" w:sz="4" w:space="0" w:color="auto"/>
              <w:left w:val="nil"/>
              <w:bottom w:val="single" w:sz="4" w:space="0" w:color="auto"/>
              <w:right w:val="single" w:sz="4" w:space="0" w:color="auto"/>
            </w:tcBorders>
            <w:shd w:val="clear" w:color="auto" w:fill="C6EFCE"/>
            <w:noWrap/>
          </w:tcPr>
          <w:p w14:paraId="03DB906A" w14:textId="77777777"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193FEC6E" w14:textId="77777777" w:rsidR="00733DCA" w:rsidRPr="000520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Operacijske dvorane (Firule i Križine) i robotski sustav na lokaciji Firule ugrađeni su i u funkciji</w:t>
            </w:r>
          </w:p>
        </w:tc>
        <w:tc>
          <w:tcPr>
            <w:tcW w:w="1985" w:type="dxa"/>
            <w:tcBorders>
              <w:top w:val="single" w:sz="4" w:space="0" w:color="auto"/>
              <w:left w:val="nil"/>
              <w:bottom w:val="single" w:sz="4" w:space="0" w:color="auto"/>
              <w:right w:val="single" w:sz="4" w:space="0" w:color="auto"/>
            </w:tcBorders>
            <w:shd w:val="clear" w:color="auto" w:fill="C6EFCE"/>
            <w:noWrap/>
          </w:tcPr>
          <w:p w14:paraId="445DFB19" w14:textId="77777777" w:rsidR="00733DCA" w:rsidRPr="000520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6476BE54" w14:textId="77777777"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3A708AF6" w14:textId="77777777"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0A8FCF2B" w14:textId="77777777"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535" w:type="dxa"/>
            <w:tcBorders>
              <w:top w:val="single" w:sz="4" w:space="0" w:color="auto"/>
              <w:left w:val="nil"/>
              <w:bottom w:val="single" w:sz="4" w:space="0" w:color="auto"/>
              <w:right w:val="single" w:sz="4" w:space="0" w:color="auto"/>
            </w:tcBorders>
            <w:shd w:val="clear" w:color="auto" w:fill="C6EFCE"/>
            <w:noWrap/>
          </w:tcPr>
          <w:p w14:paraId="4A0B6941" w14:textId="59C890CA"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w:t>
            </w:r>
          </w:p>
        </w:tc>
        <w:tc>
          <w:tcPr>
            <w:tcW w:w="895" w:type="dxa"/>
            <w:tcBorders>
              <w:top w:val="single" w:sz="4" w:space="0" w:color="auto"/>
              <w:left w:val="nil"/>
              <w:bottom w:val="single" w:sz="4" w:space="0" w:color="auto"/>
              <w:right w:val="single" w:sz="4" w:space="0" w:color="auto"/>
            </w:tcBorders>
            <w:shd w:val="clear" w:color="auto" w:fill="C6EFCE"/>
            <w:noWrap/>
          </w:tcPr>
          <w:p w14:paraId="32D1CB24" w14:textId="42B32D74"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3827" w:type="dxa"/>
            <w:tcBorders>
              <w:top w:val="single" w:sz="4" w:space="0" w:color="auto"/>
              <w:left w:val="nil"/>
              <w:bottom w:val="single" w:sz="4" w:space="0" w:color="auto"/>
              <w:right w:val="single" w:sz="4" w:space="0" w:color="auto"/>
            </w:tcBorders>
            <w:shd w:val="clear" w:color="auto" w:fill="C6EFCE"/>
            <w:noWrap/>
          </w:tcPr>
          <w:p w14:paraId="356AE677" w14:textId="77777777" w:rsidR="00733DCA" w:rsidRPr="000520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Projekt uključuje digitalizaciju i integraciju četiriju operacijskih dvorana na lokacijama Firule i Križine te robotskog sustava na lokaciji Firule. Digitalnom tranzicijom, integracijom i robotskom kirurgijom promijenit će se dosadašnji način liječenja tako što će se unaprijediti kvaliteta kirurškog liječenja, poboljšati sigurnost bolesnika, postići veća transparentnost u liječenju i bolje kontrolirati troškovi i zdravstveni ishodi, čime će se osnažili i konsolidirati ključni resursi zdravstvene informacijske infrastrukture i modernizirati zdravstvene usluge bez papira. </w:t>
            </w:r>
          </w:p>
        </w:tc>
      </w:tr>
      <w:tr w:rsidR="00525BF2" w:rsidRPr="00F656F1" w14:paraId="7C884BE9"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7989F19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348</w:t>
            </w:r>
          </w:p>
        </w:tc>
        <w:tc>
          <w:tcPr>
            <w:tcW w:w="843" w:type="dxa"/>
            <w:tcBorders>
              <w:top w:val="single" w:sz="4" w:space="0" w:color="auto"/>
              <w:left w:val="nil"/>
              <w:bottom w:val="single" w:sz="4" w:space="0" w:color="auto"/>
              <w:right w:val="single" w:sz="4" w:space="0" w:color="auto"/>
            </w:tcBorders>
            <w:shd w:val="clear" w:color="auto" w:fill="C6EFCE"/>
            <w:noWrap/>
          </w:tcPr>
          <w:p w14:paraId="3C06B9BA"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R5-I2</w:t>
            </w:r>
          </w:p>
        </w:tc>
        <w:tc>
          <w:tcPr>
            <w:tcW w:w="806" w:type="dxa"/>
            <w:tcBorders>
              <w:top w:val="single" w:sz="4" w:space="0" w:color="auto"/>
              <w:left w:val="nil"/>
              <w:bottom w:val="single" w:sz="4" w:space="0" w:color="auto"/>
              <w:right w:val="single" w:sz="4" w:space="0" w:color="auto"/>
            </w:tcBorders>
            <w:shd w:val="clear" w:color="auto" w:fill="C6EFCE"/>
            <w:noWrap/>
          </w:tcPr>
          <w:p w14:paraId="690FD62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1F96ADB8"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Telekardiološke usluge</w:t>
            </w:r>
          </w:p>
        </w:tc>
        <w:tc>
          <w:tcPr>
            <w:tcW w:w="1985" w:type="dxa"/>
            <w:tcBorders>
              <w:top w:val="single" w:sz="4" w:space="0" w:color="auto"/>
              <w:left w:val="nil"/>
              <w:bottom w:val="single" w:sz="4" w:space="0" w:color="auto"/>
              <w:right w:val="single" w:sz="4" w:space="0" w:color="auto"/>
            </w:tcBorders>
            <w:shd w:val="clear" w:color="auto" w:fill="C6EFCE"/>
            <w:noWrap/>
          </w:tcPr>
          <w:p w14:paraId="72933DBD"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296" w:type="dxa"/>
            <w:tcBorders>
              <w:top w:val="single" w:sz="4" w:space="0" w:color="auto"/>
              <w:left w:val="nil"/>
              <w:bottom w:val="single" w:sz="4" w:space="0" w:color="auto"/>
              <w:right w:val="single" w:sz="4" w:space="0" w:color="auto"/>
            </w:tcBorders>
            <w:shd w:val="clear" w:color="auto" w:fill="C6EFCE"/>
            <w:noWrap/>
          </w:tcPr>
          <w:p w14:paraId="15B469F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45519DD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67221A86"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40</w:t>
            </w:r>
          </w:p>
        </w:tc>
        <w:tc>
          <w:tcPr>
            <w:tcW w:w="535" w:type="dxa"/>
            <w:tcBorders>
              <w:top w:val="single" w:sz="4" w:space="0" w:color="auto"/>
              <w:left w:val="nil"/>
              <w:bottom w:val="single" w:sz="4" w:space="0" w:color="auto"/>
              <w:right w:val="single" w:sz="4" w:space="0" w:color="auto"/>
            </w:tcBorders>
            <w:shd w:val="clear" w:color="auto" w:fill="C6EFCE"/>
            <w:noWrap/>
          </w:tcPr>
          <w:p w14:paraId="22606E7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95" w:type="dxa"/>
            <w:tcBorders>
              <w:top w:val="single" w:sz="4" w:space="0" w:color="auto"/>
              <w:left w:val="nil"/>
              <w:bottom w:val="single" w:sz="4" w:space="0" w:color="auto"/>
              <w:right w:val="single" w:sz="4" w:space="0" w:color="auto"/>
            </w:tcBorders>
            <w:shd w:val="clear" w:color="auto" w:fill="C6EFCE"/>
            <w:noWrap/>
          </w:tcPr>
          <w:p w14:paraId="687A47E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3827" w:type="dxa"/>
            <w:tcBorders>
              <w:top w:val="single" w:sz="4" w:space="0" w:color="auto"/>
              <w:left w:val="nil"/>
              <w:bottom w:val="single" w:sz="4" w:space="0" w:color="auto"/>
              <w:right w:val="single" w:sz="4" w:space="0" w:color="auto"/>
            </w:tcBorders>
            <w:shd w:val="clear" w:color="auto" w:fill="C6EFCE"/>
            <w:noWrap/>
          </w:tcPr>
          <w:p w14:paraId="362675F7"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Cilj je projekta TeleCordis postaviti medicinsku i računalnu opremu potrebnu za obavljanje usluga EKG holtera, holtera tlaka i 12 kanalnog EKG-a u udaljenim i ruralnim područjima koja su nedostatno pokrivena tim uslugama, odnosno nemaju na raspolaganju specijalista kardiologije. Oprema je nabavljena (jedan paket po centru) i postavljena u najmanje 40 telemedicinskih pristupnih centara. Program će se povezati sa specijaliziranim centrima za telemedicinu radi pružanja telekardioloških usluga.</w:t>
            </w:r>
          </w:p>
        </w:tc>
      </w:tr>
      <w:tr w:rsidR="00525BF2" w:rsidRPr="00F656F1" w14:paraId="1AADA911"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13D518EB"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349</w:t>
            </w:r>
          </w:p>
        </w:tc>
        <w:tc>
          <w:tcPr>
            <w:tcW w:w="843" w:type="dxa"/>
            <w:tcBorders>
              <w:top w:val="single" w:sz="4" w:space="0" w:color="auto"/>
              <w:left w:val="nil"/>
              <w:bottom w:val="single" w:sz="4" w:space="0" w:color="auto"/>
              <w:right w:val="single" w:sz="4" w:space="0" w:color="auto"/>
            </w:tcBorders>
            <w:shd w:val="clear" w:color="auto" w:fill="C6EFCE"/>
            <w:noWrap/>
          </w:tcPr>
          <w:p w14:paraId="712998C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R5-I3</w:t>
            </w:r>
          </w:p>
        </w:tc>
        <w:tc>
          <w:tcPr>
            <w:tcW w:w="806" w:type="dxa"/>
            <w:tcBorders>
              <w:top w:val="single" w:sz="4" w:space="0" w:color="auto"/>
              <w:left w:val="nil"/>
              <w:bottom w:val="single" w:sz="4" w:space="0" w:color="auto"/>
              <w:right w:val="single" w:sz="4" w:space="0" w:color="auto"/>
            </w:tcBorders>
            <w:shd w:val="clear" w:color="auto" w:fill="C6EFCE"/>
            <w:noWrap/>
          </w:tcPr>
          <w:p w14:paraId="63D801D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70CB30E7"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Teletransfuzijske usluge </w:t>
            </w:r>
          </w:p>
        </w:tc>
        <w:tc>
          <w:tcPr>
            <w:tcW w:w="1985" w:type="dxa"/>
            <w:tcBorders>
              <w:top w:val="single" w:sz="4" w:space="0" w:color="auto"/>
              <w:left w:val="nil"/>
              <w:bottom w:val="single" w:sz="4" w:space="0" w:color="auto"/>
              <w:right w:val="single" w:sz="4" w:space="0" w:color="auto"/>
            </w:tcBorders>
            <w:shd w:val="clear" w:color="auto" w:fill="C6EFCE"/>
            <w:noWrap/>
          </w:tcPr>
          <w:p w14:paraId="3E1FF6AB"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6B46D58F"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177BCE2E"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03A17EAD"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w:t>
            </w:r>
          </w:p>
        </w:tc>
        <w:tc>
          <w:tcPr>
            <w:tcW w:w="535" w:type="dxa"/>
            <w:tcBorders>
              <w:top w:val="single" w:sz="4" w:space="0" w:color="auto"/>
              <w:left w:val="nil"/>
              <w:bottom w:val="single" w:sz="4" w:space="0" w:color="auto"/>
              <w:right w:val="single" w:sz="4" w:space="0" w:color="auto"/>
            </w:tcBorders>
            <w:shd w:val="clear" w:color="auto" w:fill="C6EFCE"/>
            <w:noWrap/>
          </w:tcPr>
          <w:p w14:paraId="65855CA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95" w:type="dxa"/>
            <w:tcBorders>
              <w:top w:val="single" w:sz="4" w:space="0" w:color="auto"/>
              <w:left w:val="nil"/>
              <w:bottom w:val="single" w:sz="4" w:space="0" w:color="auto"/>
              <w:right w:val="single" w:sz="4" w:space="0" w:color="auto"/>
            </w:tcBorders>
            <w:shd w:val="clear" w:color="auto" w:fill="C6EFCE"/>
            <w:noWrap/>
          </w:tcPr>
          <w:p w14:paraId="48408082"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3827" w:type="dxa"/>
            <w:tcBorders>
              <w:top w:val="single" w:sz="4" w:space="0" w:color="auto"/>
              <w:left w:val="nil"/>
              <w:bottom w:val="single" w:sz="4" w:space="0" w:color="auto"/>
              <w:right w:val="single" w:sz="4" w:space="0" w:color="auto"/>
            </w:tcBorders>
            <w:shd w:val="clear" w:color="auto" w:fill="C6EFCE"/>
            <w:noWrap/>
          </w:tcPr>
          <w:p w14:paraId="6D8ECF25"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Projekt Teletransfuzija podržat će postojeću digitalnu infrastrukturu procesa liječenja korištenjem podataka o pacijentu dobivenih iz eUputnice i eKartona potrebnih za početak liječenja u ustanovi sekundarne ili tercijarne zdravstvene zaštite.</w:t>
            </w:r>
            <w:r>
              <w:rPr>
                <w:rFonts w:ascii="Calibri" w:hAnsi="Calibri"/>
                <w:noProof/>
                <w:color w:val="000000"/>
                <w:sz w:val="20"/>
              </w:rPr>
              <w:br/>
              <w:t>U okviru projekta će se komunikacijski povezati bolnički transfuzijski centri na državnom području Hrvatske (35 bolničkih transfuzijskih centara) te će usluga biti dostupna 24 sata na dan sedam dana u tjednu. Oprema je nabavljena (jedan paket po centru) i postavljena u telemedicinske pristupne centre, program je povezan sa specijaliziranim centrima za telemedicinu i pruža se usluga teletransfuzije.</w:t>
            </w:r>
          </w:p>
        </w:tc>
      </w:tr>
      <w:tr w:rsidR="00525BF2" w:rsidRPr="00F656F1" w14:paraId="0D43B5CC" w14:textId="77777777" w:rsidTr="00FF085A">
        <w:trPr>
          <w:trHeight w:val="283"/>
          <w:jc w:val="center"/>
        </w:trPr>
        <w:tc>
          <w:tcPr>
            <w:tcW w:w="780" w:type="dxa"/>
            <w:tcBorders>
              <w:top w:val="single" w:sz="4" w:space="0" w:color="auto"/>
              <w:left w:val="single" w:sz="4" w:space="0" w:color="auto"/>
              <w:bottom w:val="single" w:sz="4" w:space="0" w:color="auto"/>
              <w:right w:val="single" w:sz="4" w:space="0" w:color="auto"/>
            </w:tcBorders>
            <w:shd w:val="clear" w:color="auto" w:fill="C6EFCE"/>
            <w:noWrap/>
          </w:tcPr>
          <w:p w14:paraId="133BB6F0"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350</w:t>
            </w:r>
          </w:p>
        </w:tc>
        <w:tc>
          <w:tcPr>
            <w:tcW w:w="843" w:type="dxa"/>
            <w:tcBorders>
              <w:top w:val="single" w:sz="4" w:space="0" w:color="auto"/>
              <w:left w:val="nil"/>
              <w:bottom w:val="single" w:sz="4" w:space="0" w:color="auto"/>
              <w:right w:val="single" w:sz="4" w:space="0" w:color="auto"/>
            </w:tcBorders>
            <w:shd w:val="clear" w:color="auto" w:fill="C6EFCE"/>
            <w:noWrap/>
          </w:tcPr>
          <w:p w14:paraId="74E5CCC8"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R5-I4</w:t>
            </w:r>
          </w:p>
        </w:tc>
        <w:tc>
          <w:tcPr>
            <w:tcW w:w="806" w:type="dxa"/>
            <w:tcBorders>
              <w:top w:val="single" w:sz="4" w:space="0" w:color="auto"/>
              <w:left w:val="nil"/>
              <w:bottom w:val="single" w:sz="4" w:space="0" w:color="auto"/>
              <w:right w:val="single" w:sz="4" w:space="0" w:color="auto"/>
            </w:tcBorders>
            <w:shd w:val="clear" w:color="auto" w:fill="C6EFCE"/>
            <w:noWrap/>
          </w:tcPr>
          <w:p w14:paraId="2EEE0C5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17" w:type="dxa"/>
            <w:tcBorders>
              <w:top w:val="single" w:sz="4" w:space="0" w:color="auto"/>
              <w:left w:val="nil"/>
              <w:bottom w:val="single" w:sz="4" w:space="0" w:color="auto"/>
              <w:right w:val="single" w:sz="4" w:space="0" w:color="auto"/>
            </w:tcBorders>
            <w:shd w:val="clear" w:color="auto" w:fill="C6EFCE"/>
            <w:noWrap/>
          </w:tcPr>
          <w:p w14:paraId="7D5B5C69"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Operacijske dvorane KBC-a Sestre milosrdnice opremljene robotskom kirurgijom</w:t>
            </w:r>
          </w:p>
        </w:tc>
        <w:tc>
          <w:tcPr>
            <w:tcW w:w="1985" w:type="dxa"/>
            <w:tcBorders>
              <w:top w:val="single" w:sz="4" w:space="0" w:color="auto"/>
              <w:left w:val="nil"/>
              <w:bottom w:val="single" w:sz="4" w:space="0" w:color="auto"/>
              <w:right w:val="single" w:sz="4" w:space="0" w:color="auto"/>
            </w:tcBorders>
            <w:shd w:val="clear" w:color="auto" w:fill="C6EFCE"/>
            <w:noWrap/>
          </w:tcPr>
          <w:p w14:paraId="34F511F2" w14:textId="77777777" w:rsidR="00733DCA" w:rsidRPr="00F656F1"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296" w:type="dxa"/>
            <w:tcBorders>
              <w:top w:val="single" w:sz="4" w:space="0" w:color="auto"/>
              <w:left w:val="nil"/>
              <w:bottom w:val="single" w:sz="4" w:space="0" w:color="auto"/>
              <w:right w:val="single" w:sz="4" w:space="0" w:color="auto"/>
            </w:tcBorders>
            <w:shd w:val="clear" w:color="auto" w:fill="C6EFCE"/>
            <w:noWrap/>
          </w:tcPr>
          <w:p w14:paraId="38BE36AC"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single" w:sz="4" w:space="0" w:color="auto"/>
              <w:left w:val="nil"/>
              <w:bottom w:val="single" w:sz="4" w:space="0" w:color="auto"/>
              <w:right w:val="single" w:sz="4" w:space="0" w:color="auto"/>
            </w:tcBorders>
            <w:shd w:val="clear" w:color="auto" w:fill="C6EFCE"/>
            <w:noWrap/>
          </w:tcPr>
          <w:p w14:paraId="74444271"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single" w:sz="4" w:space="0" w:color="auto"/>
              <w:left w:val="nil"/>
              <w:bottom w:val="single" w:sz="4" w:space="0" w:color="auto"/>
              <w:right w:val="single" w:sz="4" w:space="0" w:color="auto"/>
            </w:tcBorders>
            <w:shd w:val="clear" w:color="auto" w:fill="C6EFCE"/>
            <w:noWrap/>
          </w:tcPr>
          <w:p w14:paraId="79B5E0B5" w14:textId="77777777" w:rsidR="00733DCA" w:rsidRPr="00F656F1"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535" w:type="dxa"/>
            <w:tcBorders>
              <w:top w:val="single" w:sz="4" w:space="0" w:color="auto"/>
              <w:left w:val="nil"/>
              <w:bottom w:val="single" w:sz="4" w:space="0" w:color="auto"/>
              <w:right w:val="single" w:sz="4" w:space="0" w:color="auto"/>
            </w:tcBorders>
            <w:shd w:val="clear" w:color="auto" w:fill="C6EFCE"/>
            <w:noWrap/>
          </w:tcPr>
          <w:p w14:paraId="517A831A" w14:textId="1542B33F"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1.</w:t>
            </w:r>
          </w:p>
        </w:tc>
        <w:tc>
          <w:tcPr>
            <w:tcW w:w="895" w:type="dxa"/>
            <w:tcBorders>
              <w:top w:val="single" w:sz="4" w:space="0" w:color="auto"/>
              <w:left w:val="nil"/>
              <w:bottom w:val="single" w:sz="4" w:space="0" w:color="auto"/>
              <w:right w:val="single" w:sz="4" w:space="0" w:color="auto"/>
            </w:tcBorders>
            <w:shd w:val="clear" w:color="auto" w:fill="C6EFCE"/>
            <w:noWrap/>
          </w:tcPr>
          <w:p w14:paraId="64046651" w14:textId="722D1295" w:rsidR="00733DCA" w:rsidRPr="00052099"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themeColor="text1"/>
                <w:sz w:val="20"/>
              </w:rPr>
              <w:t>2024.</w:t>
            </w:r>
          </w:p>
        </w:tc>
        <w:tc>
          <w:tcPr>
            <w:tcW w:w="3827" w:type="dxa"/>
            <w:tcBorders>
              <w:top w:val="single" w:sz="4" w:space="0" w:color="auto"/>
              <w:left w:val="nil"/>
              <w:bottom w:val="single" w:sz="4" w:space="0" w:color="auto"/>
              <w:right w:val="single" w:sz="4" w:space="0" w:color="auto"/>
            </w:tcBorders>
            <w:shd w:val="clear" w:color="auto" w:fill="C6EFCE"/>
            <w:noWrap/>
          </w:tcPr>
          <w:p w14:paraId="17D62485" w14:textId="77777777" w:rsidR="00733DCA" w:rsidRPr="00052099"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četiri novoopremljene operacijske dvorane s najsuvremenijom robotskom tehnologijom.</w:t>
            </w:r>
            <w:r>
              <w:rPr>
                <w:rFonts w:ascii="Calibri" w:hAnsi="Calibri"/>
                <w:noProof/>
                <w:color w:val="000000"/>
                <w:sz w:val="20"/>
              </w:rPr>
              <w:br/>
              <w:t xml:space="preserve"> Moguća je sljedeća funkcionalnost: dobivanje svih podataka o pacijentu u realnom vremenu na zaslonu monitora u samoj operacijskoj dvorani za vrijeme vršenja operacijskog zahvata. Osim toga, bit će moguće tijekom operacijskih zahvata imati i sav slikovni materijal o pacijentu dostupan na zaslonu monitora; što će doprinijeti sigurnosti i djelotvornosti postupaka. Integracija će omogućiti i korištenje drugih dijagnostičkih i terapijskih uređaja u istoj operacijskoj dvorani, koji će se također uključiti u integrirani sustav operacijske dvorane. </w:t>
            </w:r>
          </w:p>
        </w:tc>
      </w:tr>
    </w:tbl>
    <w:p w14:paraId="79A1FE6A" w14:textId="77777777" w:rsidR="00733DCA" w:rsidRPr="00BC0323" w:rsidRDefault="00733DCA" w:rsidP="0001477B">
      <w:pPr>
        <w:rPr>
          <w:noProof/>
        </w:rPr>
        <w:sectPr w:rsidR="00733DCA" w:rsidRPr="00BC0323" w:rsidSect="0001477B">
          <w:headerReference w:type="even" r:id="rId360"/>
          <w:headerReference w:type="default" r:id="rId361"/>
          <w:footerReference w:type="even" r:id="rId362"/>
          <w:footerReference w:type="default" r:id="rId363"/>
          <w:headerReference w:type="first" r:id="rId364"/>
          <w:footerReference w:type="first" r:id="rId365"/>
          <w:pgSz w:w="15840" w:h="12240" w:orient="landscape"/>
          <w:pgMar w:top="1440" w:right="1440" w:bottom="1440" w:left="1440" w:header="708" w:footer="708" w:gutter="0"/>
          <w:cols w:space="708"/>
          <w:docGrid w:linePitch="360"/>
        </w:sectPr>
      </w:pPr>
    </w:p>
    <w:p w14:paraId="56AA2842" w14:textId="77777777" w:rsidR="00733DCA" w:rsidRDefault="00733DCA" w:rsidP="0001477B">
      <w:pPr>
        <w:pStyle w:val="paragraph"/>
        <w:spacing w:before="0" w:beforeAutospacing="0" w:after="0" w:afterAutospacing="0"/>
        <w:ind w:left="840"/>
        <w:jc w:val="both"/>
        <w:textAlignment w:val="baseline"/>
        <w:rPr>
          <w:rFonts w:ascii="Segoe UI" w:hAnsi="Segoe UI" w:cs="Segoe UI"/>
          <w:noProof/>
          <w:sz w:val="18"/>
          <w:szCs w:val="18"/>
        </w:rPr>
      </w:pPr>
      <w:r>
        <w:rPr>
          <w:rStyle w:val="normaltextrun"/>
          <w:b/>
          <w:noProof/>
        </w:rPr>
        <w:t xml:space="preserve">U.3. </w:t>
      </w:r>
      <w:r>
        <w:rPr>
          <w:rStyle w:val="tabchar"/>
          <w:rFonts w:ascii="Calibri" w:hAnsi="Calibri"/>
          <w:noProof/>
        </w:rPr>
        <w:tab/>
      </w:r>
      <w:r>
        <w:rPr>
          <w:rStyle w:val="normaltextrun"/>
          <w:b/>
          <w:noProof/>
        </w:rPr>
        <w:t>Opis reformi i ulaganja za zajam </w:t>
      </w:r>
      <w:r>
        <w:rPr>
          <w:rStyle w:val="normaltextrun"/>
          <w:noProof/>
        </w:rPr>
        <w:t> </w:t>
      </w:r>
      <w:r>
        <w:rPr>
          <w:rStyle w:val="eop"/>
          <w:noProof/>
        </w:rPr>
        <w:t> </w:t>
      </w:r>
    </w:p>
    <w:p w14:paraId="58D760A4"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R1-I1 – Uvođenje usluge mobilne ljekarne u primarnu zdravstvenu zaštitu</w:t>
      </w:r>
    </w:p>
    <w:p w14:paraId="59A3464C" w14:textId="3346C22F" w:rsidR="00733DCA" w:rsidRPr="00052099"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ovog ulaganja osigurati opskrbu lijekovima na područjima koja nemaju ljekarne ni ljekarničke depoe nabavom šest mobilnih ljekarni-kamper vozila i dvije ljekarne-brodice. Očekuje se da će ulaganje imati pozitivne učinke na demografiju i kvalitetu života u rubnim dijelovima. Mjerom će se obuhvatiti određena udaljena područja, posebno otoci i ruralna kopnena područja, kako bi se u potpunosti obuhvatilo pružanje ljekarničkih usluga u Hrvatskoj. Nadalje, povećat će se dostupnost ljekarni za stanovnike i turiste (tijekom vrhunca sezone), čime će se unaprijediti kvaliteta života i doprinijeti rastu stanovništva na ruralnim, udaljenim i otočnim područjima. </w:t>
      </w:r>
    </w:p>
    <w:p w14:paraId="67CCBFD4" w14:textId="70480F9E" w:rsidR="00733DCA" w:rsidRPr="000520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30. lipnja 2025.</w:t>
      </w:r>
    </w:p>
    <w:p w14:paraId="34E80946" w14:textId="77777777" w:rsidR="00733DCA" w:rsidRPr="00052099"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R1-I2 – Mobilne ambulante</w:t>
      </w:r>
    </w:p>
    <w:p w14:paraId="44B8936D" w14:textId="77777777" w:rsidR="00733DCA" w:rsidRPr="00052099"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Cilj je mjere ugradnja mobilnih ambulanti u sustav primarne zdravstvene zaštite na ruralnim, udaljenim i otočnim područjima, kojim upravlja Ministarstvo zdravstva u suradnji s lokalnim i regionalnim vlastima te domovima zdravlja. Ulaganje uključuje mapiranje potrebnih kapaciteta za dostizanje cilja od 80 % pokrivenosti mobilnim ambulantama primarne zdravstvene zaštite na ruralnim, udaljenim i otočnim područjima. Pored toga, uspostavit će se model ugovaranja radi osiguravanja dugoročne financijske održivosti usluge. Nadalje, u okviru ulaganja razvit će se posebni zdravstveni standardi kojima će se uzeti u obzir ruralne, udaljene i otočne posebnosti i potrebe svih stanovnika tih područja, uključujući starije i manje mobilno stanovništvo. Ministarstvo zdravstva provest će osposobljavanje kako bi se povećali kapaciteti mobilnih timova za pružanje ambulantne primarne zdravstvene zaštite.</w:t>
      </w:r>
    </w:p>
    <w:p w14:paraId="77FCA3FF" w14:textId="49052590" w:rsidR="00733DCA" w:rsidRPr="00F656F1" w:rsidRDefault="00733DCA" w:rsidP="0001477B">
      <w:pPr>
        <w:spacing w:before="120" w:after="120" w:line="240" w:lineRule="auto"/>
        <w:jc w:val="both"/>
        <w:rPr>
          <w:rFonts w:ascii="Times New Roman" w:eastAsia="Calibri" w:hAnsi="Times New Roman" w:cs="Times New Roman"/>
          <w:iCs/>
          <w:noProof/>
          <w:sz w:val="24"/>
        </w:rPr>
      </w:pPr>
      <w:r>
        <w:rPr>
          <w:rFonts w:ascii="Times New Roman" w:hAnsi="Times New Roman"/>
          <w:noProof/>
          <w:sz w:val="24"/>
        </w:rPr>
        <w:t>Mjera će biti dovršena do 31. prosinca 2025.</w:t>
      </w:r>
    </w:p>
    <w:p w14:paraId="322C60F4"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u w:val="single"/>
        </w:rPr>
      </w:pPr>
      <w:r>
        <w:rPr>
          <w:rFonts w:ascii="Times New Roman" w:hAnsi="Times New Roman"/>
          <w:noProof/>
          <w:sz w:val="24"/>
          <w:u w:val="single"/>
        </w:rPr>
        <w:t>Ulaganje C5.1. R1-I3 – Izgradnja i opremanje kliničkih izolacijskih jedinica (3., 4. i 1./5. zgrade) Klinike za infektivne bolesti dr. Fran Mihaljević</w:t>
      </w:r>
    </w:p>
    <w:p w14:paraId="6B903918"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izgraditi moderne kapacitete za Kliniku za infektivne bolesti dr. Fran Mihaljević, primarnu ustanovu zaduženu za predvođenje rada u borbi protiv pandemije bolesti COVID-19, čije su zgrade oštećene u potresima u 2020., od kojih je neke potrebno srušiti. Istovremeno, cilj je postići liječenje zaraznih bolesti s pomoću suvremenih i inovativnih tehnologija kako bi se skratilo vrijeme i smanjili troškovi liječenja te kako bi se pacijentima pružila visokokvalitetna skrb. Radi postizanja cilja i povećanja otpornosti zdravstvenog sustava unutar svoje nadležnosti i potrebne funkcionalnosti, projekt uključuje potrebne mjere zamjene opreme. Nadalje, nova zgrada bit će opremljena modernim alatima za dijagnosticiranje. </w:t>
      </w:r>
    </w:p>
    <w:p w14:paraId="5A10DFF6" w14:textId="61A0E3BE" w:rsidR="00733DCA" w:rsidRPr="00932F3F"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31. ožujka 2026.</w:t>
      </w:r>
    </w:p>
    <w:p w14:paraId="546CD8B3" w14:textId="77777777" w:rsidR="00733DCA" w:rsidRPr="00F656F1" w:rsidRDefault="00733DCA" w:rsidP="0001477B">
      <w:pPr>
        <w:spacing w:before="120" w:after="120" w:line="240" w:lineRule="auto"/>
        <w:ind w:left="850"/>
        <w:jc w:val="both"/>
        <w:rPr>
          <w:rFonts w:ascii="Times New Roman" w:eastAsia="Calibri" w:hAnsi="Times New Roman" w:cs="Times New Roman"/>
          <w:noProof/>
          <w:sz w:val="24"/>
          <w:szCs w:val="24"/>
          <w:u w:val="single"/>
        </w:rPr>
      </w:pPr>
      <w:r>
        <w:rPr>
          <w:rFonts w:ascii="Times New Roman" w:hAnsi="Times New Roman"/>
          <w:noProof/>
          <w:sz w:val="24"/>
          <w:u w:val="single"/>
        </w:rPr>
        <w:t>Ulaganje C5.1. R4-I6 – Zbrinjavanje otpada u KBC-u Zagreb</w:t>
      </w:r>
    </w:p>
    <w:p w14:paraId="6EC2404A"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mjere značajno smanjiti troškove zbrinjavanja i prijevoza medicinskog otpada, povećati higijenske kvalitete, poboljšati sigurnost osoblja te smanjiti masu i volumen obrađenog medicinskog otpada. Doprinijet će i smanjenju štetnih utjecaja na okoliš smanjenjem emisija u okoliš i ublažavanjem rizika koji proizlaze iz prijevoza opasnog otpada. Ulaganjem će se izgraditi, u skladu s načelom nečinjenja bitne štete klimatskim ciljevima, postrojenja za spalionice i podupiru postrojenja za spaljivanje i povezana postrojenja za zbrinjavanje i obradu nereciklabilnog opasnog medicinskog otpada koji je na lokaciji proizvodi KBC Zagreb. Projektom je obuhvaćena izgradnja modernog objekta za gospodarenje medicinskim otpadom koji se sastoji od: </w:t>
      </w:r>
    </w:p>
    <w:p w14:paraId="2D293AFD"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hlađenog skladišta nereciklabilnog opasnog medicinskog otpada usklađenog sa svim propisima za skladištenje te vrste otpada,</w:t>
      </w:r>
    </w:p>
    <w:p w14:paraId="21C8C92A"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linija za manipulaciju nereciklabilnim opasnim medicinskim otpadom, </w:t>
      </w:r>
    </w:p>
    <w:p w14:paraId="2EDA0E26"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linija za energetsku oporabu nereciklabilnog opasnog medicinskog otpada sa sustavom čišćenje dimnih plinova i sustavom kontinuiranog praćenja emisija, </w:t>
      </w:r>
    </w:p>
    <w:p w14:paraId="7E5DA2FD" w14:textId="77777777" w:rsidR="00733DCA" w:rsidRPr="00F656F1" w:rsidRDefault="00733DCA" w:rsidP="00733DCA">
      <w:pPr>
        <w:numPr>
          <w:ilvl w:val="0"/>
          <w:numId w:val="2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suvremenih automatskih linija za pranje kontejnera. </w:t>
      </w:r>
    </w:p>
    <w:p w14:paraId="6942C648" w14:textId="77777777"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(2021/C58/01).</w:t>
      </w:r>
    </w:p>
    <w:p w14:paraId="41BDBA75" w14:textId="3F52BD9D" w:rsidR="00733DCA" w:rsidRPr="00F656F1" w:rsidRDefault="00733DCA"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Mjera će biti dovršena do 31. ožujka 2026.</w:t>
      </w:r>
    </w:p>
    <w:p w14:paraId="26A6EF79" w14:textId="77777777" w:rsidR="00733DCA" w:rsidRDefault="00733DCA" w:rsidP="0001477B">
      <w:pPr>
        <w:spacing w:before="120" w:after="120" w:line="240" w:lineRule="auto"/>
        <w:jc w:val="both"/>
        <w:rPr>
          <w:rFonts w:ascii="Times New Roman" w:eastAsia="Calibri" w:hAnsi="Times New Roman" w:cs="Times New Roman"/>
          <w:iCs/>
          <w:noProof/>
          <w:sz w:val="24"/>
          <w:lang w:val="en-GB"/>
        </w:rPr>
        <w:sectPr w:rsidR="00733DCA" w:rsidSect="0001477B">
          <w:headerReference w:type="even" r:id="rId366"/>
          <w:headerReference w:type="default" r:id="rId367"/>
          <w:footerReference w:type="even" r:id="rId368"/>
          <w:footerReference w:type="default" r:id="rId369"/>
          <w:headerReference w:type="first" r:id="rId370"/>
          <w:footerReference w:type="first" r:id="rId371"/>
          <w:pgSz w:w="12240" w:h="15840"/>
          <w:pgMar w:top="1440" w:right="1440" w:bottom="1440" w:left="1440" w:header="708" w:footer="708" w:gutter="0"/>
          <w:cols w:space="708"/>
          <w:docGrid w:linePitch="360"/>
        </w:sectPr>
      </w:pPr>
    </w:p>
    <w:p w14:paraId="6D3DCE0B" w14:textId="77777777" w:rsidR="00733DCA" w:rsidRPr="00DC0B95" w:rsidRDefault="00733DCA" w:rsidP="0001477B">
      <w:pPr>
        <w:spacing w:after="0" w:line="240" w:lineRule="auto"/>
        <w:jc w:val="both"/>
        <w:textAlignment w:val="baseline"/>
        <w:rPr>
          <w:rFonts w:ascii="Segoe UI" w:eastAsia="Times New Roman" w:hAnsi="Segoe UI" w:cs="Segoe UI"/>
          <w:noProof/>
          <w:sz w:val="18"/>
          <w:szCs w:val="18"/>
        </w:rPr>
      </w:pPr>
      <w:r>
        <w:rPr>
          <w:rFonts w:ascii="Times New Roman" w:hAnsi="Times New Roman"/>
          <w:b/>
          <w:noProof/>
          <w:sz w:val="24"/>
        </w:rPr>
        <w:t xml:space="preserve">X.4. </w:t>
      </w:r>
      <w:r>
        <w:rPr>
          <w:rFonts w:ascii="Calibri" w:hAnsi="Calibri"/>
          <w:noProof/>
          <w:sz w:val="24"/>
        </w:rPr>
        <w:tab/>
      </w:r>
      <w:r>
        <w:rPr>
          <w:rFonts w:ascii="Times New Roman" w:hAnsi="Times New Roman"/>
          <w:b/>
          <w:noProof/>
          <w:sz w:val="24"/>
        </w:rPr>
        <w:t>Ključne etape, ciljne vrijednosti, pokazatelji i vremenski raspored za praćenje i provedbu za zajam </w:t>
      </w:r>
      <w:r>
        <w:rPr>
          <w:rFonts w:ascii="Times New Roman" w:hAnsi="Times New Roman"/>
          <w:noProof/>
          <w:sz w:val="24"/>
        </w:rPr>
        <w:t> </w:t>
      </w:r>
    </w:p>
    <w:p w14:paraId="347C6424" w14:textId="77777777" w:rsidR="00733DCA" w:rsidRDefault="00733DCA" w:rsidP="0001477B">
      <w:pPr>
        <w:spacing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w:t>
      </w:r>
    </w:p>
    <w:tbl>
      <w:tblPr>
        <w:tblW w:w="15156" w:type="dxa"/>
        <w:jc w:val="center"/>
        <w:tblCellMar>
          <w:top w:w="28" w:type="dxa"/>
          <w:left w:w="28" w:type="dxa"/>
          <w:bottom w:w="28" w:type="dxa"/>
          <w:right w:w="28" w:type="dxa"/>
        </w:tblCellMar>
        <w:tblLook w:val="04A0" w:firstRow="1" w:lastRow="0" w:firstColumn="1" w:lastColumn="0" w:noHBand="0" w:noVBand="1"/>
      </w:tblPr>
      <w:tblGrid>
        <w:gridCol w:w="696"/>
        <w:gridCol w:w="726"/>
        <w:gridCol w:w="871"/>
        <w:gridCol w:w="1956"/>
        <w:gridCol w:w="2159"/>
        <w:gridCol w:w="1078"/>
        <w:gridCol w:w="1087"/>
        <w:gridCol w:w="976"/>
        <w:gridCol w:w="545"/>
        <w:gridCol w:w="850"/>
        <w:gridCol w:w="4277"/>
      </w:tblGrid>
      <w:tr w:rsidR="00733DCA" w:rsidRPr="00F656F1" w14:paraId="0C635377" w14:textId="77777777" w:rsidTr="00FF085A">
        <w:trPr>
          <w:trHeight w:val="636"/>
          <w:tblHeader/>
          <w:jc w:val="center"/>
        </w:trPr>
        <w:tc>
          <w:tcPr>
            <w:tcW w:w="6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31A83A2"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72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B38AD6D"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86204B0"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19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435AC8D3"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1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CD72E48"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3141" w:type="dxa"/>
            <w:gridSpan w:val="3"/>
            <w:tcBorders>
              <w:top w:val="single" w:sz="4" w:space="0" w:color="auto"/>
              <w:left w:val="nil"/>
              <w:bottom w:val="single" w:sz="4" w:space="0" w:color="auto"/>
              <w:right w:val="single" w:sz="4" w:space="0" w:color="auto"/>
            </w:tcBorders>
            <w:shd w:val="clear" w:color="auto" w:fill="BDD7EE"/>
            <w:vAlign w:val="center"/>
            <w:hideMark/>
          </w:tcPr>
          <w:p w14:paraId="36173BA6"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395" w:type="dxa"/>
            <w:gridSpan w:val="2"/>
            <w:tcBorders>
              <w:top w:val="single" w:sz="4" w:space="0" w:color="auto"/>
              <w:left w:val="nil"/>
              <w:bottom w:val="single" w:sz="4" w:space="0" w:color="auto"/>
              <w:right w:val="single" w:sz="4" w:space="0" w:color="auto"/>
            </w:tcBorders>
            <w:shd w:val="clear" w:color="auto" w:fill="BDD7EE"/>
            <w:vAlign w:val="center"/>
            <w:hideMark/>
          </w:tcPr>
          <w:p w14:paraId="345831B0"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2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76F35F"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733DCA" w:rsidRPr="00F656F1" w14:paraId="1E0E97F1" w14:textId="77777777" w:rsidTr="00FF085A">
        <w:trPr>
          <w:trHeight w:val="362"/>
          <w:tblHeader/>
          <w:jc w:val="center"/>
        </w:trPr>
        <w:tc>
          <w:tcPr>
            <w:tcW w:w="696" w:type="dxa"/>
            <w:vMerge/>
            <w:tcBorders>
              <w:top w:val="single" w:sz="4" w:space="0" w:color="auto"/>
              <w:left w:val="single" w:sz="4" w:space="0" w:color="auto"/>
              <w:bottom w:val="single" w:sz="4" w:space="0" w:color="000000"/>
              <w:right w:val="single" w:sz="4" w:space="0" w:color="auto"/>
            </w:tcBorders>
            <w:hideMark/>
          </w:tcPr>
          <w:p w14:paraId="5985A870"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726" w:type="dxa"/>
            <w:vMerge/>
            <w:tcBorders>
              <w:top w:val="single" w:sz="4" w:space="0" w:color="auto"/>
              <w:left w:val="single" w:sz="4" w:space="0" w:color="auto"/>
              <w:bottom w:val="single" w:sz="4" w:space="0" w:color="000000"/>
              <w:right w:val="single" w:sz="4" w:space="0" w:color="auto"/>
            </w:tcBorders>
            <w:hideMark/>
          </w:tcPr>
          <w:p w14:paraId="779BB0F8"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806" w:type="dxa"/>
            <w:vMerge/>
            <w:tcBorders>
              <w:top w:val="single" w:sz="4" w:space="0" w:color="auto"/>
              <w:left w:val="single" w:sz="4" w:space="0" w:color="auto"/>
              <w:bottom w:val="single" w:sz="4" w:space="0" w:color="000000"/>
              <w:right w:val="single" w:sz="4" w:space="0" w:color="auto"/>
            </w:tcBorders>
            <w:hideMark/>
          </w:tcPr>
          <w:p w14:paraId="2AE10398" w14:textId="77777777" w:rsidR="00733DCA" w:rsidRPr="00BC0323" w:rsidRDefault="00733DCA">
            <w:pPr>
              <w:spacing w:after="0" w:line="276" w:lineRule="auto"/>
              <w:jc w:val="center"/>
              <w:rPr>
                <w:rFonts w:ascii="Times New Roman" w:eastAsia="Times New Roman" w:hAnsi="Times New Roman" w:cs="Times New Roman"/>
                <w:b/>
                <w:noProof/>
                <w:lang w:eastAsia="en-GB"/>
              </w:rPr>
            </w:pPr>
          </w:p>
        </w:tc>
        <w:tc>
          <w:tcPr>
            <w:tcW w:w="1956" w:type="dxa"/>
            <w:vMerge/>
            <w:tcBorders>
              <w:top w:val="single" w:sz="4" w:space="0" w:color="auto"/>
              <w:left w:val="nil"/>
              <w:bottom w:val="single" w:sz="4" w:space="0" w:color="000000"/>
              <w:right w:val="single" w:sz="4" w:space="0" w:color="auto"/>
            </w:tcBorders>
            <w:hideMark/>
          </w:tcPr>
          <w:p w14:paraId="1553AE78"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2159" w:type="dxa"/>
            <w:vMerge/>
            <w:tcBorders>
              <w:top w:val="single" w:sz="4" w:space="0" w:color="auto"/>
              <w:left w:val="single" w:sz="4" w:space="0" w:color="auto"/>
              <w:bottom w:val="single" w:sz="4" w:space="0" w:color="000000"/>
              <w:right w:val="single" w:sz="4" w:space="0" w:color="auto"/>
            </w:tcBorders>
            <w:hideMark/>
          </w:tcPr>
          <w:p w14:paraId="4658F9AD" w14:textId="77777777" w:rsidR="00733DCA" w:rsidRPr="00BC0323" w:rsidRDefault="00733DCA">
            <w:pPr>
              <w:spacing w:after="0" w:line="276" w:lineRule="auto"/>
              <w:rPr>
                <w:rFonts w:ascii="Times New Roman" w:eastAsia="Times New Roman" w:hAnsi="Times New Roman" w:cs="Times New Roman"/>
                <w:b/>
                <w:noProof/>
                <w:lang w:eastAsia="en-GB"/>
              </w:rPr>
            </w:pPr>
          </w:p>
        </w:tc>
        <w:tc>
          <w:tcPr>
            <w:tcW w:w="1078" w:type="dxa"/>
            <w:tcBorders>
              <w:top w:val="nil"/>
              <w:left w:val="nil"/>
              <w:bottom w:val="single" w:sz="4" w:space="0" w:color="auto"/>
              <w:right w:val="single" w:sz="4" w:space="0" w:color="auto"/>
            </w:tcBorders>
            <w:shd w:val="clear" w:color="auto" w:fill="BDD7EE"/>
            <w:vAlign w:val="center"/>
            <w:hideMark/>
          </w:tcPr>
          <w:p w14:paraId="5E6F31A5"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1087" w:type="dxa"/>
            <w:tcBorders>
              <w:top w:val="nil"/>
              <w:left w:val="nil"/>
              <w:bottom w:val="single" w:sz="4" w:space="0" w:color="auto"/>
              <w:right w:val="single" w:sz="4" w:space="0" w:color="auto"/>
            </w:tcBorders>
            <w:shd w:val="clear" w:color="auto" w:fill="BDD7EE"/>
            <w:vAlign w:val="center"/>
            <w:hideMark/>
          </w:tcPr>
          <w:p w14:paraId="6AD071F0"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976" w:type="dxa"/>
            <w:tcBorders>
              <w:top w:val="nil"/>
              <w:left w:val="nil"/>
              <w:bottom w:val="single" w:sz="4" w:space="0" w:color="auto"/>
              <w:right w:val="single" w:sz="4" w:space="0" w:color="auto"/>
            </w:tcBorders>
            <w:shd w:val="clear" w:color="auto" w:fill="BDD7EE"/>
            <w:vAlign w:val="center"/>
            <w:hideMark/>
          </w:tcPr>
          <w:p w14:paraId="59AFECB6"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45" w:type="dxa"/>
            <w:tcBorders>
              <w:top w:val="nil"/>
              <w:left w:val="nil"/>
              <w:bottom w:val="single" w:sz="4" w:space="0" w:color="auto"/>
              <w:right w:val="single" w:sz="4" w:space="0" w:color="auto"/>
            </w:tcBorders>
            <w:shd w:val="clear" w:color="auto" w:fill="BDD7EE"/>
            <w:vAlign w:val="center"/>
            <w:hideMark/>
          </w:tcPr>
          <w:p w14:paraId="4D18EAF1"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850" w:type="dxa"/>
            <w:tcBorders>
              <w:top w:val="nil"/>
              <w:left w:val="nil"/>
              <w:bottom w:val="single" w:sz="4" w:space="0" w:color="auto"/>
              <w:right w:val="single" w:sz="4" w:space="0" w:color="auto"/>
            </w:tcBorders>
            <w:shd w:val="clear" w:color="auto" w:fill="BDD7EE"/>
            <w:vAlign w:val="center"/>
            <w:hideMark/>
          </w:tcPr>
          <w:p w14:paraId="4FF9FDCF" w14:textId="77777777" w:rsidR="00733DCA" w:rsidRPr="00F656F1" w:rsidRDefault="00733DCA">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277" w:type="dxa"/>
            <w:vMerge/>
            <w:tcBorders>
              <w:top w:val="single" w:sz="4" w:space="0" w:color="auto"/>
              <w:left w:val="single" w:sz="4" w:space="0" w:color="auto"/>
              <w:bottom w:val="single" w:sz="4" w:space="0" w:color="auto"/>
              <w:right w:val="single" w:sz="4" w:space="0" w:color="auto"/>
            </w:tcBorders>
            <w:hideMark/>
          </w:tcPr>
          <w:p w14:paraId="448ADB5F" w14:textId="77777777" w:rsidR="00733DCA" w:rsidRPr="00F656F1" w:rsidRDefault="00733DCA">
            <w:pPr>
              <w:spacing w:after="0" w:line="276" w:lineRule="auto"/>
              <w:rPr>
                <w:rFonts w:ascii="Times New Roman" w:eastAsia="Times New Roman" w:hAnsi="Times New Roman" w:cs="Times New Roman"/>
                <w:b/>
                <w:noProof/>
                <w:lang w:val="en-GB" w:eastAsia="en-GB"/>
              </w:rPr>
            </w:pPr>
          </w:p>
        </w:tc>
      </w:tr>
      <w:tr w:rsidR="00525BF2" w:rsidRPr="00F656F1" w14:paraId="78043DC7" w14:textId="77777777" w:rsidTr="00FF085A">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30E7B685"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320</w:t>
            </w:r>
          </w:p>
        </w:tc>
        <w:tc>
          <w:tcPr>
            <w:tcW w:w="726" w:type="dxa"/>
            <w:tcBorders>
              <w:top w:val="nil"/>
              <w:left w:val="nil"/>
              <w:bottom w:val="single" w:sz="4" w:space="0" w:color="auto"/>
              <w:right w:val="single" w:sz="4" w:space="0" w:color="auto"/>
            </w:tcBorders>
            <w:shd w:val="clear" w:color="auto" w:fill="C6EFCE"/>
            <w:noWrap/>
          </w:tcPr>
          <w:p w14:paraId="4451C81C"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R1-I1</w:t>
            </w:r>
          </w:p>
        </w:tc>
        <w:tc>
          <w:tcPr>
            <w:tcW w:w="806" w:type="dxa"/>
            <w:tcBorders>
              <w:top w:val="nil"/>
              <w:left w:val="nil"/>
              <w:bottom w:val="single" w:sz="4" w:space="0" w:color="auto"/>
              <w:right w:val="single" w:sz="4" w:space="0" w:color="auto"/>
            </w:tcBorders>
            <w:shd w:val="clear" w:color="auto" w:fill="C6EFCE"/>
            <w:noWrap/>
          </w:tcPr>
          <w:p w14:paraId="1076B211"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56" w:type="dxa"/>
            <w:tcBorders>
              <w:top w:val="nil"/>
              <w:left w:val="nil"/>
              <w:bottom w:val="single" w:sz="4" w:space="0" w:color="auto"/>
              <w:right w:val="single" w:sz="4" w:space="0" w:color="auto"/>
            </w:tcBorders>
            <w:shd w:val="clear" w:color="auto" w:fill="C6EFCE"/>
            <w:noWrap/>
          </w:tcPr>
          <w:p w14:paraId="3499EC20" w14:textId="77777777" w:rsidR="00733DCA" w:rsidRPr="00F656F1"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Pristup ljekarničkoj skrbi i lijekovima </w:t>
            </w:r>
          </w:p>
        </w:tc>
        <w:tc>
          <w:tcPr>
            <w:tcW w:w="2159" w:type="dxa"/>
            <w:tcBorders>
              <w:top w:val="nil"/>
              <w:left w:val="nil"/>
              <w:bottom w:val="single" w:sz="4" w:space="0" w:color="auto"/>
              <w:right w:val="single" w:sz="4" w:space="0" w:color="auto"/>
            </w:tcBorders>
            <w:shd w:val="clear" w:color="auto" w:fill="C6EFCE"/>
            <w:noWrap/>
          </w:tcPr>
          <w:p w14:paraId="10045913" w14:textId="77777777" w:rsidR="00733DCA" w:rsidRPr="00F656F1"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8" w:type="dxa"/>
            <w:tcBorders>
              <w:top w:val="nil"/>
              <w:left w:val="nil"/>
              <w:bottom w:val="single" w:sz="4" w:space="0" w:color="auto"/>
              <w:right w:val="single" w:sz="4" w:space="0" w:color="auto"/>
            </w:tcBorders>
            <w:shd w:val="clear" w:color="auto" w:fill="C6EFCE"/>
            <w:noWrap/>
          </w:tcPr>
          <w:p w14:paraId="11D9F264"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nil"/>
              <w:left w:val="nil"/>
              <w:bottom w:val="single" w:sz="4" w:space="0" w:color="auto"/>
              <w:right w:val="single" w:sz="4" w:space="0" w:color="auto"/>
            </w:tcBorders>
            <w:shd w:val="clear" w:color="auto" w:fill="C6EFCE"/>
            <w:noWrap/>
          </w:tcPr>
          <w:p w14:paraId="71349A8D"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nil"/>
              <w:left w:val="nil"/>
              <w:bottom w:val="single" w:sz="4" w:space="0" w:color="auto"/>
              <w:right w:val="single" w:sz="4" w:space="0" w:color="auto"/>
            </w:tcBorders>
            <w:shd w:val="clear" w:color="auto" w:fill="C6EFCE"/>
            <w:noWrap/>
          </w:tcPr>
          <w:p w14:paraId="0A1A0438" w14:textId="77777777" w:rsidR="00733DCA" w:rsidRPr="00052099"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w:t>
            </w:r>
          </w:p>
        </w:tc>
        <w:tc>
          <w:tcPr>
            <w:tcW w:w="545" w:type="dxa"/>
            <w:tcBorders>
              <w:top w:val="nil"/>
              <w:left w:val="nil"/>
              <w:bottom w:val="single" w:sz="4" w:space="0" w:color="auto"/>
              <w:right w:val="single" w:sz="4" w:space="0" w:color="auto"/>
            </w:tcBorders>
            <w:shd w:val="clear" w:color="auto" w:fill="C6EFCE"/>
            <w:noWrap/>
          </w:tcPr>
          <w:p w14:paraId="23208886" w14:textId="1292C8BB" w:rsidR="00733DCA" w:rsidRPr="00052099"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50" w:type="dxa"/>
            <w:tcBorders>
              <w:top w:val="nil"/>
              <w:left w:val="nil"/>
              <w:bottom w:val="single" w:sz="4" w:space="0" w:color="auto"/>
              <w:right w:val="single" w:sz="4" w:space="0" w:color="auto"/>
            </w:tcBorders>
            <w:shd w:val="clear" w:color="auto" w:fill="C6EFCE"/>
            <w:noWrap/>
          </w:tcPr>
          <w:p w14:paraId="32224EA7" w14:textId="25A082E0" w:rsidR="00733DCA" w:rsidRPr="00052099"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277" w:type="dxa"/>
            <w:tcBorders>
              <w:top w:val="nil"/>
              <w:left w:val="nil"/>
              <w:bottom w:val="single" w:sz="4" w:space="0" w:color="auto"/>
              <w:right w:val="single" w:sz="4" w:space="0" w:color="auto"/>
            </w:tcBorders>
            <w:shd w:val="clear" w:color="auto" w:fill="C6EFCE"/>
            <w:noWrap/>
          </w:tcPr>
          <w:p w14:paraId="69302B91" w14:textId="1D90619C" w:rsidR="00733DCA" w:rsidRPr="00052099"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Osigurat će se dostupnost zdravstvene zaštite svim stanovnicima i turistima na cijelom državnom području Hrvatske, a tijekom turističke sezone osigurat će se usluge i u mjestima i na otocima koji nemaju ljekarne, a ni ljekarnički depo jer ne ispunjuju uvjete u pogledu udaljenosti od druge ljekarne ili broja stanovnika, odnosno neisplativosti svakodnevnog rada istih na tom području. Kako bi se ostvarila ta ciljna vrijednost, treba se isporučiti najmanje šest mobilnih ljekarni-kamper vozila i najmanje dvije ljekarne-brodice.</w:t>
            </w:r>
          </w:p>
        </w:tc>
      </w:tr>
      <w:tr w:rsidR="00525BF2" w:rsidRPr="00F656F1" w14:paraId="04EA9A02" w14:textId="77777777" w:rsidTr="00FF085A">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55C2EEE8"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321</w:t>
            </w:r>
          </w:p>
        </w:tc>
        <w:tc>
          <w:tcPr>
            <w:tcW w:w="726" w:type="dxa"/>
            <w:tcBorders>
              <w:top w:val="nil"/>
              <w:left w:val="nil"/>
              <w:bottom w:val="single" w:sz="4" w:space="0" w:color="auto"/>
              <w:right w:val="single" w:sz="4" w:space="0" w:color="auto"/>
            </w:tcBorders>
            <w:shd w:val="clear" w:color="auto" w:fill="C6EFCE"/>
            <w:noWrap/>
          </w:tcPr>
          <w:p w14:paraId="32541E9D"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R1-I2</w:t>
            </w:r>
          </w:p>
        </w:tc>
        <w:tc>
          <w:tcPr>
            <w:tcW w:w="806" w:type="dxa"/>
            <w:tcBorders>
              <w:top w:val="nil"/>
              <w:left w:val="nil"/>
              <w:bottom w:val="single" w:sz="4" w:space="0" w:color="auto"/>
              <w:right w:val="single" w:sz="4" w:space="0" w:color="auto"/>
            </w:tcBorders>
            <w:shd w:val="clear" w:color="auto" w:fill="C6EFCE"/>
            <w:noWrap/>
          </w:tcPr>
          <w:p w14:paraId="602728D4"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56" w:type="dxa"/>
            <w:tcBorders>
              <w:top w:val="nil"/>
              <w:left w:val="nil"/>
              <w:bottom w:val="single" w:sz="4" w:space="0" w:color="auto"/>
              <w:right w:val="single" w:sz="4" w:space="0" w:color="auto"/>
            </w:tcBorders>
            <w:shd w:val="clear" w:color="auto" w:fill="C6EFCE"/>
            <w:noWrap/>
          </w:tcPr>
          <w:p w14:paraId="595624E8" w14:textId="77777777" w:rsidR="00733DCA" w:rsidRPr="00F656F1"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Pružanje ambulantne izvanbolničke primarne zdravstvene zaštite </w:t>
            </w:r>
          </w:p>
        </w:tc>
        <w:tc>
          <w:tcPr>
            <w:tcW w:w="2159" w:type="dxa"/>
            <w:tcBorders>
              <w:top w:val="nil"/>
              <w:left w:val="nil"/>
              <w:bottom w:val="single" w:sz="4" w:space="0" w:color="auto"/>
              <w:right w:val="single" w:sz="4" w:space="0" w:color="auto"/>
            </w:tcBorders>
            <w:shd w:val="clear" w:color="auto" w:fill="C6EFCE"/>
            <w:noWrap/>
          </w:tcPr>
          <w:p w14:paraId="58D2B497" w14:textId="77777777" w:rsidR="00733DCA" w:rsidRPr="00F656F1"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8" w:type="dxa"/>
            <w:tcBorders>
              <w:top w:val="nil"/>
              <w:left w:val="nil"/>
              <w:bottom w:val="single" w:sz="4" w:space="0" w:color="auto"/>
              <w:right w:val="single" w:sz="4" w:space="0" w:color="auto"/>
            </w:tcBorders>
            <w:shd w:val="clear" w:color="auto" w:fill="C6EFCE"/>
            <w:noWrap/>
          </w:tcPr>
          <w:p w14:paraId="2666FCAB" w14:textId="6F60CCCB" w:rsidR="00733DCA" w:rsidRPr="00052099"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nil"/>
              <w:left w:val="nil"/>
              <w:bottom w:val="single" w:sz="4" w:space="0" w:color="auto"/>
              <w:right w:val="single" w:sz="4" w:space="0" w:color="auto"/>
            </w:tcBorders>
            <w:shd w:val="clear" w:color="auto" w:fill="C6EFCE"/>
            <w:noWrap/>
          </w:tcPr>
          <w:p w14:paraId="57F7F09B" w14:textId="77777777" w:rsidR="00733DCA" w:rsidRPr="00052099"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nil"/>
              <w:left w:val="nil"/>
              <w:bottom w:val="single" w:sz="4" w:space="0" w:color="auto"/>
              <w:right w:val="single" w:sz="4" w:space="0" w:color="auto"/>
            </w:tcBorders>
            <w:shd w:val="clear" w:color="auto" w:fill="C6EFCE"/>
            <w:noWrap/>
          </w:tcPr>
          <w:p w14:paraId="001DF630" w14:textId="0060F609" w:rsidR="00733DCA" w:rsidRPr="00052099" w:rsidRDefault="00733DCA" w:rsidP="00052099">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33</w:t>
            </w:r>
          </w:p>
          <w:p w14:paraId="187A3F9E" w14:textId="77777777" w:rsidR="00733DCA" w:rsidRPr="00052099" w:rsidRDefault="00733DCA">
            <w:pPr>
              <w:spacing w:after="200" w:line="276" w:lineRule="auto"/>
              <w:rPr>
                <w:rFonts w:ascii="Times New Roman" w:eastAsia="Calibri" w:hAnsi="Times New Roman" w:cs="Times New Roman"/>
                <w:noProof/>
                <w:sz w:val="20"/>
                <w:szCs w:val="20"/>
                <w:lang w:val="en-GB"/>
              </w:rPr>
            </w:pPr>
          </w:p>
        </w:tc>
        <w:tc>
          <w:tcPr>
            <w:tcW w:w="545" w:type="dxa"/>
            <w:tcBorders>
              <w:top w:val="nil"/>
              <w:left w:val="nil"/>
              <w:bottom w:val="single" w:sz="4" w:space="0" w:color="auto"/>
              <w:right w:val="single" w:sz="4" w:space="0" w:color="auto"/>
            </w:tcBorders>
            <w:shd w:val="clear" w:color="auto" w:fill="C6EFCE"/>
            <w:noWrap/>
          </w:tcPr>
          <w:p w14:paraId="24E76260" w14:textId="5F7A8803" w:rsidR="00733DCA" w:rsidRPr="00052099"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850" w:type="dxa"/>
            <w:tcBorders>
              <w:top w:val="nil"/>
              <w:left w:val="nil"/>
              <w:bottom w:val="single" w:sz="4" w:space="0" w:color="auto"/>
              <w:right w:val="single" w:sz="4" w:space="0" w:color="auto"/>
            </w:tcBorders>
            <w:shd w:val="clear" w:color="auto" w:fill="C6EFCE"/>
            <w:noWrap/>
          </w:tcPr>
          <w:p w14:paraId="5BB5B3C7" w14:textId="77777777" w:rsidR="00733DCA" w:rsidRPr="00052099"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277" w:type="dxa"/>
            <w:tcBorders>
              <w:top w:val="nil"/>
              <w:left w:val="nil"/>
              <w:bottom w:val="single" w:sz="4" w:space="0" w:color="auto"/>
              <w:right w:val="single" w:sz="4" w:space="0" w:color="auto"/>
            </w:tcBorders>
            <w:shd w:val="clear" w:color="auto" w:fill="C6EFCE"/>
            <w:noWrap/>
          </w:tcPr>
          <w:p w14:paraId="64BEC078" w14:textId="77777777" w:rsidR="00733DCA" w:rsidRPr="00052099"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Na osnovu postavljenog pravnog okvira Ministarstvo zdravstva će u suradnji sa županijama i domovima zdravlja uspostaviti sustav mobilnih ambulanti (33 ambulantna vozila za primarnu zdravstvenu zaštitu) u 80 % ruralnih i udaljenih područja te na otocima. U suradnji i koordinaciji s ravnateljem doma zdravlja, liječnik i medicinska sestra će s potrebnom medicinskom i tehničkom opremom za ordinaciju obiteljske medicine obilaziti mala udaljena mjesta na području doma zdravlja u kojima usluga nije dostupna te pregledavati pacijente, ordinirati terapiju, izdavati uputnice i recepte te obavljati i kućne posjete nepokretnim bolesnicima. Broj vozila odredit će se nakon analize mapiranja kapaciteta potrebnog za postizanje cilja.</w:t>
            </w:r>
          </w:p>
        </w:tc>
      </w:tr>
      <w:tr w:rsidR="00525BF2" w:rsidRPr="00F656F1" w14:paraId="55ABD75E" w14:textId="77777777" w:rsidTr="00FF085A">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3722ED1C"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322</w:t>
            </w:r>
          </w:p>
        </w:tc>
        <w:tc>
          <w:tcPr>
            <w:tcW w:w="726" w:type="dxa"/>
            <w:tcBorders>
              <w:top w:val="nil"/>
              <w:left w:val="nil"/>
              <w:bottom w:val="single" w:sz="4" w:space="0" w:color="auto"/>
              <w:right w:val="single" w:sz="4" w:space="0" w:color="auto"/>
            </w:tcBorders>
            <w:shd w:val="clear" w:color="auto" w:fill="C6EFCE"/>
            <w:noWrap/>
          </w:tcPr>
          <w:p w14:paraId="51EF0F5B"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C5.1. R1-I3</w:t>
            </w:r>
          </w:p>
        </w:tc>
        <w:tc>
          <w:tcPr>
            <w:tcW w:w="806" w:type="dxa"/>
            <w:tcBorders>
              <w:top w:val="nil"/>
              <w:left w:val="nil"/>
              <w:bottom w:val="single" w:sz="4" w:space="0" w:color="auto"/>
              <w:right w:val="single" w:sz="4" w:space="0" w:color="auto"/>
            </w:tcBorders>
            <w:shd w:val="clear" w:color="auto" w:fill="C6EFCE"/>
            <w:noWrap/>
          </w:tcPr>
          <w:p w14:paraId="5B2CFB23"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1956" w:type="dxa"/>
            <w:tcBorders>
              <w:top w:val="nil"/>
              <w:left w:val="nil"/>
              <w:bottom w:val="single" w:sz="4" w:space="0" w:color="auto"/>
              <w:right w:val="single" w:sz="4" w:space="0" w:color="auto"/>
            </w:tcBorders>
            <w:shd w:val="clear" w:color="auto" w:fill="C6EFCE"/>
            <w:noWrap/>
          </w:tcPr>
          <w:p w14:paraId="67AB48D3" w14:textId="77777777" w:rsidR="00733DCA" w:rsidRPr="00F656F1"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Nova zgrada u kompleksu Klinike za infektivne bolesti dr. Fran Mihaljević </w:t>
            </w:r>
          </w:p>
        </w:tc>
        <w:tc>
          <w:tcPr>
            <w:tcW w:w="2159" w:type="dxa"/>
            <w:tcBorders>
              <w:top w:val="nil"/>
              <w:left w:val="nil"/>
              <w:bottom w:val="single" w:sz="4" w:space="0" w:color="auto"/>
              <w:right w:val="single" w:sz="4" w:space="0" w:color="auto"/>
            </w:tcBorders>
            <w:shd w:val="clear" w:color="auto" w:fill="C6EFCE"/>
            <w:noWrap/>
          </w:tcPr>
          <w:p w14:paraId="3115C20F" w14:textId="77777777" w:rsidR="00733DCA" w:rsidRPr="00F656F1" w:rsidRDefault="00733DCA">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78" w:type="dxa"/>
            <w:tcBorders>
              <w:top w:val="nil"/>
              <w:left w:val="nil"/>
              <w:bottom w:val="single" w:sz="4" w:space="0" w:color="auto"/>
              <w:right w:val="single" w:sz="4" w:space="0" w:color="auto"/>
            </w:tcBorders>
            <w:shd w:val="clear" w:color="auto" w:fill="C6EFCE"/>
            <w:noWrap/>
          </w:tcPr>
          <w:p w14:paraId="2AC29982"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1087" w:type="dxa"/>
            <w:tcBorders>
              <w:top w:val="nil"/>
              <w:left w:val="nil"/>
              <w:bottom w:val="single" w:sz="4" w:space="0" w:color="auto"/>
              <w:right w:val="single" w:sz="4" w:space="0" w:color="auto"/>
            </w:tcBorders>
            <w:shd w:val="clear" w:color="auto" w:fill="C6EFCE"/>
            <w:noWrap/>
          </w:tcPr>
          <w:p w14:paraId="0687E4D3"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976" w:type="dxa"/>
            <w:tcBorders>
              <w:top w:val="nil"/>
              <w:left w:val="nil"/>
              <w:bottom w:val="single" w:sz="4" w:space="0" w:color="auto"/>
              <w:right w:val="single" w:sz="4" w:space="0" w:color="auto"/>
            </w:tcBorders>
            <w:shd w:val="clear" w:color="auto" w:fill="C6EFCE"/>
            <w:noWrap/>
          </w:tcPr>
          <w:p w14:paraId="266228E7"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545" w:type="dxa"/>
            <w:tcBorders>
              <w:top w:val="nil"/>
              <w:left w:val="nil"/>
              <w:bottom w:val="single" w:sz="4" w:space="0" w:color="auto"/>
              <w:right w:val="single" w:sz="4" w:space="0" w:color="auto"/>
            </w:tcBorders>
            <w:shd w:val="clear" w:color="auto" w:fill="C6EFCE"/>
            <w:noWrap/>
          </w:tcPr>
          <w:p w14:paraId="1EC7ECE1"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850" w:type="dxa"/>
            <w:tcBorders>
              <w:top w:val="nil"/>
              <w:left w:val="nil"/>
              <w:bottom w:val="single" w:sz="4" w:space="0" w:color="auto"/>
              <w:right w:val="single" w:sz="4" w:space="0" w:color="auto"/>
            </w:tcBorders>
            <w:shd w:val="clear" w:color="auto" w:fill="C6EFCE"/>
            <w:noWrap/>
          </w:tcPr>
          <w:p w14:paraId="76D727BC" w14:textId="77777777" w:rsidR="00733DCA" w:rsidRPr="00F656F1" w:rsidRDefault="00733DCA">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277" w:type="dxa"/>
            <w:tcBorders>
              <w:top w:val="nil"/>
              <w:left w:val="nil"/>
              <w:bottom w:val="single" w:sz="4" w:space="0" w:color="auto"/>
              <w:right w:val="single" w:sz="4" w:space="0" w:color="auto"/>
            </w:tcBorders>
            <w:shd w:val="clear" w:color="auto" w:fill="C6EFCE"/>
            <w:noWrap/>
          </w:tcPr>
          <w:p w14:paraId="371C59BF" w14:textId="5D78C128" w:rsidR="00733DCA" w:rsidRPr="00F656F1" w:rsidRDefault="00733DCA">
            <w:pPr>
              <w:spacing w:after="240" w:line="276" w:lineRule="auto"/>
              <w:rPr>
                <w:rFonts w:ascii="Times New Roman" w:eastAsia="Calibri" w:hAnsi="Times New Roman" w:cs="Times New Roman"/>
                <w:noProof/>
                <w:sz w:val="20"/>
                <w:szCs w:val="20"/>
              </w:rPr>
            </w:pPr>
            <w:r>
              <w:rPr>
                <w:rFonts w:ascii="Calibri" w:hAnsi="Calibri"/>
                <w:noProof/>
                <w:color w:val="000000"/>
                <w:sz w:val="20"/>
              </w:rPr>
              <w:t>Projekt obuhvaća rušenje postojećih zgrada (3., 4. i 1./5.) te izgradnju novog dijela kompleksa s podrumskom etažom, prizemljem i tri nove etaže. Sve nove gradnje moraju biti barem gotovo nulte energetske zgrade u skladu s Direktivom o energetskim svojstvima zgrada, dok se rekonstrukcijom postojećih zgrada mora postići u prosjeku barem obnova srednje dubine, kako je definirano u Preporuci Komisije o obnovi zgrada ili postići u prosjeku najmanje 30 % smanjenja izravne i neizravne emisije stakleničkih plinova u odnosu na emisije prije obnove. U svim zgradama posebnu pozornost treba posvetiti osiguravanju zdravih unutarnjih klimatskih uvjeta, protupožarnoj zaštiti i otklanjanju rizika povezanih s povećanom seizmološkom aktivnošću.</w:t>
            </w:r>
          </w:p>
        </w:tc>
      </w:tr>
      <w:tr w:rsidR="00525BF2" w:rsidRPr="00F656F1" w14:paraId="664FF771" w14:textId="77777777" w:rsidTr="00FF085A">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3C7208F7" w14:textId="77777777" w:rsidR="00733DCA" w:rsidRPr="009F3BE8" w:rsidRDefault="00733DCA">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345</w:t>
            </w:r>
          </w:p>
        </w:tc>
        <w:tc>
          <w:tcPr>
            <w:tcW w:w="726" w:type="dxa"/>
            <w:tcBorders>
              <w:top w:val="nil"/>
              <w:left w:val="nil"/>
              <w:bottom w:val="single" w:sz="4" w:space="0" w:color="auto"/>
              <w:right w:val="single" w:sz="4" w:space="0" w:color="auto"/>
            </w:tcBorders>
            <w:shd w:val="clear" w:color="auto" w:fill="C6EFCE"/>
            <w:noWrap/>
          </w:tcPr>
          <w:p w14:paraId="7DCEC112" w14:textId="77777777" w:rsidR="00733DCA" w:rsidRPr="009F3BE8"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C5.1. R4-I6</w:t>
            </w:r>
          </w:p>
        </w:tc>
        <w:tc>
          <w:tcPr>
            <w:tcW w:w="806" w:type="dxa"/>
            <w:tcBorders>
              <w:top w:val="nil"/>
              <w:left w:val="nil"/>
              <w:bottom w:val="single" w:sz="4" w:space="0" w:color="auto"/>
              <w:right w:val="single" w:sz="4" w:space="0" w:color="auto"/>
            </w:tcBorders>
            <w:shd w:val="clear" w:color="auto" w:fill="C6EFCE"/>
            <w:noWrap/>
          </w:tcPr>
          <w:p w14:paraId="7FD1CB78" w14:textId="77777777" w:rsidR="00733DCA" w:rsidRPr="009F3BE8"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w:t>
            </w:r>
          </w:p>
        </w:tc>
        <w:tc>
          <w:tcPr>
            <w:tcW w:w="1956" w:type="dxa"/>
            <w:tcBorders>
              <w:top w:val="nil"/>
              <w:left w:val="nil"/>
              <w:bottom w:val="single" w:sz="4" w:space="0" w:color="auto"/>
              <w:right w:val="single" w:sz="4" w:space="0" w:color="auto"/>
            </w:tcBorders>
            <w:shd w:val="clear" w:color="auto" w:fill="C6EFCE"/>
            <w:noWrap/>
          </w:tcPr>
          <w:p w14:paraId="2E77A538" w14:textId="77777777" w:rsidR="00733DCA" w:rsidRPr="009F3BE8" w:rsidRDefault="00733DCA">
            <w:pPr>
              <w:spacing w:after="200" w:line="276" w:lineRule="auto"/>
              <w:rPr>
                <w:rFonts w:ascii="Calibri" w:eastAsia="Calibri" w:hAnsi="Calibri" w:cs="Arial"/>
                <w:noProof/>
                <w:color w:val="000000"/>
                <w:sz w:val="20"/>
                <w:szCs w:val="20"/>
              </w:rPr>
            </w:pPr>
            <w:r>
              <w:rPr>
                <w:rFonts w:ascii="Calibri" w:hAnsi="Calibri"/>
                <w:noProof/>
                <w:color w:val="000000"/>
                <w:sz w:val="20"/>
              </w:rPr>
              <w:t>Objekt za medicinski otpad u KBC-u Zagreb</w:t>
            </w:r>
          </w:p>
        </w:tc>
        <w:tc>
          <w:tcPr>
            <w:tcW w:w="2159" w:type="dxa"/>
            <w:tcBorders>
              <w:top w:val="nil"/>
              <w:left w:val="nil"/>
              <w:bottom w:val="single" w:sz="4" w:space="0" w:color="auto"/>
              <w:right w:val="single" w:sz="4" w:space="0" w:color="auto"/>
            </w:tcBorders>
            <w:shd w:val="clear" w:color="auto" w:fill="C6EFCE"/>
            <w:noWrap/>
          </w:tcPr>
          <w:p w14:paraId="3F0A1B1A" w14:textId="77777777" w:rsidR="00733DCA" w:rsidRPr="009F3BE8" w:rsidRDefault="00733DCA">
            <w:pPr>
              <w:spacing w:after="200" w:line="276" w:lineRule="auto"/>
              <w:rPr>
                <w:rFonts w:ascii="Calibri" w:eastAsia="Calibri" w:hAnsi="Calibri" w:cs="Arial"/>
                <w:noProof/>
                <w:color w:val="000000"/>
                <w:sz w:val="20"/>
                <w:szCs w:val="20"/>
              </w:rPr>
            </w:pPr>
            <w:r>
              <w:rPr>
                <w:rFonts w:ascii="Calibri" w:hAnsi="Calibri"/>
                <w:noProof/>
                <w:color w:val="000000"/>
                <w:sz w:val="20"/>
              </w:rPr>
              <w:t> </w:t>
            </w:r>
          </w:p>
        </w:tc>
        <w:tc>
          <w:tcPr>
            <w:tcW w:w="1078" w:type="dxa"/>
            <w:tcBorders>
              <w:top w:val="nil"/>
              <w:left w:val="nil"/>
              <w:bottom w:val="single" w:sz="4" w:space="0" w:color="auto"/>
              <w:right w:val="single" w:sz="4" w:space="0" w:color="auto"/>
            </w:tcBorders>
            <w:shd w:val="clear" w:color="auto" w:fill="C6EFCE"/>
            <w:noWrap/>
          </w:tcPr>
          <w:p w14:paraId="01BE9269" w14:textId="77777777" w:rsidR="00733DCA" w:rsidRPr="009F3BE8"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w:t>
            </w:r>
          </w:p>
        </w:tc>
        <w:tc>
          <w:tcPr>
            <w:tcW w:w="1087" w:type="dxa"/>
            <w:tcBorders>
              <w:top w:val="nil"/>
              <w:left w:val="nil"/>
              <w:bottom w:val="single" w:sz="4" w:space="0" w:color="auto"/>
              <w:right w:val="single" w:sz="4" w:space="0" w:color="auto"/>
            </w:tcBorders>
            <w:shd w:val="clear" w:color="auto" w:fill="C6EFCE"/>
            <w:noWrap/>
          </w:tcPr>
          <w:p w14:paraId="07037115" w14:textId="77777777" w:rsidR="00733DCA" w:rsidRPr="009F3BE8"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0</w:t>
            </w:r>
          </w:p>
        </w:tc>
        <w:tc>
          <w:tcPr>
            <w:tcW w:w="976" w:type="dxa"/>
            <w:tcBorders>
              <w:top w:val="nil"/>
              <w:left w:val="nil"/>
              <w:bottom w:val="single" w:sz="4" w:space="0" w:color="auto"/>
              <w:right w:val="single" w:sz="4" w:space="0" w:color="auto"/>
            </w:tcBorders>
            <w:shd w:val="clear" w:color="auto" w:fill="C6EFCE"/>
            <w:noWrap/>
          </w:tcPr>
          <w:p w14:paraId="2A15E92E" w14:textId="77777777" w:rsidR="00733DCA" w:rsidRPr="009F3BE8"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1</w:t>
            </w:r>
          </w:p>
        </w:tc>
        <w:tc>
          <w:tcPr>
            <w:tcW w:w="545" w:type="dxa"/>
            <w:tcBorders>
              <w:top w:val="nil"/>
              <w:left w:val="nil"/>
              <w:bottom w:val="single" w:sz="4" w:space="0" w:color="auto"/>
              <w:right w:val="single" w:sz="4" w:space="0" w:color="auto"/>
            </w:tcBorders>
            <w:shd w:val="clear" w:color="auto" w:fill="C6EFCE"/>
            <w:noWrap/>
          </w:tcPr>
          <w:p w14:paraId="259F5D2C" w14:textId="251DEC64" w:rsidR="00733DCA" w:rsidRPr="00052099"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1.</w:t>
            </w:r>
          </w:p>
        </w:tc>
        <w:tc>
          <w:tcPr>
            <w:tcW w:w="850" w:type="dxa"/>
            <w:tcBorders>
              <w:top w:val="nil"/>
              <w:left w:val="nil"/>
              <w:bottom w:val="single" w:sz="4" w:space="0" w:color="auto"/>
              <w:right w:val="single" w:sz="4" w:space="0" w:color="auto"/>
            </w:tcBorders>
            <w:shd w:val="clear" w:color="auto" w:fill="C6EFCE"/>
            <w:noWrap/>
          </w:tcPr>
          <w:p w14:paraId="6DC638E9" w14:textId="7B4B67DE" w:rsidR="00733DCA" w:rsidRPr="00052099"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w:t>
            </w:r>
          </w:p>
        </w:tc>
        <w:tc>
          <w:tcPr>
            <w:tcW w:w="4277" w:type="dxa"/>
            <w:tcBorders>
              <w:top w:val="nil"/>
              <w:left w:val="nil"/>
              <w:bottom w:val="single" w:sz="4" w:space="0" w:color="auto"/>
              <w:right w:val="single" w:sz="4" w:space="0" w:color="auto"/>
            </w:tcBorders>
            <w:shd w:val="clear" w:color="auto" w:fill="C6EFCE"/>
            <w:noWrap/>
          </w:tcPr>
          <w:p w14:paraId="6882359F" w14:textId="77777777" w:rsidR="00733DCA" w:rsidRPr="00052099" w:rsidRDefault="00733DCA" w:rsidP="0001477B">
            <w:pPr>
              <w:spacing w:after="240" w:line="276" w:lineRule="auto"/>
              <w:rPr>
                <w:rFonts w:ascii="Calibri" w:eastAsia="Calibri" w:hAnsi="Calibri" w:cs="Arial"/>
                <w:noProof/>
                <w:color w:val="000000"/>
                <w:sz w:val="20"/>
                <w:szCs w:val="20"/>
              </w:rPr>
            </w:pPr>
            <w:r>
              <w:rPr>
                <w:rFonts w:ascii="Calibri" w:hAnsi="Calibri"/>
                <w:noProof/>
                <w:color w:val="000000"/>
                <w:sz w:val="20"/>
              </w:rPr>
              <w:t xml:space="preserve">Dovršit će se objekt za gospodarenje medicinskim otpadom samo za spaljivanje nereciklabilnog opasnog otpada koji nastane u KBC-u Zagreb. Taj projekt obuhvaća izgradnju suvremenog objekta za gospodarenje medicinskim otpadom koji se sastoji od: </w:t>
            </w:r>
            <w:r>
              <w:rPr>
                <w:rFonts w:ascii="Calibri" w:hAnsi="Calibri"/>
                <w:noProof/>
                <w:color w:val="000000"/>
                <w:sz w:val="20"/>
              </w:rPr>
              <w:br/>
              <w:t>– hlađenog skladišta nereciklabilnog opasnog medicinskog otpada usklađenog sa svim propisima za skladištenje te vrste otpada,</w:t>
            </w:r>
            <w:r>
              <w:rPr>
                <w:rFonts w:ascii="Calibri" w:hAnsi="Calibri"/>
                <w:noProof/>
                <w:color w:val="000000"/>
                <w:sz w:val="20"/>
              </w:rPr>
              <w:br/>
              <w:t xml:space="preserve">– linija za manipulaciju nereciklabilnim opasnim medicinskim otpadom, </w:t>
            </w:r>
            <w:r>
              <w:rPr>
                <w:rFonts w:ascii="Calibri" w:hAnsi="Calibri"/>
                <w:noProof/>
                <w:color w:val="000000"/>
                <w:sz w:val="20"/>
              </w:rPr>
              <w:br/>
              <w:t xml:space="preserve">– linija za energetsku oporabu nereciklabilnog opasnog medicinskog otpada sa sustavom čišćenje dimnih plinova i sustavom kontinuiranog praćenja emisija,  </w:t>
            </w:r>
            <w:r>
              <w:rPr>
                <w:rFonts w:ascii="Calibri" w:hAnsi="Calibri"/>
                <w:noProof/>
                <w:color w:val="000000"/>
                <w:sz w:val="20"/>
              </w:rPr>
              <w:br/>
              <w:t xml:space="preserve">– suvremenih automatskih linija za pranje kontejnera. </w:t>
            </w:r>
          </w:p>
        </w:tc>
      </w:tr>
    </w:tbl>
    <w:p w14:paraId="24D48C5C" w14:textId="71EDADE4" w:rsidR="00733DCA" w:rsidRPr="00DC0B95" w:rsidRDefault="00733DCA" w:rsidP="0001477B">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sz w:val="24"/>
        </w:rPr>
        <w:t> </w:t>
      </w:r>
    </w:p>
    <w:p w14:paraId="091964E4" w14:textId="77777777" w:rsidR="00733DCA" w:rsidRPr="00BC0323" w:rsidRDefault="00733DCA" w:rsidP="0001477B">
      <w:pPr>
        <w:spacing w:before="120" w:after="120" w:line="240" w:lineRule="auto"/>
        <w:jc w:val="both"/>
        <w:rPr>
          <w:rFonts w:ascii="Times New Roman" w:eastAsia="Calibri" w:hAnsi="Times New Roman" w:cs="Times New Roman"/>
          <w:iCs/>
          <w:noProof/>
          <w:sz w:val="24"/>
        </w:rPr>
      </w:pPr>
    </w:p>
    <w:p w14:paraId="2E402C89" w14:textId="77777777" w:rsidR="00733DCA" w:rsidRPr="00BC0323" w:rsidRDefault="00733DCA" w:rsidP="0001477B">
      <w:pPr>
        <w:spacing w:before="120" w:after="120" w:line="240" w:lineRule="auto"/>
        <w:jc w:val="both"/>
        <w:rPr>
          <w:rFonts w:ascii="Times New Roman" w:eastAsia="Calibri" w:hAnsi="Times New Roman" w:cs="Times New Roman"/>
          <w:iCs/>
          <w:noProof/>
          <w:sz w:val="24"/>
        </w:rPr>
      </w:pPr>
    </w:p>
    <w:p w14:paraId="6EF955F7" w14:textId="77777777" w:rsidR="00733DCA" w:rsidRPr="00BC0323" w:rsidRDefault="00733DCA" w:rsidP="0001477B">
      <w:pPr>
        <w:rPr>
          <w:noProof/>
        </w:rPr>
      </w:pPr>
    </w:p>
    <w:p w14:paraId="0383018B" w14:textId="77777777" w:rsidR="00932F3F" w:rsidRPr="00BC0323" w:rsidRDefault="00932F3F" w:rsidP="0001477B">
      <w:pPr>
        <w:keepNext/>
        <w:tabs>
          <w:tab w:val="left" w:pos="850"/>
        </w:tabs>
        <w:spacing w:after="200" w:line="276" w:lineRule="auto"/>
        <w:ind w:left="850" w:hanging="850"/>
        <w:jc w:val="both"/>
        <w:outlineLvl w:val="0"/>
        <w:rPr>
          <w:rFonts w:ascii="Times New Roman" w:eastAsia="Calibri" w:hAnsi="Times New Roman" w:cs="Times New Roman"/>
          <w:b/>
          <w:smallCaps/>
          <w:noProof/>
          <w:sz w:val="24"/>
          <w:szCs w:val="24"/>
        </w:rPr>
        <w:sectPr w:rsidR="00932F3F" w:rsidRPr="00BC0323" w:rsidSect="0001477B">
          <w:headerReference w:type="even" r:id="rId372"/>
          <w:headerReference w:type="default" r:id="rId373"/>
          <w:footerReference w:type="even" r:id="rId374"/>
          <w:footerReference w:type="default" r:id="rId375"/>
          <w:headerReference w:type="first" r:id="rId376"/>
          <w:footerReference w:type="first" r:id="rId377"/>
          <w:pgSz w:w="15840" w:h="12240" w:orient="landscape"/>
          <w:pgMar w:top="1440" w:right="1440" w:bottom="1440" w:left="1440" w:header="708" w:footer="708" w:gutter="0"/>
          <w:cols w:space="708"/>
          <w:docGrid w:linePitch="360"/>
        </w:sectPr>
      </w:pPr>
    </w:p>
    <w:p w14:paraId="2D3AF0E5" w14:textId="77777777" w:rsidR="00733DCA" w:rsidRPr="004419A5" w:rsidRDefault="00733DCA" w:rsidP="00932F3F">
      <w:pPr>
        <w:keepNext/>
        <w:tabs>
          <w:tab w:val="left" w:pos="284"/>
        </w:tabs>
        <w:spacing w:after="200" w:line="276" w:lineRule="auto"/>
        <w:ind w:left="850" w:firstLine="1"/>
        <w:jc w:val="both"/>
        <w:outlineLvl w:val="0"/>
        <w:rPr>
          <w:rFonts w:ascii="Calibri" w:eastAsia="Calibri" w:hAnsi="Calibri" w:cs="Arial"/>
          <w:noProof/>
        </w:rPr>
      </w:pPr>
      <w:r>
        <w:rPr>
          <w:rFonts w:ascii="Times New Roman" w:hAnsi="Times New Roman"/>
          <w:b/>
          <w:smallCaps/>
          <w:noProof/>
          <w:sz w:val="24"/>
        </w:rPr>
        <w:t>V. INICIJATIVA 6.1.: OBNOVA ZGRADA</w:t>
      </w:r>
    </w:p>
    <w:p w14:paraId="4938520A"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Postojeći fond zgrada u Hrvatskoj razmjerno je star, a stopa energetske obnove zgrada u razdoblju 2014.–2020. iznosila je samo 0,7 %. Stare i energetski neučinkovite zgrade odgovorne su za 40 % potrošnje energije i 36 % emisija CO</w:t>
      </w:r>
      <w:r>
        <w:rPr>
          <w:rFonts w:ascii="Times New Roman" w:hAnsi="Times New Roman"/>
          <w:noProof/>
          <w:sz w:val="24"/>
          <w:vertAlign w:val="superscript"/>
        </w:rPr>
        <w:t>2</w:t>
      </w:r>
      <w:r>
        <w:rPr>
          <w:rFonts w:ascii="Times New Roman" w:hAnsi="Times New Roman"/>
          <w:noProof/>
          <w:sz w:val="24"/>
        </w:rPr>
        <w:t xml:space="preserve">, a čak 30 % zgrada spada u kategoriju zgrada s najlošijim svojstvima. Većina zgrada s najlošijim svojstvima ne zadovoljava današnje minimalne zahtjeve zaštite od potresa, zaštite od požara ili zaštite zdravlja te stoga zahtijeva sveobuhvatnu obnovu. Osim toga, u ožujku i prosincu 2020. Hrvatsku su pogodila dva niza potresa, što je prouzročilo veliku materijalnu štetu u Gradu Zagrebu i u Zagrebačkoj, Krapinsko-zagorskoj, Sisačko-moslavačkoj i Karlovačkoj županiji. U skladu s brzom procjenom štete i potreba (Vlada Republike Hrvatske, 2020.) ukupne potrebe za rekonstrukcijom i oporavkom u Gradu Zagrebu, Zagrebačkoj i Krapinsko-zagorskoj županiji zbog potresa iz ožujka procijenjene su na oko 17 469 000 000 EUR. Šteta uzrokovana potresom u prosincu još se procjenjuje. </w:t>
      </w:r>
    </w:p>
    <w:p w14:paraId="10B0231A"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Ova inicijativa u hrvatskom planu za oporavak i otpornost odnosi se na ulaganja i reforme kojima se nastoji potaknuti sveobuhvatna obnova zgrada, uključujući energetsku obnovu, strukturno jačanje i obnovu nakon potresa. Obnova će obuhvaćati višestambene i javne zgrade, uključujući zdravstvene i obrazovne ustanove, te zgrade sa statusom kulturnog dobra. </w:t>
      </w:r>
    </w:p>
    <w:p w14:paraId="503F4B46"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Inicijativa uključuje reforme kojima se podupire proces obnove i dekarbonizacije zgrada, uz istodobno uklanjanje prepreka na građevinskom tržištu i rješavanje socijalnih pitanja: i. reforma usmjerena na dekarbonizaciju zgrada, ii. reforma usmjerena na povećanje broja radnika i stručnjaka za energetsku učinkovitost i obnovu nakon potresa, iii. reforma usmjerena na smanjenje administrativnog opterećenja za podnositelje zahtjeva u postupku obnove, iv. reforma usmjerena na povećanje znanja o seizmološkom aktivnostima, v. reforma usmjerena na promicanje i razvoj zelene infrastrukture i kružno upravljanje zgradama i prostorima te vi. reforma usmjerena na sustavno upravljanje energijom i ispitivanje novog modela financiranja energetske učinkovitosti. </w:t>
      </w:r>
    </w:p>
    <w:p w14:paraId="2737AA6D"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Ulaganjima i reformama doprinijet će se ispunjenju preporuka upućenih Hrvatskoj u zadnje dvije godine: „usmjeriti ulagačku politiku na […] energetsku učinkovitost […] i okolišnu infrastrukturu” (3. preporuka za Hrvatsku iz 2019.) i „usmjeriti ulaganja u zelenu […] tranziciju, osobito u okolišnu infrastrukturu” (3. preporuka za Hrvatsku iz 2020.).    </w:t>
      </w:r>
    </w:p>
    <w:p w14:paraId="1D91E3F4" w14:textId="77777777" w:rsidR="00733DCA" w:rsidRPr="004419A5" w:rsidRDefault="00733DCA" w:rsidP="0001477B">
      <w:pPr>
        <w:keepNext/>
        <w:numPr>
          <w:ilvl w:val="1"/>
          <w:numId w:val="0"/>
        </w:numPr>
        <w:tabs>
          <w:tab w:val="num" w:pos="850"/>
        </w:tabs>
        <w:spacing w:before="40" w:after="0"/>
        <w:ind w:left="851"/>
        <w:jc w:val="both"/>
        <w:outlineLvl w:val="1"/>
        <w:rPr>
          <w:rFonts w:ascii="Times New Roman" w:eastAsia="SimSun" w:hAnsi="Times New Roman" w:cs="Times New Roman"/>
          <w:b/>
          <w:noProof/>
          <w:sz w:val="24"/>
          <w:szCs w:val="24"/>
          <w:u w:val="single"/>
        </w:rPr>
      </w:pPr>
      <w:r>
        <w:rPr>
          <w:rFonts w:ascii="Times New Roman" w:hAnsi="Times New Roman"/>
          <w:b/>
          <w:noProof/>
          <w:sz w:val="24"/>
          <w:u w:val="single"/>
        </w:rPr>
        <w:t xml:space="preserve">V.1. </w:t>
      </w:r>
      <w:r>
        <w:rPr>
          <w:rFonts w:ascii="Times New Roman" w:hAnsi="Times New Roman"/>
          <w:b/>
          <w:noProof/>
          <w:sz w:val="24"/>
          <w:u w:val="single"/>
        </w:rPr>
        <w:tab/>
        <w:t>Opis reformi i ulaganja za programe bespovratne financijske potpore</w:t>
      </w:r>
    </w:p>
    <w:p w14:paraId="00E2BEA4"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Reforma C6.1. R1 – Dekarbonizacija zgrada</w:t>
      </w:r>
    </w:p>
    <w:p w14:paraId="15B8597F"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Reforma će doprinijeti inicijativi obnove postojećih zgrada i transformaciji postojećeg fonda zgrada u energetski visokoučinkovit i dekarboniziran fond zgrada do 2050. </w:t>
      </w:r>
    </w:p>
    <w:p w14:paraId="5C4E0E4A" w14:textId="268B2C71"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Reforma uključuje donošenje programa energetske obnove za razdoblje 2021.–2030. za višestambene zgrade, javne zgrade i posebnu kategoriju zgrada sa statusom kulturnog dobra, te donošenje Programa suzbijanja energetskog siromaštva na područjima posebne državne skrbi za razdoblje 2021.–2025. Tim će se programima potaknuti temeljita obnova zgrada, uz pridavanje posebne pozornosti osiguravanju zdravih unutarnjih klimatskih uvjeta, zaštiti od požara i otklanjanju rizika povezanih s povećanom seizmološkom aktivnošću te smanjenju energetskog siromaštva. </w:t>
      </w:r>
    </w:p>
    <w:p w14:paraId="39871838"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Reforma će biti dovršena do 31. ožujka 2022. </w:t>
      </w:r>
    </w:p>
    <w:p w14:paraId="0EB8EAB9"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Ulaganje C6.1. R1-I1 – Energetska obnova zgrada</w:t>
      </w:r>
    </w:p>
    <w:p w14:paraId="67116E88"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ulaganja potaknuti zelenu tranziciju i dekarbonizaciju zgrada smanjenjem potrošnje energije za grijanje u višestambenim i zgradama javnog sektora od najmanje 50 % u odnosu na godišnju potrošnju energije za grijanje prije obnove. Budući da toplinska energija čini 71 % ukupne krajnje potrošnje energije (Državni zavod za statistiku, 2015.), navedena ušteda u potrošnji toplinske energije odgovara barem 30 %-tnoj uštedi primarne energije u odnosu na stanje prije obnove. Cilj je ulaganja povećati korištenje obnovljivih izvora energije i posljedično smanjiti emisije CO</w:t>
      </w:r>
      <w:r>
        <w:rPr>
          <w:rFonts w:ascii="Times New Roman" w:hAnsi="Times New Roman"/>
          <w:noProof/>
          <w:sz w:val="24"/>
          <w:vertAlign w:val="superscript"/>
        </w:rPr>
        <w:t>2</w:t>
      </w:r>
      <w:r>
        <w:rPr>
          <w:rFonts w:ascii="Times New Roman" w:hAnsi="Times New Roman"/>
          <w:noProof/>
          <w:sz w:val="24"/>
        </w:rPr>
        <w:t>, ublažiti energetsko siromaštvo te potaknuti razvoj zelene infrastrukture i kružno upravljanje zgradama i prostorima.</w:t>
      </w:r>
    </w:p>
    <w:p w14:paraId="22CA4182"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Ulaganjem će se prvenstveno financirati projekti energetske obnove koji su već u pripremi. Ulaganje u okviru Mehanizma za oporavak i otpornost provest će se kako slijedi: </w:t>
      </w:r>
    </w:p>
    <w:p w14:paraId="443FD37F" w14:textId="77777777" w:rsidR="00733DCA" w:rsidRPr="004419A5" w:rsidRDefault="00733DCA" w:rsidP="00733DCA">
      <w:pPr>
        <w:numPr>
          <w:ilvl w:val="0"/>
          <w:numId w:val="3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za energetsku obnovu, bespovratnim sredstvima pokrit će se 60 % prihvatljivih troškova obnove i 85 % troškova dokumentacije, </w:t>
      </w:r>
    </w:p>
    <w:p w14:paraId="5FA17C9C" w14:textId="77777777" w:rsidR="00733DCA" w:rsidRPr="004419A5" w:rsidRDefault="00733DCA" w:rsidP="00733DCA">
      <w:pPr>
        <w:numPr>
          <w:ilvl w:val="0"/>
          <w:numId w:val="3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za temeljitu energetsku obnovu, koja uključuje mjere povezane s energetskom učinkovitošću na vanjskim zidovima i krovovima zgrada i tehničkim sustavima te smanjenje potrošnje energije za grijanje i potrošnje primarne energije od najmanje 50 %, bespovratnim sredstvima pokrit će se 80 % prihvatljivih troškova obnove i 85 % troškova dokumentacije,</w:t>
      </w:r>
    </w:p>
    <w:p w14:paraId="513665D5" w14:textId="77777777" w:rsidR="00733DCA" w:rsidRPr="004419A5" w:rsidRDefault="00733DCA" w:rsidP="00733DCA">
      <w:pPr>
        <w:numPr>
          <w:ilvl w:val="0"/>
          <w:numId w:val="30"/>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za sveobuhvatnu obnovu, kojom se kombiniraju energetska obnova, seizmičko ojačanje, zaštita od požara i osiguravanje dobrih unutarnjih klimatskih uvjeta, bespovratnim sredstvima pokrit će se 80 % prihvatljivih troškova obnove i 100 % troškova dokumentacije. </w:t>
      </w:r>
    </w:p>
    <w:p w14:paraId="2EED6B34" w14:textId="77777777" w:rsidR="00733DCA" w:rsidRPr="004419A5" w:rsidRDefault="00733DCA" w:rsidP="0001477B">
      <w:pPr>
        <w:spacing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Očekuje se da to ulaganje ne nanosi bitnu štetu okolišnim ciljevima u smislu članka 17. Uredbe (EU) 2020/852, uzimajući u obzir opis mjere i korake ublažavanja utvrđene u planu za oporavak i otpornost u skladu s Tehničkim smjernicama za primjenu načela nenanošenja bitne štete (2021/C58/01). Konkretno, trošak ugradnje kondenzacijskih plinskih kotlova mora iznositi najviše 20 % ukupnog troška programa obnove, a kondenzacijski plinski kotlovi ugrađuju se kako bi se zamijenili kotlovi na bazi ugljena i loživog ulja. </w:t>
      </w:r>
    </w:p>
    <w:p w14:paraId="65368706"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Ulaganje će biti dovršeno do 30. lipnja 2026. </w:t>
      </w:r>
    </w:p>
    <w:p w14:paraId="4F66AF40" w14:textId="540701DF" w:rsidR="00733DCA" w:rsidRPr="004419A5" w:rsidRDefault="00733DCA" w:rsidP="0001477B">
      <w:pPr>
        <w:spacing w:before="120" w:after="120" w:line="240" w:lineRule="auto"/>
        <w:jc w:val="both"/>
        <w:rPr>
          <w:rFonts w:ascii="Times New Roman" w:eastAsia="Calibri" w:hAnsi="Times New Roman" w:cs="Times New Roman"/>
          <w:noProof/>
          <w:sz w:val="24"/>
          <w:szCs w:val="24"/>
          <w:lang w:val="en-GB"/>
        </w:rPr>
      </w:pPr>
    </w:p>
    <w:p w14:paraId="315DFB8C"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bookmarkStart w:id="7" w:name="_Hlk150254375"/>
      <w:r>
        <w:rPr>
          <w:rFonts w:ascii="Times New Roman" w:hAnsi="Times New Roman"/>
          <w:noProof/>
          <w:sz w:val="24"/>
          <w:u w:val="single"/>
        </w:rPr>
        <w:t>Ulaganje C6.1. R1-I3 – Energetska obnova zgrada sa statusom kulturnog dobra</w:t>
      </w:r>
    </w:p>
    <w:bookmarkEnd w:id="7"/>
    <w:p w14:paraId="7D8806C4"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Cilj je ulaganja energetska obnova zgrada sa statusom kulturnog dobra. Time će se smanjiti CO</w:t>
      </w:r>
      <w:r>
        <w:rPr>
          <w:rFonts w:ascii="Times New Roman" w:hAnsi="Times New Roman"/>
          <w:noProof/>
          <w:sz w:val="24"/>
          <w:vertAlign w:val="superscript"/>
        </w:rPr>
        <w:t>2</w:t>
      </w:r>
      <w:r>
        <w:rPr>
          <w:rFonts w:ascii="Times New Roman" w:hAnsi="Times New Roman"/>
          <w:noProof/>
          <w:sz w:val="24"/>
        </w:rPr>
        <w:t xml:space="preserve">, potrošnja energije i troškovi održavanja u dugoročnom razdoblju te će se doprinijeti razvoju kružnog gospodarstva i upotrebi prirodnih rješenja. Mjera obuhvaća dvije kategorije zgrada: pojedinačno zaštićena kulturna dobra (pojedinačne građevine i graditeljski sklopovi) i zgrade koje se nalaze unutar zaštićene kulturno-povijesne cjeline. </w:t>
      </w:r>
    </w:p>
    <w:p w14:paraId="66789665"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 obzirom na kulturnu i društvenu vrijednost zgrada kulturne baštine te veća sredstva koja su potrebna za njihovu obnovu, obnova zgrada javnog i kulturnog sektora sa statusom kulturnog dobra sufinancirat će se uz stopu od 100 %. Očekuje se da to ulaganje ne nanosi bitnu štetu okolišnim ciljevima u smislu članka 17. Uredbe (EU) 2020/852, uzimajući u obzir opis mjere i korake ublažavanja utvrđene u planu za oporavak i otpornost u skladu s Tehničkim smjernicama za primjenu načela nenanošenja bitne štete (2021/C58/01). Konkretno, trošak ugradnje kondenzacijskih plinskih kotlova mora iznositi najviše 20 % ukupnog troška programa obnove, a kondenzacijski plinski kotlovi ugrađuju se kako bi se zamijenili kotlovi na bazi ugljena i loživog ulja. U energetskoj obnovi zgrada koje imaju status kulturnog dobra tražit će se smanjenje projektirane potrošnje energije za grijanje ili primarne energije na godišnjoj razini od najmanje 20 % u odnosu na potrošnju energije prije obnove. Međutim, na razini portfelja svih obnovljenih zgrada sa statusom kulturnog dobra, u prosjeku se postiže povećanje od 30 % uštede primarne energije u odnosu na stanje prije obnove.   </w:t>
      </w:r>
    </w:p>
    <w:p w14:paraId="3B2E9102"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provedeno do 30. lipnja 2026.</w:t>
      </w:r>
    </w:p>
    <w:p w14:paraId="047DDE49"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Reforma C6.1. R2 – Razvoj okvira za osiguranje adekvatnih vještina u kontekstu zelenih poslova potrebnih za obnovu nakon potresa</w:t>
      </w:r>
    </w:p>
    <w:p w14:paraId="6BC540DA"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reforme smanjiti rizik povezan s nedovoljnim brojem kvalificirane radne snage i osigurati odgovarajuće znanje i vještine potrebne za provedbu svih procesa energetske obnove i obnove nakon potresa, integriranjem potrebnog znanja o seizmičkoj otpornosti, energetskoj učinkovitosti, kružnom upravljanju, zaštiti kulturne baštine i obnovi nakon potresa poboljšanjem postojećih programa obrazovanja i osposobljavanja te razvojem novih. </w:t>
      </w:r>
    </w:p>
    <w:p w14:paraId="0955DD17"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Programi obrazovanja i osposobljavanja razvijaju se u okviru Nacionalnog plana za razvoj vještina u kontekstu zelenih radnih mjesta povezanih s energijom i rekonstrukcijom nakon potresa. </w:t>
      </w:r>
    </w:p>
    <w:p w14:paraId="3E0F726E"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uključuje:</w:t>
      </w:r>
    </w:p>
    <w:p w14:paraId="71A5ACD7" w14:textId="77777777" w:rsidR="00733DCA" w:rsidRDefault="00733DCA" w:rsidP="00733DCA">
      <w:pPr>
        <w:numPr>
          <w:ilvl w:val="0"/>
          <w:numId w:val="30"/>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osmišljavanje i provedbu programa obrazovanja odraslih s naglaskom na razvoju i provedbi programa prekvalifikacije za potrebe obnove i dekarbonizacije zgrada s elementima obnove nakon potresa, zaštite kulturne baštine, energetske učinkovitosti, zelene infrastrukture i kružnog upravljanja prostorom i zgradama, </w:t>
      </w:r>
    </w:p>
    <w:p w14:paraId="7BD0BF3F" w14:textId="358E9EE9" w:rsidR="00733DCA" w:rsidRPr="00B70870" w:rsidRDefault="00733DCA" w:rsidP="00733DCA">
      <w:pPr>
        <w:numPr>
          <w:ilvl w:val="0"/>
          <w:numId w:val="30"/>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akreditaciju novog smjera na diplomskom studiju u području tehničkih znanosti koji obuhvaća teme povezane s obnovom nakon potresa, obnovom kulturne baštine, prilagodbom klimatskim promjenama, energetskom učinkovitosti, kružnim gospodarenjem prostorom i zgradama, prostornim planiranjem, održivim urbanim razvojem, urbanim šumarstvom i primjenom prirodnih rješenja,</w:t>
      </w:r>
    </w:p>
    <w:p w14:paraId="1245D178" w14:textId="77777777" w:rsidR="00733DCA" w:rsidRPr="004419A5" w:rsidRDefault="00733DCA" w:rsidP="00733DCA">
      <w:pPr>
        <w:numPr>
          <w:ilvl w:val="0"/>
          <w:numId w:val="30"/>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razvoj programa kojima se podupire veća primjena informacijskog modeliranja zgrada i njegovo promicanje u građevinskom sektoru i prostornom uređenju,</w:t>
      </w:r>
    </w:p>
    <w:p w14:paraId="58C593C2" w14:textId="31B1BF54" w:rsidR="00733DCA" w:rsidRPr="006A14EA" w:rsidRDefault="00733DCA" w:rsidP="006A14EA">
      <w:pPr>
        <w:pStyle w:val="ListParagraph"/>
        <w:numPr>
          <w:ilvl w:val="0"/>
          <w:numId w:val="30"/>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vođenje promotivne kampanje za privlačenje podnositelja zahtjeva.    </w:t>
      </w:r>
    </w:p>
    <w:p w14:paraId="2EC260F4"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30. lipnja 2026.</w:t>
      </w:r>
    </w:p>
    <w:p w14:paraId="720E448F"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Reforma C6.1. R3 – Povećanje učinkovitosti, smanjenje administrativnog opterećenja i digitalizacija procesa obnove</w:t>
      </w:r>
    </w:p>
    <w:p w14:paraId="28690C93"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reforme pružiti usluge građanima i vlasnicima zgrada koje će pomoći u smanjenju administrativnog opterećenja za podnositelje zahtjeva u procesu energetske obnove i obnove nakon potresa digitalizacijom i integracijom informacija. Reforma uključuje dodatno poboljšanje usluge jedinstvenog kontaktnog centra za energetsku obnovu i razvoj usluga jedinstvenog kontakt centra na internetu i otvaranje fizičkih ureda na potresom pogođenim područjima s ciljem pojednostavnjenja procesa obnove za građane i druge subjekte kojima su potrebne administrativne usluge tijekom obnove nakon potresa. Reformom će se financirati i jačanje stručnih kapaciteta zaposlenika u jedinstvenom kontaktnom centru i javnim ustanovama uključenima u proces obnove radi podupiranja pune funkcionalnosti usluga jedinstvenog kontaktnog centra.  </w:t>
      </w:r>
    </w:p>
    <w:p w14:paraId="5D7BE7DA" w14:textId="37B4786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30. lipnja 2026.</w:t>
      </w:r>
    </w:p>
    <w:p w14:paraId="757A8DDA"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 xml:space="preserve">Reforma C6.1. R.4 – Modernizacija i integracija seizmičkih podataka za proces obnove i planiranje buduće gradnje te praćenje javne infrastrukture </w:t>
      </w:r>
    </w:p>
    <w:p w14:paraId="79A0E777"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Reformom se nastoji poboljšati otpornost na rizike u prostornom uređenju i građevinskom sektoru poboljšanjem prikupljanja i obrade seizmičkih podataka, jačanjem kapaciteta za primjenu podataka o seizmičkim rizicima i provedbom mjera za smanjenje mogućih šteta. Prikupljeni podaci služit će kao ulazni podaci za karte povezane s rizicima, kao što su karte rasjeda, karte potresnih područja i karte podložnosti klizanju, koje će se koristiti za izradu prostornih planova jedinica lokalne uprave radi planiranja odgovarajuće tipologije antiseizmičke konstrukcije i povećanja otpornosti Hrvatske na potrese.  </w:t>
      </w:r>
    </w:p>
    <w:p w14:paraId="2CDCC96D"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Reformom će se ojačati organizacijska i infrastrukturna sposobnost Seizmološke službe Republike Hrvatske za prikupljanje, obradu i analizu podataka o seizmološkim aktivnostima. Ojačat će se i administrativni kapaciteti MPGI-ja te povezane usluge, kao što su instituti i uredi na regionalnoj razini, kako bi se prikupljeni podaci mogli pravilno primijeniti u prostornom uređenju i građevinskom sektoru. </w:t>
      </w:r>
    </w:p>
    <w:p w14:paraId="780F19C6" w14:textId="735644E9"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30. lipnja 2025.</w:t>
      </w:r>
    </w:p>
    <w:p w14:paraId="765CB7FD"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Ulaganje C6.1. R4-I1 – Razvoj mreže seizmoloških podataka</w:t>
      </w:r>
    </w:p>
    <w:p w14:paraId="5E0B56E0"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ulaganja financirati nabavu najmanje 300 jedinica nove seizmološke opreme potrebne za Seizmološku službu Hrvatske radi praćenja, obrade i analize podataka koji se odnose na seizmološke aktivnosti na području Republike Hrvatske. Ulaganjem se financiraju i zapošljavanje i osposobljavanje stručnjaka za upotrebu stečene opreme i obradu podataka. Plaće angažiranih stručnjaka nastavit će se financirati iz državnog proračuna i nakon 2026. </w:t>
      </w:r>
    </w:p>
    <w:p w14:paraId="3FD0A24A" w14:textId="06770EFA"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Ulaganje će biti provedeno do 30. lipnja 2026.</w:t>
      </w:r>
    </w:p>
    <w:p w14:paraId="41EEC088"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 xml:space="preserve">Reforma C6.1. R5 – Uvođenje novog modela strategija zelene urbane obnove i provedba pilot-projekta razvoja zelene infrastrukture i kružnog gospodarenja prostorom i zgradama </w:t>
      </w:r>
    </w:p>
    <w:p w14:paraId="7F5CFE77"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Cilj je reforme razviti okvir za osmišljavanje i provedbu strategija zelene urbane obnove. Novim okvirom osigurava se temelj za razvoj održivog prostora s naglaskom na razvoj zelene infrastrukture i integriranje prirodnih rješenja, modela za kružno upravljanje prostorom i zgradama, jačanje otpornosti na rizike i klimatske promjene te podupiranje sveukupnog održivog razvoja. Reforma će biti dostupna svim jedinicama lokalne vlasti u Hrvatskoj, no prioritet će imati one koje se nalaze u potresom pogođenim područjima. </w:t>
      </w:r>
    </w:p>
    <w:p w14:paraId="2D9B0C00"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Smjernice za izradu strategija zelene urbane obnove izradit će MPGI, na temelju Nacionalnog programa razvoja zelene infrastrukture u urbanim područjima i kružnog gospodarenja zgradama i prostorom. Razvoj strategija zelene urbane obnove i provedba pilot-projekata provodit će se u suradnji s Ministarstvom.</w:t>
      </w:r>
    </w:p>
    <w:p w14:paraId="7EFE5CE3" w14:textId="7C93D742"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30. lipnja 2026.</w:t>
      </w:r>
    </w:p>
    <w:p w14:paraId="7F3E5F81" w14:textId="77777777" w:rsidR="00733DCA" w:rsidRPr="004419A5" w:rsidRDefault="00733DCA" w:rsidP="0001477B">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u w:val="single"/>
        </w:rPr>
        <w:t xml:space="preserve">Reforma C6.1. R6 – Pilot-projekt uspostave i provedbe sustavnog gospodarenja energijom te razvoj novog modela financiranja </w:t>
      </w:r>
    </w:p>
    <w:p w14:paraId="16E2DF90"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Hrvatska ima funkcionalan sustav praćenja potrošnje energije za pojedinačna postrojenja javnog sektora, ali taj sustav još nije razvijen za druge sektore, kao što su privatni stambeni sektor, industrijski ili prometni sektor. Cilj je ove mjere razviti i ispitati model za praćenje potrošnje energije u višestambenim zgradama, koji se provodi na temelju dobrovoljnog interesa vlasnika. Taj će se model temeljiti na pilot-projektima u kojima će se mjeriti sva potrošnja energije i vode u jedinici lokalne uprave uvođenjem automatskog prikupljanja podataka. Očekuje se da će se time omogućiti sustavno upravljanje energijom te ostvariti uštede energije i vode.  </w:t>
      </w:r>
    </w:p>
    <w:p w14:paraId="18A748FE"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Na temelju prikupljenih podataka o potrošnji energije i vode tijekom pilot-projekta, u okviru te reforme analizirat će se i razviti model kojim će se potrošačima omogućiti da podnesu zahtjev za zajam za energetsku obnovu i vrate ga preko svojeg energetskog računa, prilagođeno za uštede energije ostvarene obnovom. Time će se smanjiti problem manjka financijskih resursa krajnjih korisnika za potrebe energetske obnove. Očekuje se da će to pozitivno doprinijeti stopi energetske obnove u Hrvatskoj. Reformom se testira i model pilot-projekta radi njegove moguće primjene na nacionalnoj razini. </w:t>
      </w:r>
    </w:p>
    <w:p w14:paraId="64A7FC28" w14:textId="77777777" w:rsidR="00733DCA" w:rsidRPr="004419A5" w:rsidRDefault="00733DCA" w:rsidP="0001477B">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Reforma će biti dovršena do 31. prosinca 2025.</w:t>
      </w:r>
    </w:p>
    <w:p w14:paraId="1B817A1A" w14:textId="77777777" w:rsidR="00733DCA" w:rsidRDefault="00733DCA">
      <w:pPr>
        <w:rPr>
          <w:noProof/>
          <w:lang w:val="en-GB"/>
        </w:rPr>
        <w:sectPr w:rsidR="00733DCA" w:rsidSect="00932F3F">
          <w:headerReference w:type="even" r:id="rId378"/>
          <w:headerReference w:type="default" r:id="rId379"/>
          <w:footerReference w:type="even" r:id="rId380"/>
          <w:footerReference w:type="default" r:id="rId381"/>
          <w:headerReference w:type="first" r:id="rId382"/>
          <w:footerReference w:type="first" r:id="rId383"/>
          <w:pgSz w:w="12240" w:h="15840"/>
          <w:pgMar w:top="1440" w:right="1440" w:bottom="1440" w:left="1440" w:header="708" w:footer="708" w:gutter="0"/>
          <w:cols w:space="708"/>
          <w:docGrid w:linePitch="360"/>
        </w:sectPr>
      </w:pPr>
    </w:p>
    <w:p w14:paraId="5135FCAE" w14:textId="77777777" w:rsidR="00733DCA" w:rsidRPr="006F31C1" w:rsidRDefault="00733DCA" w:rsidP="00052099">
      <w:pPr>
        <w:keepNext/>
        <w:tabs>
          <w:tab w:val="num" w:pos="284"/>
        </w:tabs>
        <w:spacing w:before="40" w:after="0"/>
        <w:jc w:val="both"/>
        <w:outlineLvl w:val="1"/>
        <w:rPr>
          <w:rFonts w:ascii="Times New Roman" w:eastAsia="SimSun" w:hAnsi="Times New Roman" w:cs="Times New Roman"/>
          <w:b/>
          <w:noProof/>
          <w:sz w:val="24"/>
          <w:szCs w:val="24"/>
        </w:rPr>
      </w:pPr>
      <w:r>
        <w:rPr>
          <w:rFonts w:ascii="Times New Roman" w:hAnsi="Times New Roman"/>
          <w:b/>
          <w:noProof/>
          <w:sz w:val="24"/>
        </w:rPr>
        <w:t xml:space="preserve">V.2. </w:t>
      </w:r>
      <w:r>
        <w:rPr>
          <w:noProof/>
        </w:rPr>
        <w:tab/>
      </w:r>
      <w:r>
        <w:rPr>
          <w:rFonts w:ascii="Times New Roman" w:hAnsi="Times New Roman"/>
          <w:b/>
          <w:noProof/>
          <w:sz w:val="24"/>
        </w:rPr>
        <w:t>Ključne etape, ciljne vrijednosti, pokazatelji i vremenski raspored za praćenje i provedbu programa bespovratne financijske potpore</w:t>
      </w:r>
    </w:p>
    <w:p w14:paraId="1F2B72C2" w14:textId="77777777" w:rsidR="00733DCA" w:rsidRPr="004419A5" w:rsidRDefault="00733DCA" w:rsidP="0001477B">
      <w:pPr>
        <w:keepNext/>
        <w:numPr>
          <w:ilvl w:val="1"/>
          <w:numId w:val="0"/>
        </w:numPr>
        <w:tabs>
          <w:tab w:val="num" w:pos="850"/>
        </w:tabs>
        <w:spacing w:before="40" w:after="0"/>
        <w:ind w:left="851"/>
        <w:jc w:val="both"/>
        <w:outlineLvl w:val="1"/>
        <w:rPr>
          <w:rFonts w:ascii="Calibri" w:eastAsia="Calibri" w:hAnsi="Calibri" w:cs="Arial"/>
          <w:noProof/>
          <w:lang w:val="en-GB"/>
        </w:rPr>
      </w:pPr>
    </w:p>
    <w:tbl>
      <w:tblPr>
        <w:tblW w:w="15053" w:type="dxa"/>
        <w:jc w:val="center"/>
        <w:tblLayout w:type="fixed"/>
        <w:tblCellMar>
          <w:top w:w="28" w:type="dxa"/>
          <w:left w:w="28" w:type="dxa"/>
          <w:bottom w:w="28" w:type="dxa"/>
          <w:right w:w="28" w:type="dxa"/>
        </w:tblCellMar>
        <w:tblLook w:val="04A0" w:firstRow="1" w:lastRow="0" w:firstColumn="1" w:lastColumn="0" w:noHBand="0" w:noVBand="1"/>
      </w:tblPr>
      <w:tblGrid>
        <w:gridCol w:w="708"/>
        <w:gridCol w:w="821"/>
        <w:gridCol w:w="848"/>
        <w:gridCol w:w="2093"/>
        <w:gridCol w:w="2288"/>
        <w:gridCol w:w="1067"/>
        <w:gridCol w:w="707"/>
        <w:gridCol w:w="1356"/>
        <w:gridCol w:w="424"/>
        <w:gridCol w:w="641"/>
        <w:gridCol w:w="4100"/>
      </w:tblGrid>
      <w:tr w:rsidR="00733DCA" w:rsidRPr="004419A5" w14:paraId="42AE79FB" w14:textId="77777777" w:rsidTr="00EE1D3D">
        <w:trPr>
          <w:trHeight w:val="618"/>
          <w:tblHeader/>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DE4442"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ED7244"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456FD3"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DFB251"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C89DE5"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Times New Roman" w:hAnsi="Times New Roman"/>
                <w:noProof/>
              </w:rPr>
              <w:br/>
            </w:r>
            <w:r>
              <w:rPr>
                <w:rFonts w:ascii="Times New Roman" w:hAnsi="Times New Roman"/>
                <w:b/>
                <w:noProof/>
                <w:sz w:val="18"/>
              </w:rPr>
              <w:t>(za ključne etape)</w:t>
            </w:r>
          </w:p>
        </w:tc>
        <w:tc>
          <w:tcPr>
            <w:tcW w:w="313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65E5D8A"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Times New Roman" w:hAnsi="Times New Roman"/>
                <w:noProof/>
              </w:rPr>
              <w:br/>
            </w:r>
            <w:r>
              <w:rPr>
                <w:rFonts w:ascii="Times New Roman" w:hAnsi="Times New Roman"/>
                <w:b/>
                <w:noProof/>
                <w:sz w:val="18"/>
              </w:rPr>
              <w:t>(za ciljne vrijednosti)</w:t>
            </w:r>
          </w:p>
        </w:tc>
        <w:tc>
          <w:tcPr>
            <w:tcW w:w="1065" w:type="dxa"/>
            <w:gridSpan w:val="2"/>
            <w:tcBorders>
              <w:top w:val="single" w:sz="4" w:space="0" w:color="auto"/>
              <w:left w:val="nil"/>
              <w:bottom w:val="single" w:sz="4" w:space="0" w:color="auto"/>
              <w:right w:val="single" w:sz="4" w:space="0" w:color="auto"/>
            </w:tcBorders>
            <w:shd w:val="clear" w:color="auto" w:fill="BDD7EE"/>
            <w:vAlign w:val="center"/>
            <w:hideMark/>
          </w:tcPr>
          <w:p w14:paraId="4D376102"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915674"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733DCA" w:rsidRPr="004419A5" w14:paraId="0A988283" w14:textId="77777777" w:rsidTr="00EE1D3D">
        <w:trPr>
          <w:trHeight w:val="500"/>
          <w:tblHeader/>
          <w:jc w:val="center"/>
        </w:trPr>
        <w:tc>
          <w:tcPr>
            <w:tcW w:w="708" w:type="dxa"/>
            <w:vMerge/>
            <w:tcBorders>
              <w:top w:val="single" w:sz="4" w:space="0" w:color="auto"/>
              <w:left w:val="single" w:sz="4" w:space="0" w:color="auto"/>
              <w:bottom w:val="single" w:sz="4" w:space="0" w:color="auto"/>
              <w:right w:val="single" w:sz="4" w:space="0" w:color="auto"/>
            </w:tcBorders>
            <w:hideMark/>
          </w:tcPr>
          <w:p w14:paraId="3A8A63DB"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21" w:type="dxa"/>
            <w:vMerge/>
            <w:tcBorders>
              <w:top w:val="single" w:sz="4" w:space="0" w:color="auto"/>
              <w:left w:val="single" w:sz="4" w:space="0" w:color="auto"/>
              <w:bottom w:val="single" w:sz="4" w:space="0" w:color="auto"/>
              <w:right w:val="single" w:sz="4" w:space="0" w:color="auto"/>
            </w:tcBorders>
            <w:hideMark/>
          </w:tcPr>
          <w:p w14:paraId="6A25A1F2"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848" w:type="dxa"/>
            <w:vMerge/>
            <w:tcBorders>
              <w:top w:val="single" w:sz="4" w:space="0" w:color="auto"/>
              <w:left w:val="single" w:sz="4" w:space="0" w:color="auto"/>
              <w:bottom w:val="single" w:sz="4" w:space="0" w:color="auto"/>
              <w:right w:val="single" w:sz="4" w:space="0" w:color="auto"/>
            </w:tcBorders>
            <w:hideMark/>
          </w:tcPr>
          <w:p w14:paraId="40C2B581" w14:textId="77777777" w:rsidR="00733DCA" w:rsidRPr="00BC0323" w:rsidRDefault="00733DCA" w:rsidP="0001477B">
            <w:pPr>
              <w:spacing w:after="0" w:line="276" w:lineRule="auto"/>
              <w:jc w:val="center"/>
              <w:rPr>
                <w:rFonts w:ascii="Times New Roman" w:eastAsia="Times New Roman" w:hAnsi="Times New Roman" w:cs="Times New Roman"/>
                <w:b/>
                <w:noProof/>
                <w:lang w:eastAsia="en-GB"/>
              </w:rPr>
            </w:pPr>
          </w:p>
        </w:tc>
        <w:tc>
          <w:tcPr>
            <w:tcW w:w="2093" w:type="dxa"/>
            <w:vMerge/>
            <w:tcBorders>
              <w:top w:val="single" w:sz="4" w:space="0" w:color="auto"/>
              <w:left w:val="single" w:sz="4" w:space="0" w:color="auto"/>
              <w:bottom w:val="single" w:sz="4" w:space="0" w:color="auto"/>
              <w:right w:val="single" w:sz="4" w:space="0" w:color="auto"/>
            </w:tcBorders>
            <w:hideMark/>
          </w:tcPr>
          <w:p w14:paraId="08B9E19F"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2288" w:type="dxa"/>
            <w:vMerge/>
            <w:tcBorders>
              <w:top w:val="single" w:sz="4" w:space="0" w:color="auto"/>
              <w:left w:val="single" w:sz="4" w:space="0" w:color="auto"/>
              <w:bottom w:val="single" w:sz="4" w:space="0" w:color="auto"/>
              <w:right w:val="single" w:sz="4" w:space="0" w:color="auto"/>
            </w:tcBorders>
            <w:hideMark/>
          </w:tcPr>
          <w:p w14:paraId="5E113660" w14:textId="77777777" w:rsidR="00733DCA" w:rsidRPr="00BC0323" w:rsidRDefault="00733DCA" w:rsidP="0001477B">
            <w:pPr>
              <w:spacing w:after="0" w:line="276" w:lineRule="auto"/>
              <w:rPr>
                <w:rFonts w:ascii="Times New Roman" w:eastAsia="Times New Roman" w:hAnsi="Times New Roman" w:cs="Times New Roman"/>
                <w:b/>
                <w:noProof/>
                <w:lang w:eastAsia="en-GB"/>
              </w:rPr>
            </w:pPr>
          </w:p>
        </w:tc>
        <w:tc>
          <w:tcPr>
            <w:tcW w:w="1067" w:type="dxa"/>
            <w:tcBorders>
              <w:top w:val="nil"/>
              <w:left w:val="single" w:sz="4" w:space="0" w:color="auto"/>
              <w:bottom w:val="single" w:sz="4" w:space="0" w:color="auto"/>
              <w:right w:val="single" w:sz="4" w:space="0" w:color="auto"/>
            </w:tcBorders>
            <w:shd w:val="clear" w:color="auto" w:fill="BDD7EE"/>
            <w:vAlign w:val="center"/>
            <w:hideMark/>
          </w:tcPr>
          <w:p w14:paraId="555FE1C2"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707" w:type="dxa"/>
            <w:tcBorders>
              <w:top w:val="nil"/>
              <w:left w:val="nil"/>
              <w:bottom w:val="single" w:sz="4" w:space="0" w:color="auto"/>
              <w:right w:val="single" w:sz="4" w:space="0" w:color="auto"/>
            </w:tcBorders>
            <w:shd w:val="clear" w:color="auto" w:fill="BDD7EE"/>
            <w:vAlign w:val="center"/>
            <w:hideMark/>
          </w:tcPr>
          <w:p w14:paraId="5A64A3FF"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1356" w:type="dxa"/>
            <w:tcBorders>
              <w:top w:val="nil"/>
              <w:left w:val="nil"/>
              <w:bottom w:val="single" w:sz="4" w:space="0" w:color="auto"/>
              <w:right w:val="single" w:sz="4" w:space="0" w:color="auto"/>
            </w:tcBorders>
            <w:shd w:val="clear" w:color="auto" w:fill="BDD7EE"/>
            <w:vAlign w:val="center"/>
            <w:hideMark/>
          </w:tcPr>
          <w:p w14:paraId="61F44347"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4" w:type="dxa"/>
            <w:tcBorders>
              <w:top w:val="nil"/>
              <w:left w:val="nil"/>
              <w:bottom w:val="single" w:sz="4" w:space="0" w:color="auto"/>
              <w:right w:val="single" w:sz="4" w:space="0" w:color="auto"/>
            </w:tcBorders>
            <w:shd w:val="clear" w:color="auto" w:fill="BDD7EE"/>
            <w:vAlign w:val="center"/>
            <w:hideMark/>
          </w:tcPr>
          <w:p w14:paraId="72C5EC3B"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641" w:type="dxa"/>
            <w:tcBorders>
              <w:top w:val="nil"/>
              <w:left w:val="nil"/>
              <w:bottom w:val="single" w:sz="4" w:space="0" w:color="auto"/>
              <w:right w:val="single" w:sz="4" w:space="0" w:color="auto"/>
            </w:tcBorders>
            <w:shd w:val="clear" w:color="auto" w:fill="BDD7EE"/>
            <w:vAlign w:val="center"/>
            <w:hideMark/>
          </w:tcPr>
          <w:p w14:paraId="2E0493CA" w14:textId="77777777" w:rsidR="00733DCA" w:rsidRPr="004419A5" w:rsidRDefault="00733DCA"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100" w:type="dxa"/>
            <w:vMerge/>
            <w:tcBorders>
              <w:top w:val="single" w:sz="4" w:space="0" w:color="auto"/>
              <w:bottom w:val="single" w:sz="4" w:space="0" w:color="auto"/>
              <w:right w:val="single" w:sz="4" w:space="0" w:color="auto"/>
            </w:tcBorders>
            <w:hideMark/>
          </w:tcPr>
          <w:p w14:paraId="00A665B5" w14:textId="77777777" w:rsidR="00733DCA" w:rsidRPr="004419A5" w:rsidRDefault="00733DCA" w:rsidP="0001477B">
            <w:pPr>
              <w:spacing w:after="0" w:line="276" w:lineRule="auto"/>
              <w:rPr>
                <w:rFonts w:ascii="Times New Roman" w:eastAsia="Times New Roman" w:hAnsi="Times New Roman" w:cs="Times New Roman"/>
                <w:b/>
                <w:noProof/>
                <w:lang w:val="en-GB" w:eastAsia="en-GB"/>
              </w:rPr>
            </w:pPr>
          </w:p>
        </w:tc>
      </w:tr>
      <w:tr w:rsidR="00733DCA" w:rsidRPr="004419A5" w14:paraId="5D486ADF" w14:textId="77777777" w:rsidTr="00EE1D3D">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7D38015" w14:textId="77777777" w:rsidR="00733DCA" w:rsidRPr="004419A5" w:rsidRDefault="00733DCA" w:rsidP="0001477B">
            <w:pPr>
              <w:spacing w:after="0" w:line="276" w:lineRule="auto"/>
              <w:jc w:val="center"/>
              <w:rPr>
                <w:rFonts w:ascii="Times New Roman" w:eastAsia="Calibri" w:hAnsi="Times New Roman" w:cs="Times New Roman"/>
                <w:noProof/>
                <w:sz w:val="20"/>
                <w:szCs w:val="20"/>
              </w:rPr>
            </w:pPr>
            <w:r>
              <w:rPr>
                <w:rFonts w:ascii="Calibri" w:hAnsi="Calibri"/>
                <w:noProof/>
                <w:color w:val="000000"/>
                <w:sz w:val="20"/>
              </w:rPr>
              <w:t>351</w:t>
            </w:r>
          </w:p>
        </w:tc>
        <w:tc>
          <w:tcPr>
            <w:tcW w:w="821" w:type="dxa"/>
            <w:tcBorders>
              <w:top w:val="single" w:sz="4" w:space="0" w:color="auto"/>
              <w:left w:val="nil"/>
              <w:bottom w:val="single" w:sz="4" w:space="0" w:color="auto"/>
              <w:right w:val="single" w:sz="4" w:space="0" w:color="auto"/>
            </w:tcBorders>
            <w:shd w:val="clear" w:color="auto" w:fill="C6EFCE"/>
            <w:noWrap/>
          </w:tcPr>
          <w:p w14:paraId="27E5763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R1</w:t>
            </w:r>
          </w:p>
        </w:tc>
        <w:tc>
          <w:tcPr>
            <w:tcW w:w="848" w:type="dxa"/>
            <w:tcBorders>
              <w:top w:val="single" w:sz="4" w:space="0" w:color="auto"/>
              <w:left w:val="nil"/>
              <w:bottom w:val="single" w:sz="4" w:space="0" w:color="auto"/>
              <w:right w:val="single" w:sz="4" w:space="0" w:color="auto"/>
            </w:tcBorders>
            <w:shd w:val="clear" w:color="auto" w:fill="C6EFCE"/>
            <w:noWrap/>
          </w:tcPr>
          <w:p w14:paraId="28F4F03D"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57B12498"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nacionalnih programa energetske obnove za: i. višestambene zgrade (za razdoblje 2021.–2030.), ii. zgrade sa statusom kulturnog dobra (za razdoblje 2021.–2030.) i iii. suzbijanje energetskog siromaštva na područjima posebne državne skrbi (za razdoblje 2021.–2025.)</w:t>
            </w:r>
          </w:p>
        </w:tc>
        <w:tc>
          <w:tcPr>
            <w:tcW w:w="2288" w:type="dxa"/>
            <w:tcBorders>
              <w:top w:val="single" w:sz="4" w:space="0" w:color="auto"/>
              <w:left w:val="nil"/>
              <w:bottom w:val="single" w:sz="4" w:space="0" w:color="auto"/>
              <w:right w:val="single" w:sz="4" w:space="0" w:color="auto"/>
            </w:tcBorders>
            <w:shd w:val="clear" w:color="auto" w:fill="C6EFCE"/>
            <w:noWrap/>
          </w:tcPr>
          <w:p w14:paraId="41D5C7E7"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na službenim internetskim stranicama MPGI-ja</w:t>
            </w:r>
            <w:r>
              <w:rPr>
                <w:rFonts w:ascii="Calibri" w:hAnsi="Calibri"/>
                <w:noProof/>
                <w:color w:val="000000"/>
                <w:sz w:val="20"/>
              </w:rPr>
              <w:br/>
            </w:r>
          </w:p>
        </w:tc>
        <w:tc>
          <w:tcPr>
            <w:tcW w:w="1067" w:type="dxa"/>
            <w:tcBorders>
              <w:top w:val="nil"/>
              <w:left w:val="nil"/>
              <w:bottom w:val="single" w:sz="4" w:space="0" w:color="auto"/>
              <w:right w:val="single" w:sz="4" w:space="0" w:color="auto"/>
            </w:tcBorders>
            <w:shd w:val="clear" w:color="auto" w:fill="C6EFCE"/>
            <w:noWrap/>
          </w:tcPr>
          <w:p w14:paraId="4162C1A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nil"/>
              <w:left w:val="nil"/>
              <w:bottom w:val="single" w:sz="4" w:space="0" w:color="auto"/>
              <w:right w:val="single" w:sz="4" w:space="0" w:color="auto"/>
            </w:tcBorders>
            <w:shd w:val="clear" w:color="auto" w:fill="C6EFCE"/>
            <w:noWrap/>
          </w:tcPr>
          <w:p w14:paraId="04AB401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nil"/>
              <w:left w:val="nil"/>
              <w:bottom w:val="single" w:sz="4" w:space="0" w:color="auto"/>
              <w:right w:val="single" w:sz="4" w:space="0" w:color="auto"/>
            </w:tcBorders>
            <w:shd w:val="clear" w:color="auto" w:fill="C6EFCE"/>
            <w:noWrap/>
          </w:tcPr>
          <w:p w14:paraId="38C67CD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nil"/>
              <w:left w:val="nil"/>
              <w:bottom w:val="single" w:sz="4" w:space="0" w:color="auto"/>
              <w:right w:val="single" w:sz="4" w:space="0" w:color="auto"/>
            </w:tcBorders>
            <w:shd w:val="clear" w:color="auto" w:fill="C6EFCE"/>
            <w:noWrap/>
          </w:tcPr>
          <w:p w14:paraId="31AFE65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nil"/>
              <w:left w:val="nil"/>
              <w:bottom w:val="single" w:sz="4" w:space="0" w:color="auto"/>
              <w:right w:val="single" w:sz="4" w:space="0" w:color="auto"/>
            </w:tcBorders>
            <w:shd w:val="clear" w:color="auto" w:fill="C6EFCE"/>
            <w:noWrap/>
          </w:tcPr>
          <w:p w14:paraId="4424BE8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100" w:type="dxa"/>
            <w:tcBorders>
              <w:top w:val="single" w:sz="4" w:space="0" w:color="auto"/>
              <w:left w:val="nil"/>
              <w:bottom w:val="single" w:sz="4" w:space="0" w:color="auto"/>
              <w:right w:val="single" w:sz="4" w:space="0" w:color="auto"/>
            </w:tcBorders>
            <w:shd w:val="clear" w:color="auto" w:fill="C6EFCE"/>
            <w:noWrap/>
          </w:tcPr>
          <w:p w14:paraId="50AECF02"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programa radi poticanja dubinske obnove zgrada, visokoučinkovitih alternativnih sustava, uz pridavanje posebne pozornosti osiguravanju zdravih unutarnjih klimatskih uvjeta, zaštiti od požara i otklanjanju rizika povezanih s pojačanom seizmološkom aktivnošću. Uvest će se i posebna kategorija energetske obnove zgrada sa statusom kulturnog dobra koje do sad u Hrvatskoj još nisu bile obuhvaćene programima energetske obnove za sufinanciranje sredstvima EU-a.</w:t>
            </w:r>
            <w:r>
              <w:rPr>
                <w:rFonts w:ascii="Calibri" w:hAnsi="Calibri"/>
                <w:noProof/>
                <w:color w:val="000000"/>
                <w:sz w:val="20"/>
              </w:rPr>
              <w:br/>
              <w:t>Objava Programa suzbijanja energetskog siromaštva na područjima posebne državne skrbi za razdoblje 2021.–2025., koji obuhvaća sveobuhvatnu obnovu zgrada na potpomognutim područjima i područjima posebne državne skrbi, izgradnju kapaciteta za ublažavanje energetskog siromaštva, smanjenje neposredne potrošnje energije i posljedično smanjenje emisija CO</w:t>
            </w:r>
            <w:r>
              <w:rPr>
                <w:rFonts w:ascii="Calibri" w:hAnsi="Calibri"/>
                <w:noProof/>
                <w:color w:val="000000"/>
                <w:sz w:val="20"/>
                <w:vertAlign w:val="superscript"/>
              </w:rPr>
              <w:t>2</w:t>
            </w:r>
            <w:r>
              <w:rPr>
                <w:rFonts w:ascii="Calibri" w:hAnsi="Calibri"/>
                <w:noProof/>
                <w:color w:val="000000"/>
                <w:sz w:val="20"/>
              </w:rPr>
              <w:t xml:space="preserve"> u energetski siromašnim kućanstvima i ugroženim kućanstvima.</w:t>
            </w:r>
          </w:p>
        </w:tc>
      </w:tr>
      <w:tr w:rsidR="00733DCA" w:rsidRPr="004419A5" w14:paraId="554BB635"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3E38E37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352</w:t>
            </w:r>
          </w:p>
        </w:tc>
        <w:tc>
          <w:tcPr>
            <w:tcW w:w="821" w:type="dxa"/>
            <w:tcBorders>
              <w:top w:val="single" w:sz="4" w:space="0" w:color="auto"/>
              <w:left w:val="nil"/>
              <w:bottom w:val="single" w:sz="4" w:space="0" w:color="auto"/>
              <w:right w:val="single" w:sz="4" w:space="0" w:color="auto"/>
            </w:tcBorders>
            <w:shd w:val="clear" w:color="auto" w:fill="C6EFCE"/>
            <w:noWrap/>
          </w:tcPr>
          <w:p w14:paraId="277B797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R1</w:t>
            </w:r>
          </w:p>
        </w:tc>
        <w:tc>
          <w:tcPr>
            <w:tcW w:w="848" w:type="dxa"/>
            <w:tcBorders>
              <w:top w:val="single" w:sz="4" w:space="0" w:color="auto"/>
              <w:left w:val="nil"/>
              <w:bottom w:val="single" w:sz="4" w:space="0" w:color="auto"/>
              <w:right w:val="single" w:sz="4" w:space="0" w:color="auto"/>
            </w:tcBorders>
            <w:shd w:val="clear" w:color="auto" w:fill="C6EFCE"/>
            <w:noWrap/>
          </w:tcPr>
          <w:p w14:paraId="46EFA24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72311B50"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Programa energetske obnove zgrada javnog sektora za razdoblje 2021.–2030.</w:t>
            </w:r>
          </w:p>
        </w:tc>
        <w:tc>
          <w:tcPr>
            <w:tcW w:w="2288" w:type="dxa"/>
            <w:tcBorders>
              <w:top w:val="single" w:sz="4" w:space="0" w:color="auto"/>
              <w:left w:val="nil"/>
              <w:bottom w:val="single" w:sz="4" w:space="0" w:color="auto"/>
              <w:right w:val="single" w:sz="4" w:space="0" w:color="auto"/>
            </w:tcBorders>
            <w:shd w:val="clear" w:color="auto" w:fill="C6EFCE"/>
            <w:noWrap/>
          </w:tcPr>
          <w:p w14:paraId="60F1BBA1"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Objava na službenim internetskim stranicama MPGI-ja </w:t>
            </w:r>
          </w:p>
        </w:tc>
        <w:tc>
          <w:tcPr>
            <w:tcW w:w="1067" w:type="dxa"/>
            <w:tcBorders>
              <w:top w:val="single" w:sz="4" w:space="0" w:color="auto"/>
              <w:left w:val="nil"/>
              <w:bottom w:val="single" w:sz="4" w:space="0" w:color="auto"/>
              <w:right w:val="single" w:sz="4" w:space="0" w:color="auto"/>
            </w:tcBorders>
            <w:shd w:val="clear" w:color="auto" w:fill="C6EFCE"/>
            <w:noWrap/>
          </w:tcPr>
          <w:p w14:paraId="34B7FB2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single" w:sz="4" w:space="0" w:color="auto"/>
              <w:left w:val="nil"/>
              <w:bottom w:val="single" w:sz="4" w:space="0" w:color="auto"/>
              <w:right w:val="single" w:sz="4" w:space="0" w:color="auto"/>
            </w:tcBorders>
            <w:shd w:val="clear" w:color="auto" w:fill="C6EFCE"/>
            <w:noWrap/>
          </w:tcPr>
          <w:p w14:paraId="112B2E6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single" w:sz="4" w:space="0" w:color="auto"/>
              <w:left w:val="nil"/>
              <w:bottom w:val="single" w:sz="4" w:space="0" w:color="auto"/>
              <w:right w:val="single" w:sz="4" w:space="0" w:color="auto"/>
            </w:tcBorders>
            <w:shd w:val="clear" w:color="auto" w:fill="C6EFCE"/>
            <w:noWrap/>
          </w:tcPr>
          <w:p w14:paraId="40A035C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single" w:sz="4" w:space="0" w:color="auto"/>
              <w:left w:val="nil"/>
              <w:bottom w:val="single" w:sz="4" w:space="0" w:color="auto"/>
              <w:right w:val="single" w:sz="4" w:space="0" w:color="auto"/>
            </w:tcBorders>
            <w:shd w:val="clear" w:color="auto" w:fill="C6EFCE"/>
            <w:noWrap/>
          </w:tcPr>
          <w:p w14:paraId="5D3CFA7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641" w:type="dxa"/>
            <w:tcBorders>
              <w:top w:val="single" w:sz="4" w:space="0" w:color="auto"/>
              <w:left w:val="nil"/>
              <w:bottom w:val="single" w:sz="4" w:space="0" w:color="auto"/>
              <w:right w:val="single" w:sz="4" w:space="0" w:color="auto"/>
            </w:tcBorders>
            <w:shd w:val="clear" w:color="auto" w:fill="C6EFCE"/>
            <w:noWrap/>
          </w:tcPr>
          <w:p w14:paraId="0762D21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7522DB80"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Programa energetske obnove zgrada javnog sektora za razdoblje 2021.–2030., koji obuhvaća sveobuhvatnu obnovu zgrada javnog sektora uključujući mjere energetske i resursne učinkovitosti, uz smanjenje toplinskih potreba i potrošnje energije u zgradama javnog sektora i povećanje korištenja energije iz obnovljivih izvora te posljedično smanjenje emisija CO</w:t>
            </w:r>
            <w:r>
              <w:rPr>
                <w:rFonts w:ascii="Calibri" w:hAnsi="Calibri"/>
                <w:noProof/>
                <w:color w:val="000000"/>
                <w:sz w:val="20"/>
                <w:vertAlign w:val="superscript"/>
              </w:rPr>
              <w:t>2</w:t>
            </w:r>
            <w:r>
              <w:rPr>
                <w:rFonts w:ascii="Calibri" w:hAnsi="Calibri"/>
                <w:noProof/>
                <w:color w:val="000000"/>
                <w:sz w:val="20"/>
              </w:rPr>
              <w:t>.</w:t>
            </w:r>
          </w:p>
        </w:tc>
      </w:tr>
      <w:tr w:rsidR="00733DCA" w:rsidRPr="004419A5" w14:paraId="40D23D8F"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549A011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353</w:t>
            </w:r>
          </w:p>
        </w:tc>
        <w:tc>
          <w:tcPr>
            <w:tcW w:w="821" w:type="dxa"/>
            <w:tcBorders>
              <w:top w:val="single" w:sz="4" w:space="0" w:color="auto"/>
              <w:left w:val="nil"/>
              <w:bottom w:val="single" w:sz="4" w:space="0" w:color="auto"/>
              <w:right w:val="single" w:sz="4" w:space="0" w:color="auto"/>
            </w:tcBorders>
            <w:shd w:val="clear" w:color="auto" w:fill="C6EFCE"/>
            <w:noWrap/>
          </w:tcPr>
          <w:p w14:paraId="3327E60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R1-I1</w:t>
            </w:r>
          </w:p>
        </w:tc>
        <w:tc>
          <w:tcPr>
            <w:tcW w:w="848" w:type="dxa"/>
            <w:tcBorders>
              <w:top w:val="single" w:sz="4" w:space="0" w:color="auto"/>
              <w:left w:val="nil"/>
              <w:bottom w:val="single" w:sz="4" w:space="0" w:color="auto"/>
              <w:right w:val="single" w:sz="4" w:space="0" w:color="auto"/>
            </w:tcBorders>
            <w:shd w:val="clear" w:color="auto" w:fill="C6EFCE"/>
            <w:noWrap/>
          </w:tcPr>
          <w:p w14:paraId="1CAFA5B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1975C9F5"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Potpisani ugovori za energetsku obnovu javnih i višestambenih zgrada </w:t>
            </w:r>
          </w:p>
        </w:tc>
        <w:tc>
          <w:tcPr>
            <w:tcW w:w="2288" w:type="dxa"/>
            <w:tcBorders>
              <w:top w:val="single" w:sz="4" w:space="0" w:color="auto"/>
              <w:left w:val="nil"/>
              <w:bottom w:val="single" w:sz="4" w:space="0" w:color="auto"/>
              <w:right w:val="single" w:sz="4" w:space="0" w:color="auto"/>
            </w:tcBorders>
            <w:shd w:val="clear" w:color="auto" w:fill="C6EFCE"/>
            <w:noWrap/>
          </w:tcPr>
          <w:p w14:paraId="56D1795E"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3D2A024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xml:space="preserve">EUR </w:t>
            </w:r>
          </w:p>
        </w:tc>
        <w:tc>
          <w:tcPr>
            <w:tcW w:w="707" w:type="dxa"/>
            <w:tcBorders>
              <w:top w:val="single" w:sz="4" w:space="0" w:color="auto"/>
              <w:left w:val="nil"/>
              <w:bottom w:val="single" w:sz="4" w:space="0" w:color="auto"/>
              <w:right w:val="single" w:sz="4" w:space="0" w:color="auto"/>
            </w:tcBorders>
            <w:shd w:val="clear" w:color="auto" w:fill="C6EFCE"/>
            <w:noWrap/>
          </w:tcPr>
          <w:p w14:paraId="0FA67D0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0116DBC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66 361 404</w:t>
            </w:r>
          </w:p>
        </w:tc>
        <w:tc>
          <w:tcPr>
            <w:tcW w:w="424" w:type="dxa"/>
            <w:tcBorders>
              <w:top w:val="single" w:sz="4" w:space="0" w:color="auto"/>
              <w:left w:val="nil"/>
              <w:bottom w:val="single" w:sz="4" w:space="0" w:color="auto"/>
              <w:right w:val="single" w:sz="4" w:space="0" w:color="auto"/>
            </w:tcBorders>
            <w:shd w:val="clear" w:color="auto" w:fill="C6EFCE"/>
            <w:noWrap/>
          </w:tcPr>
          <w:p w14:paraId="64F9DBD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6072FD8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3674FB1C"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Potpisani ugovori u vrijednosti od 66 361 404 EUR za energetsku obnovu zgrada.  U svim ugovorima se navodi relevantni zahtjev za energetsku učinkovitost u smislu smanjenja potrošnje energije za grijanje od minimalno 50 % za svaku zgradu (osim za zgrade sa statusom kulturnog dobra) u odnosu na godišnju potrošnju energije za grijanje prije obnove, čime će se ostvariti 30 %-tno povećanje uštede primarne energije u odnosu na stanje prije obnove uz poštovanje načela nenanošenja bitne štete iz članka 17. Uredbe (EU) 2020/852 o uspostavi okvira za olakšavanje održivih ulaganja.</w:t>
            </w:r>
          </w:p>
        </w:tc>
      </w:tr>
      <w:tr w:rsidR="00733DCA" w:rsidRPr="004419A5" w14:paraId="18FC05B9"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5C906F5D"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354</w:t>
            </w:r>
          </w:p>
        </w:tc>
        <w:tc>
          <w:tcPr>
            <w:tcW w:w="821" w:type="dxa"/>
            <w:tcBorders>
              <w:top w:val="single" w:sz="4" w:space="0" w:color="auto"/>
              <w:left w:val="nil"/>
              <w:bottom w:val="single" w:sz="4" w:space="0" w:color="auto"/>
              <w:right w:val="single" w:sz="4" w:space="0" w:color="auto"/>
            </w:tcBorders>
            <w:shd w:val="clear" w:color="auto" w:fill="C6EFCE"/>
            <w:noWrap/>
          </w:tcPr>
          <w:p w14:paraId="2C0D2983"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R1-I1</w:t>
            </w:r>
          </w:p>
        </w:tc>
        <w:tc>
          <w:tcPr>
            <w:tcW w:w="848" w:type="dxa"/>
            <w:tcBorders>
              <w:top w:val="single" w:sz="4" w:space="0" w:color="auto"/>
              <w:left w:val="nil"/>
              <w:bottom w:val="single" w:sz="4" w:space="0" w:color="auto"/>
              <w:right w:val="single" w:sz="4" w:space="0" w:color="auto"/>
            </w:tcBorders>
            <w:shd w:val="clear" w:color="auto" w:fill="C6EFCE"/>
            <w:noWrap/>
          </w:tcPr>
          <w:p w14:paraId="0FFE618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2CF14BB2"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Energetska obnova višestambenih javnih zgrada </w:t>
            </w:r>
          </w:p>
        </w:tc>
        <w:tc>
          <w:tcPr>
            <w:tcW w:w="2288" w:type="dxa"/>
            <w:tcBorders>
              <w:top w:val="single" w:sz="4" w:space="0" w:color="auto"/>
              <w:left w:val="nil"/>
              <w:bottom w:val="single" w:sz="4" w:space="0" w:color="auto"/>
              <w:right w:val="single" w:sz="4" w:space="0" w:color="auto"/>
            </w:tcBorders>
            <w:shd w:val="clear" w:color="auto" w:fill="C6EFCE"/>
            <w:noWrap/>
          </w:tcPr>
          <w:p w14:paraId="3FF1AD9A"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359DC0C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 (m</w:t>
            </w:r>
            <w:r>
              <w:rPr>
                <w:rFonts w:ascii="Calibri" w:hAnsi="Calibri"/>
                <w:noProof/>
                <w:color w:val="000000"/>
                <w:sz w:val="20"/>
                <w:vertAlign w:val="superscript"/>
              </w:rPr>
              <w:t>2</w:t>
            </w:r>
            <w:r>
              <w:rPr>
                <w:rFonts w:ascii="Calibri" w:hAnsi="Calibri"/>
                <w:noProof/>
                <w:color w:val="000000"/>
                <w:sz w:val="20"/>
              </w:rPr>
              <w:t>)</w:t>
            </w:r>
          </w:p>
        </w:tc>
        <w:tc>
          <w:tcPr>
            <w:tcW w:w="707" w:type="dxa"/>
            <w:tcBorders>
              <w:top w:val="single" w:sz="4" w:space="0" w:color="auto"/>
              <w:left w:val="nil"/>
              <w:bottom w:val="single" w:sz="4" w:space="0" w:color="auto"/>
              <w:right w:val="single" w:sz="4" w:space="0" w:color="auto"/>
            </w:tcBorders>
            <w:shd w:val="clear" w:color="auto" w:fill="C6EFCE"/>
            <w:noWrap/>
          </w:tcPr>
          <w:p w14:paraId="7FF9E90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316DEE7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180 000</w:t>
            </w:r>
          </w:p>
        </w:tc>
        <w:tc>
          <w:tcPr>
            <w:tcW w:w="424" w:type="dxa"/>
            <w:tcBorders>
              <w:top w:val="single" w:sz="4" w:space="0" w:color="auto"/>
              <w:left w:val="nil"/>
              <w:bottom w:val="single" w:sz="4" w:space="0" w:color="auto"/>
              <w:right w:val="single" w:sz="4" w:space="0" w:color="auto"/>
            </w:tcBorders>
            <w:shd w:val="clear" w:color="auto" w:fill="C6EFCE"/>
            <w:noWrap/>
          </w:tcPr>
          <w:p w14:paraId="6161156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647E0A2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52581A76"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Dovršit će se energetska obnova najmanje 180 000 m</w:t>
            </w:r>
            <w:r>
              <w:rPr>
                <w:rFonts w:ascii="Calibri" w:hAnsi="Calibri"/>
                <w:noProof/>
                <w:color w:val="000000"/>
                <w:sz w:val="20"/>
                <w:vertAlign w:val="superscript"/>
              </w:rPr>
              <w:t>2</w:t>
            </w:r>
            <w:r>
              <w:rPr>
                <w:rFonts w:ascii="Calibri" w:hAnsi="Calibri"/>
                <w:noProof/>
                <w:color w:val="000000"/>
                <w:sz w:val="20"/>
              </w:rPr>
              <w:t xml:space="preserve"> višestambenih zgrada prema ugovorima o sufinanciranju, čime će se ispuniti zahtjev u pogledu smanjenja potrošnje energije za grijanje od najmanje 50 % za svaku zgradu u odnosu na godišnju potrošnju energije za grijanje prije obnove i ostvariti 30 %-tno povećanje uštede primarne energije u odnosu na stanje prije obnove, uz poštovanje načela nenanošenja bitne štete iz članka 17. Uredbe (EU) 2020/852 o uspostavi okvira za olakšavanje održivih ulaganja. </w:t>
            </w:r>
          </w:p>
        </w:tc>
      </w:tr>
      <w:tr w:rsidR="00733DCA" w:rsidRPr="004419A5" w14:paraId="7F740007"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774506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355</w:t>
            </w:r>
          </w:p>
        </w:tc>
        <w:tc>
          <w:tcPr>
            <w:tcW w:w="821" w:type="dxa"/>
            <w:tcBorders>
              <w:top w:val="single" w:sz="4" w:space="0" w:color="auto"/>
              <w:left w:val="nil"/>
              <w:bottom w:val="single" w:sz="4" w:space="0" w:color="auto"/>
              <w:right w:val="single" w:sz="4" w:space="0" w:color="auto"/>
            </w:tcBorders>
            <w:shd w:val="clear" w:color="auto" w:fill="C6EFCE"/>
            <w:noWrap/>
          </w:tcPr>
          <w:p w14:paraId="643DD3E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R1-I1</w:t>
            </w:r>
          </w:p>
        </w:tc>
        <w:tc>
          <w:tcPr>
            <w:tcW w:w="848" w:type="dxa"/>
            <w:tcBorders>
              <w:top w:val="single" w:sz="4" w:space="0" w:color="auto"/>
              <w:left w:val="nil"/>
              <w:bottom w:val="single" w:sz="4" w:space="0" w:color="auto"/>
              <w:right w:val="single" w:sz="4" w:space="0" w:color="auto"/>
            </w:tcBorders>
            <w:shd w:val="clear" w:color="auto" w:fill="C6EFCE"/>
            <w:noWrap/>
          </w:tcPr>
          <w:p w14:paraId="32F796F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5F667AB5"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Energetska obnova javnih zgrada </w:t>
            </w:r>
          </w:p>
        </w:tc>
        <w:tc>
          <w:tcPr>
            <w:tcW w:w="2288" w:type="dxa"/>
            <w:tcBorders>
              <w:top w:val="single" w:sz="4" w:space="0" w:color="auto"/>
              <w:left w:val="nil"/>
              <w:bottom w:val="single" w:sz="4" w:space="0" w:color="auto"/>
              <w:right w:val="single" w:sz="4" w:space="0" w:color="auto"/>
            </w:tcBorders>
            <w:shd w:val="clear" w:color="auto" w:fill="C6EFCE"/>
            <w:noWrap/>
          </w:tcPr>
          <w:p w14:paraId="797E65D1"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0114EAA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r>
              <w:rPr>
                <w:rFonts w:ascii="Calibri" w:hAnsi="Calibri"/>
                <w:noProof/>
                <w:color w:val="000000"/>
                <w:sz w:val="20"/>
              </w:rPr>
              <w:br/>
              <w:t>(m2)</w:t>
            </w:r>
          </w:p>
        </w:tc>
        <w:tc>
          <w:tcPr>
            <w:tcW w:w="707" w:type="dxa"/>
            <w:tcBorders>
              <w:top w:val="single" w:sz="4" w:space="0" w:color="auto"/>
              <w:left w:val="nil"/>
              <w:bottom w:val="single" w:sz="4" w:space="0" w:color="auto"/>
              <w:right w:val="single" w:sz="4" w:space="0" w:color="auto"/>
            </w:tcBorders>
            <w:shd w:val="clear" w:color="auto" w:fill="C6EFCE"/>
            <w:noWrap/>
          </w:tcPr>
          <w:p w14:paraId="1A79E4F4"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51511C8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288 000</w:t>
            </w:r>
          </w:p>
        </w:tc>
        <w:tc>
          <w:tcPr>
            <w:tcW w:w="424" w:type="dxa"/>
            <w:tcBorders>
              <w:top w:val="single" w:sz="4" w:space="0" w:color="auto"/>
              <w:left w:val="nil"/>
              <w:bottom w:val="single" w:sz="4" w:space="0" w:color="auto"/>
              <w:right w:val="single" w:sz="4" w:space="0" w:color="auto"/>
            </w:tcBorders>
            <w:shd w:val="clear" w:color="auto" w:fill="C6EFCE"/>
            <w:noWrap/>
          </w:tcPr>
          <w:p w14:paraId="2FC0AC7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0DA4462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72248E4C"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Dovršit će se energetska obnova najmanje 288 000 m</w:t>
            </w:r>
            <w:r>
              <w:rPr>
                <w:rFonts w:ascii="Calibri" w:hAnsi="Calibri"/>
                <w:noProof/>
                <w:color w:val="000000"/>
                <w:sz w:val="20"/>
                <w:vertAlign w:val="superscript"/>
              </w:rPr>
              <w:t>2</w:t>
            </w:r>
            <w:r>
              <w:rPr>
                <w:rFonts w:ascii="Calibri" w:hAnsi="Calibri"/>
                <w:noProof/>
                <w:color w:val="000000"/>
                <w:sz w:val="20"/>
              </w:rPr>
              <w:t xml:space="preserve"> javnih zgrada prema ugovorima o sufinanciranju, čime će se ispuniti zahtjev u pogledu smanjenja potrošnje energije za grijanje od najmanje 50 % za svaku zgradu u odnosu na godišnju potrošnju energije za grijanje prije obnove i ostvariti 30 %-tno povećanje uštede primarne energije u odnosu na stanje prije obnove, uz poštovanje načela nenanošenja bitne štete iz članka 17. Uredbe (EU) 2020/852 o uspostavi okvira za olakšavanje održivih ulaganja. </w:t>
            </w:r>
          </w:p>
        </w:tc>
      </w:tr>
      <w:tr w:rsidR="00733DCA" w:rsidRPr="004419A5" w14:paraId="14614761"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6B07E04"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358</w:t>
            </w:r>
          </w:p>
        </w:tc>
        <w:tc>
          <w:tcPr>
            <w:tcW w:w="821" w:type="dxa"/>
            <w:tcBorders>
              <w:top w:val="single" w:sz="4" w:space="0" w:color="auto"/>
              <w:left w:val="nil"/>
              <w:bottom w:val="single" w:sz="4" w:space="0" w:color="auto"/>
              <w:right w:val="single" w:sz="4" w:space="0" w:color="auto"/>
            </w:tcBorders>
            <w:shd w:val="clear" w:color="auto" w:fill="C6EFCE"/>
            <w:noWrap/>
          </w:tcPr>
          <w:p w14:paraId="6BDF546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R1-I3</w:t>
            </w:r>
          </w:p>
        </w:tc>
        <w:tc>
          <w:tcPr>
            <w:tcW w:w="848" w:type="dxa"/>
            <w:tcBorders>
              <w:top w:val="single" w:sz="4" w:space="0" w:color="auto"/>
              <w:left w:val="nil"/>
              <w:bottom w:val="single" w:sz="4" w:space="0" w:color="auto"/>
              <w:right w:val="single" w:sz="4" w:space="0" w:color="auto"/>
            </w:tcBorders>
            <w:shd w:val="clear" w:color="auto" w:fill="C6EFCE"/>
            <w:noWrap/>
          </w:tcPr>
          <w:p w14:paraId="71B6552D"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7AEE841F"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Energetska obnova zgrada sa statusom kulturnog dobra </w:t>
            </w:r>
          </w:p>
        </w:tc>
        <w:tc>
          <w:tcPr>
            <w:tcW w:w="2288" w:type="dxa"/>
            <w:tcBorders>
              <w:top w:val="single" w:sz="4" w:space="0" w:color="auto"/>
              <w:left w:val="nil"/>
              <w:bottom w:val="single" w:sz="4" w:space="0" w:color="auto"/>
              <w:right w:val="single" w:sz="4" w:space="0" w:color="auto"/>
            </w:tcBorders>
            <w:shd w:val="clear" w:color="auto" w:fill="C6EFCE"/>
            <w:noWrap/>
          </w:tcPr>
          <w:p w14:paraId="2B4FA54E"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2985678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 (m</w:t>
            </w:r>
            <w:r>
              <w:rPr>
                <w:rFonts w:ascii="Calibri" w:hAnsi="Calibri"/>
                <w:noProof/>
                <w:color w:val="000000"/>
                <w:sz w:val="20"/>
                <w:vertAlign w:val="superscript"/>
              </w:rPr>
              <w:t>2</w:t>
            </w:r>
            <w:r>
              <w:rPr>
                <w:rFonts w:ascii="Calibri" w:hAnsi="Calibri"/>
                <w:noProof/>
                <w:color w:val="000000"/>
                <w:sz w:val="20"/>
              </w:rPr>
              <w:t>)</w:t>
            </w:r>
          </w:p>
        </w:tc>
        <w:tc>
          <w:tcPr>
            <w:tcW w:w="707" w:type="dxa"/>
            <w:tcBorders>
              <w:top w:val="single" w:sz="4" w:space="0" w:color="auto"/>
              <w:left w:val="nil"/>
              <w:bottom w:val="single" w:sz="4" w:space="0" w:color="auto"/>
              <w:right w:val="single" w:sz="4" w:space="0" w:color="auto"/>
            </w:tcBorders>
            <w:shd w:val="clear" w:color="auto" w:fill="C6EFCE"/>
            <w:noWrap/>
          </w:tcPr>
          <w:p w14:paraId="7DE220E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67151CD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31 000</w:t>
            </w:r>
          </w:p>
        </w:tc>
        <w:tc>
          <w:tcPr>
            <w:tcW w:w="424" w:type="dxa"/>
            <w:tcBorders>
              <w:top w:val="single" w:sz="4" w:space="0" w:color="auto"/>
              <w:left w:val="nil"/>
              <w:bottom w:val="single" w:sz="4" w:space="0" w:color="auto"/>
              <w:right w:val="single" w:sz="4" w:space="0" w:color="auto"/>
            </w:tcBorders>
            <w:shd w:val="clear" w:color="auto" w:fill="C6EFCE"/>
            <w:noWrap/>
          </w:tcPr>
          <w:p w14:paraId="3000B66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26636EA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4F97FA11"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Dovršit će se energetska obnova najmanje 31 000 m</w:t>
            </w:r>
            <w:r>
              <w:rPr>
                <w:rFonts w:ascii="Calibri" w:hAnsi="Calibri"/>
                <w:noProof/>
                <w:color w:val="000000"/>
                <w:sz w:val="20"/>
                <w:vertAlign w:val="superscript"/>
              </w:rPr>
              <w:t>2</w:t>
            </w:r>
            <w:r>
              <w:rPr>
                <w:rFonts w:ascii="Calibri" w:hAnsi="Calibri"/>
                <w:noProof/>
                <w:color w:val="000000"/>
                <w:sz w:val="20"/>
              </w:rPr>
              <w:t xml:space="preserve"> zgrada sa statusom kulturnog dobra, čime će u prosjeku ostvariti 30 %-tno povećanje uštede primarne energije (uz minimalni zahtjev od 20 % za svaku zgradu) u odnosu na stanje prije obnove, uz poštovanje načela nenanošenja bitne štete iz članka 17. Uredbe (EU) 2020/852 o uspostavi okvira za olakšavanje održivih ulaganja. </w:t>
            </w:r>
            <w:r>
              <w:rPr>
                <w:rFonts w:ascii="Calibri" w:hAnsi="Calibri"/>
                <w:noProof/>
                <w:color w:val="000000"/>
                <w:sz w:val="20"/>
              </w:rPr>
              <w:br/>
              <w:t xml:space="preserve">Ulaganje uključuje pripremu i provedbu otvorenih poziva na dostavu projektnih prijedloga za izradu dokumentacije i provedbu radova energetske obnove zgrada sa statusom kulturnog dobra javne i kulturne namjene. Program obuhvaća dvije kategorije zgrada: pojedinačno zaštićena kulturna dobra (pojedinačne građevine i graditeljski sklopovi) i zgrade koje se nalaze unutar zaštićene kulturno-povijesne cjeline. </w:t>
            </w:r>
          </w:p>
        </w:tc>
      </w:tr>
      <w:tr w:rsidR="00733DCA" w:rsidRPr="004419A5" w14:paraId="7B577E8E"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2FC089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359</w:t>
            </w:r>
          </w:p>
        </w:tc>
        <w:tc>
          <w:tcPr>
            <w:tcW w:w="821" w:type="dxa"/>
            <w:tcBorders>
              <w:top w:val="single" w:sz="4" w:space="0" w:color="auto"/>
              <w:left w:val="nil"/>
              <w:bottom w:val="single" w:sz="4" w:space="0" w:color="auto"/>
              <w:right w:val="single" w:sz="4" w:space="0" w:color="auto"/>
            </w:tcBorders>
            <w:shd w:val="clear" w:color="auto" w:fill="C6EFCE"/>
            <w:noWrap/>
          </w:tcPr>
          <w:p w14:paraId="49E3479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R2</w:t>
            </w:r>
          </w:p>
        </w:tc>
        <w:tc>
          <w:tcPr>
            <w:tcW w:w="848" w:type="dxa"/>
            <w:tcBorders>
              <w:top w:val="single" w:sz="4" w:space="0" w:color="auto"/>
              <w:left w:val="nil"/>
              <w:bottom w:val="single" w:sz="4" w:space="0" w:color="auto"/>
              <w:right w:val="single" w:sz="4" w:space="0" w:color="auto"/>
            </w:tcBorders>
            <w:shd w:val="clear" w:color="auto" w:fill="C6EFCE"/>
            <w:noWrap/>
          </w:tcPr>
          <w:p w14:paraId="2F3EAD6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128EDC5A"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Objava Nacionalnog plana za razvoj vještina u kontekstu zelenih poslova vezanih uz energetsku obnovu i obnovu nakon potresa</w:t>
            </w:r>
          </w:p>
        </w:tc>
        <w:tc>
          <w:tcPr>
            <w:tcW w:w="2288" w:type="dxa"/>
            <w:tcBorders>
              <w:top w:val="single" w:sz="4" w:space="0" w:color="auto"/>
              <w:left w:val="nil"/>
              <w:bottom w:val="single" w:sz="4" w:space="0" w:color="auto"/>
              <w:right w:val="single" w:sz="4" w:space="0" w:color="auto"/>
            </w:tcBorders>
            <w:shd w:val="clear" w:color="auto" w:fill="C6EFCE"/>
            <w:noWrap/>
          </w:tcPr>
          <w:p w14:paraId="0DA82850"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Objava na službenim internetskim stranicama MPGI-ja </w:t>
            </w:r>
          </w:p>
        </w:tc>
        <w:tc>
          <w:tcPr>
            <w:tcW w:w="1067" w:type="dxa"/>
            <w:tcBorders>
              <w:top w:val="single" w:sz="4" w:space="0" w:color="auto"/>
              <w:left w:val="nil"/>
              <w:bottom w:val="single" w:sz="4" w:space="0" w:color="auto"/>
              <w:right w:val="single" w:sz="4" w:space="0" w:color="auto"/>
            </w:tcBorders>
            <w:shd w:val="clear" w:color="auto" w:fill="C6EFCE"/>
            <w:noWrap/>
          </w:tcPr>
          <w:p w14:paraId="071F40B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single" w:sz="4" w:space="0" w:color="auto"/>
              <w:left w:val="nil"/>
              <w:bottom w:val="single" w:sz="4" w:space="0" w:color="auto"/>
              <w:right w:val="single" w:sz="4" w:space="0" w:color="auto"/>
            </w:tcBorders>
            <w:shd w:val="clear" w:color="auto" w:fill="C6EFCE"/>
            <w:noWrap/>
          </w:tcPr>
          <w:p w14:paraId="550229B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single" w:sz="4" w:space="0" w:color="auto"/>
              <w:left w:val="nil"/>
              <w:bottom w:val="single" w:sz="4" w:space="0" w:color="auto"/>
              <w:right w:val="single" w:sz="4" w:space="0" w:color="auto"/>
            </w:tcBorders>
            <w:shd w:val="clear" w:color="auto" w:fill="C6EFCE"/>
            <w:noWrap/>
          </w:tcPr>
          <w:p w14:paraId="4F06E94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single" w:sz="4" w:space="0" w:color="auto"/>
              <w:left w:val="nil"/>
              <w:bottom w:val="single" w:sz="4" w:space="0" w:color="auto"/>
              <w:right w:val="single" w:sz="4" w:space="0" w:color="auto"/>
            </w:tcBorders>
            <w:shd w:val="clear" w:color="auto" w:fill="C6EFCE"/>
            <w:noWrap/>
          </w:tcPr>
          <w:p w14:paraId="57314C6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194CB09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2E1F2191"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Objava Nacionalnog plana za razvoj vještina kojim će se unaprijediti zelene vještine u kontekstu energetske obnove, obnove nakon potresa, zelene infrastrukture, primjene rješenja zasnovanih na prirodi i kružnog gospodarenja prostorom i građevinama, na temelju revizije postojećih programa i izrade i prilagodbe obrazovnih programa utvrđenih u okviru reforme. </w:t>
            </w:r>
          </w:p>
        </w:tc>
      </w:tr>
      <w:tr w:rsidR="00733DCA" w:rsidRPr="004419A5" w14:paraId="3C260778"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669F075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360</w:t>
            </w:r>
          </w:p>
        </w:tc>
        <w:tc>
          <w:tcPr>
            <w:tcW w:w="821" w:type="dxa"/>
            <w:tcBorders>
              <w:top w:val="single" w:sz="4" w:space="0" w:color="auto"/>
              <w:left w:val="nil"/>
              <w:bottom w:val="single" w:sz="4" w:space="0" w:color="auto"/>
              <w:right w:val="single" w:sz="4" w:space="0" w:color="auto"/>
            </w:tcBorders>
            <w:shd w:val="clear" w:color="auto" w:fill="C6EFCE"/>
            <w:noWrap/>
          </w:tcPr>
          <w:p w14:paraId="7DE99B4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R2</w:t>
            </w:r>
          </w:p>
        </w:tc>
        <w:tc>
          <w:tcPr>
            <w:tcW w:w="848" w:type="dxa"/>
            <w:tcBorders>
              <w:top w:val="single" w:sz="4" w:space="0" w:color="auto"/>
              <w:left w:val="nil"/>
              <w:bottom w:val="single" w:sz="4" w:space="0" w:color="auto"/>
              <w:right w:val="single" w:sz="4" w:space="0" w:color="auto"/>
            </w:tcBorders>
            <w:shd w:val="clear" w:color="auto" w:fill="C6EFCE"/>
            <w:noWrap/>
          </w:tcPr>
          <w:p w14:paraId="05F5CFC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422FC900"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Završen program osposobljavanja i obrazovanja odraslih za obnovu nakon potresa i energetsku obnovu </w:t>
            </w:r>
          </w:p>
        </w:tc>
        <w:tc>
          <w:tcPr>
            <w:tcW w:w="2288" w:type="dxa"/>
            <w:tcBorders>
              <w:top w:val="single" w:sz="4" w:space="0" w:color="auto"/>
              <w:left w:val="nil"/>
              <w:bottom w:val="single" w:sz="4" w:space="0" w:color="auto"/>
              <w:right w:val="single" w:sz="4" w:space="0" w:color="auto"/>
            </w:tcBorders>
            <w:shd w:val="clear" w:color="auto" w:fill="C6EFCE"/>
            <w:noWrap/>
          </w:tcPr>
          <w:p w14:paraId="3E3ECD15"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0A4E6E6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707" w:type="dxa"/>
            <w:tcBorders>
              <w:top w:val="single" w:sz="4" w:space="0" w:color="auto"/>
              <w:left w:val="nil"/>
              <w:bottom w:val="single" w:sz="4" w:space="0" w:color="auto"/>
              <w:right w:val="single" w:sz="4" w:space="0" w:color="auto"/>
            </w:tcBorders>
            <w:shd w:val="clear" w:color="auto" w:fill="C6EFCE"/>
            <w:noWrap/>
          </w:tcPr>
          <w:p w14:paraId="7DEF369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5D0E4DB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500</w:t>
            </w:r>
          </w:p>
        </w:tc>
        <w:tc>
          <w:tcPr>
            <w:tcW w:w="424" w:type="dxa"/>
            <w:tcBorders>
              <w:top w:val="single" w:sz="4" w:space="0" w:color="auto"/>
              <w:left w:val="nil"/>
              <w:bottom w:val="single" w:sz="4" w:space="0" w:color="auto"/>
              <w:right w:val="single" w:sz="4" w:space="0" w:color="auto"/>
            </w:tcBorders>
            <w:shd w:val="clear" w:color="auto" w:fill="C6EFCE"/>
            <w:noWrap/>
          </w:tcPr>
          <w:p w14:paraId="08C95AD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2FAF151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6AC90086"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Ukupno 500 osoba dovršilo je programe obrazovanja odraslih za obnovu nakon potresa i energetsku obnovu koje su certificirali Pučko otvoreno sveučilište Zagreb, HZZ i druga relevantna tijela.</w:t>
            </w:r>
          </w:p>
        </w:tc>
      </w:tr>
      <w:tr w:rsidR="00733DCA" w:rsidRPr="004419A5" w14:paraId="3C137884"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9F96AED" w14:textId="28E5FADF" w:rsidR="00733DCA" w:rsidRPr="003C6FCF" w:rsidRDefault="00A31324"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400</w:t>
            </w:r>
          </w:p>
        </w:tc>
        <w:tc>
          <w:tcPr>
            <w:tcW w:w="821" w:type="dxa"/>
            <w:tcBorders>
              <w:top w:val="single" w:sz="4" w:space="0" w:color="auto"/>
              <w:left w:val="nil"/>
              <w:bottom w:val="single" w:sz="4" w:space="0" w:color="auto"/>
              <w:right w:val="single" w:sz="4" w:space="0" w:color="auto"/>
            </w:tcBorders>
            <w:shd w:val="clear" w:color="auto" w:fill="C6EFCE"/>
            <w:noWrap/>
          </w:tcPr>
          <w:p w14:paraId="1087C1E5" w14:textId="77777777" w:rsidR="00733DCA" w:rsidRPr="004419A5"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xml:space="preserve">C6.1. R2 </w:t>
            </w:r>
          </w:p>
        </w:tc>
        <w:tc>
          <w:tcPr>
            <w:tcW w:w="848" w:type="dxa"/>
            <w:tcBorders>
              <w:top w:val="single" w:sz="4" w:space="0" w:color="auto"/>
              <w:left w:val="nil"/>
              <w:bottom w:val="single" w:sz="4" w:space="0" w:color="auto"/>
              <w:right w:val="single" w:sz="4" w:space="0" w:color="auto"/>
            </w:tcBorders>
            <w:shd w:val="clear" w:color="auto" w:fill="C6EFCE"/>
            <w:noWrap/>
          </w:tcPr>
          <w:p w14:paraId="43261FB8" w14:textId="77777777" w:rsidR="00733DCA" w:rsidRPr="004419A5"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289BB228" w14:textId="2140CBCF" w:rsidR="00733DCA" w:rsidRPr="004419A5" w:rsidRDefault="00D55F75"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Pokretanje postupka akreditacije za uspostavu novog interdisciplinarnog smjera na diplomskom studiju </w:t>
            </w:r>
          </w:p>
        </w:tc>
        <w:tc>
          <w:tcPr>
            <w:tcW w:w="2288" w:type="dxa"/>
            <w:tcBorders>
              <w:top w:val="single" w:sz="4" w:space="0" w:color="auto"/>
              <w:left w:val="nil"/>
              <w:bottom w:val="single" w:sz="4" w:space="0" w:color="auto"/>
              <w:right w:val="single" w:sz="4" w:space="0" w:color="auto"/>
            </w:tcBorders>
            <w:shd w:val="clear" w:color="auto" w:fill="C6EFCE"/>
            <w:noWrap/>
          </w:tcPr>
          <w:p w14:paraId="780E79FA" w14:textId="6E33C16F" w:rsidR="00733DCA" w:rsidRPr="004419A5"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Dopusnica za otvaranje zatraženog smjera na diplomskom studiju</w:t>
            </w:r>
          </w:p>
        </w:tc>
        <w:tc>
          <w:tcPr>
            <w:tcW w:w="1067" w:type="dxa"/>
            <w:tcBorders>
              <w:top w:val="single" w:sz="4" w:space="0" w:color="auto"/>
              <w:left w:val="nil"/>
              <w:bottom w:val="single" w:sz="4" w:space="0" w:color="auto"/>
              <w:right w:val="single" w:sz="4" w:space="0" w:color="auto"/>
            </w:tcBorders>
            <w:shd w:val="clear" w:color="auto" w:fill="C6EFCE"/>
            <w:noWrap/>
          </w:tcPr>
          <w:p w14:paraId="5E6A56AB" w14:textId="77777777" w:rsidR="00733DCA" w:rsidRPr="004419A5" w:rsidRDefault="00733DCA" w:rsidP="0001477B">
            <w:pPr>
              <w:spacing w:after="200" w:line="276" w:lineRule="auto"/>
              <w:jc w:val="center"/>
              <w:rPr>
                <w:rFonts w:ascii="Calibri" w:eastAsia="Calibri" w:hAnsi="Calibri" w:cs="Arial"/>
                <w:noProof/>
                <w:color w:val="000000"/>
                <w:sz w:val="20"/>
                <w:szCs w:val="20"/>
                <w:lang w:val="en-GB"/>
              </w:rPr>
            </w:pPr>
          </w:p>
        </w:tc>
        <w:tc>
          <w:tcPr>
            <w:tcW w:w="707" w:type="dxa"/>
            <w:tcBorders>
              <w:top w:val="single" w:sz="4" w:space="0" w:color="auto"/>
              <w:left w:val="nil"/>
              <w:bottom w:val="single" w:sz="4" w:space="0" w:color="auto"/>
              <w:right w:val="single" w:sz="4" w:space="0" w:color="auto"/>
            </w:tcBorders>
            <w:shd w:val="clear" w:color="auto" w:fill="C6EFCE"/>
            <w:noWrap/>
          </w:tcPr>
          <w:p w14:paraId="308BB8DC" w14:textId="77777777" w:rsidR="00733DCA" w:rsidRPr="004419A5" w:rsidRDefault="00733DCA" w:rsidP="0001477B">
            <w:pPr>
              <w:spacing w:after="200" w:line="276" w:lineRule="auto"/>
              <w:jc w:val="center"/>
              <w:rPr>
                <w:rFonts w:ascii="Calibri" w:eastAsia="Calibri" w:hAnsi="Calibri" w:cs="Arial"/>
                <w:noProof/>
                <w:color w:val="000000"/>
                <w:sz w:val="20"/>
                <w:szCs w:val="20"/>
                <w:lang w:val="en-GB"/>
              </w:rPr>
            </w:pPr>
          </w:p>
        </w:tc>
        <w:tc>
          <w:tcPr>
            <w:tcW w:w="1356" w:type="dxa"/>
            <w:tcBorders>
              <w:top w:val="single" w:sz="4" w:space="0" w:color="auto"/>
              <w:left w:val="nil"/>
              <w:bottom w:val="single" w:sz="4" w:space="0" w:color="auto"/>
              <w:right w:val="single" w:sz="4" w:space="0" w:color="auto"/>
            </w:tcBorders>
            <w:shd w:val="clear" w:color="auto" w:fill="C6EFCE"/>
            <w:noWrap/>
          </w:tcPr>
          <w:p w14:paraId="7B3FA87C" w14:textId="77777777" w:rsidR="00733DCA" w:rsidRPr="004419A5" w:rsidRDefault="00733DCA" w:rsidP="0001477B">
            <w:pPr>
              <w:spacing w:after="200" w:line="276" w:lineRule="auto"/>
              <w:jc w:val="center"/>
              <w:rPr>
                <w:rFonts w:ascii="Calibri" w:eastAsia="Calibri" w:hAnsi="Calibri" w:cs="Arial"/>
                <w:noProof/>
                <w:color w:val="000000"/>
                <w:sz w:val="20"/>
                <w:szCs w:val="20"/>
                <w:lang w:val="en-GB"/>
              </w:rPr>
            </w:pPr>
          </w:p>
        </w:tc>
        <w:tc>
          <w:tcPr>
            <w:tcW w:w="424" w:type="dxa"/>
            <w:tcBorders>
              <w:top w:val="single" w:sz="4" w:space="0" w:color="auto"/>
              <w:left w:val="nil"/>
              <w:bottom w:val="single" w:sz="4" w:space="0" w:color="auto"/>
              <w:right w:val="single" w:sz="4" w:space="0" w:color="auto"/>
            </w:tcBorders>
            <w:shd w:val="clear" w:color="auto" w:fill="C6EFCE"/>
            <w:noWrap/>
          </w:tcPr>
          <w:p w14:paraId="542F91B6" w14:textId="38E20652" w:rsidR="00733DCA" w:rsidRPr="004419A5"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3.</w:t>
            </w:r>
          </w:p>
        </w:tc>
        <w:tc>
          <w:tcPr>
            <w:tcW w:w="641" w:type="dxa"/>
            <w:tcBorders>
              <w:top w:val="single" w:sz="4" w:space="0" w:color="auto"/>
              <w:left w:val="nil"/>
              <w:bottom w:val="single" w:sz="4" w:space="0" w:color="auto"/>
              <w:right w:val="single" w:sz="4" w:space="0" w:color="auto"/>
            </w:tcBorders>
            <w:shd w:val="clear" w:color="auto" w:fill="C6EFCE"/>
            <w:noWrap/>
          </w:tcPr>
          <w:p w14:paraId="3FF5C5EA" w14:textId="134B8AA1" w:rsidR="00733DCA" w:rsidRPr="000F2786"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2025.</w:t>
            </w:r>
          </w:p>
        </w:tc>
        <w:tc>
          <w:tcPr>
            <w:tcW w:w="4100" w:type="dxa"/>
            <w:tcBorders>
              <w:top w:val="single" w:sz="4" w:space="0" w:color="auto"/>
              <w:left w:val="nil"/>
              <w:bottom w:val="single" w:sz="4" w:space="0" w:color="auto"/>
              <w:right w:val="single" w:sz="4" w:space="0" w:color="auto"/>
            </w:tcBorders>
            <w:shd w:val="clear" w:color="auto" w:fill="C6EFCE"/>
            <w:noWrap/>
          </w:tcPr>
          <w:p w14:paraId="52B670D5" w14:textId="1DE81D7A" w:rsidR="00733DCA" w:rsidRPr="004419A5"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Zahtjev za odobravanje otvaranja novog smjera na diplomskom studiju u području tehničkih znanosti podnijet će se Agenciji za znanost i visoko obrazovanje </w:t>
            </w:r>
          </w:p>
        </w:tc>
      </w:tr>
      <w:tr w:rsidR="00733DCA" w:rsidRPr="004419A5" w14:paraId="628BF1EA"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52033153" w14:textId="6381E61C" w:rsidR="00733DCA" w:rsidRPr="003C6FCF" w:rsidRDefault="00274F03"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401</w:t>
            </w:r>
          </w:p>
        </w:tc>
        <w:tc>
          <w:tcPr>
            <w:tcW w:w="821" w:type="dxa"/>
            <w:tcBorders>
              <w:top w:val="single" w:sz="4" w:space="0" w:color="auto"/>
              <w:left w:val="nil"/>
              <w:bottom w:val="single" w:sz="4" w:space="0" w:color="auto"/>
              <w:right w:val="single" w:sz="4" w:space="0" w:color="auto"/>
            </w:tcBorders>
            <w:shd w:val="clear" w:color="auto" w:fill="C6EFCE"/>
            <w:noWrap/>
          </w:tcPr>
          <w:p w14:paraId="5F882108" w14:textId="77777777" w:rsidR="00733DCA"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 xml:space="preserve">C6.1. R2 </w:t>
            </w:r>
          </w:p>
          <w:p w14:paraId="04680E9F" w14:textId="77777777" w:rsidR="00733DCA" w:rsidRPr="0091654B" w:rsidRDefault="00733DCA" w:rsidP="0001477B">
            <w:pPr>
              <w:spacing w:after="200" w:line="276" w:lineRule="auto"/>
              <w:jc w:val="center"/>
              <w:rPr>
                <w:rFonts w:ascii="Calibri" w:eastAsia="Calibri" w:hAnsi="Calibri" w:cs="Arial"/>
                <w:noProof/>
                <w:color w:val="000000"/>
                <w:sz w:val="20"/>
                <w:szCs w:val="20"/>
                <w:lang w:val="en-GB"/>
              </w:rPr>
            </w:pPr>
          </w:p>
        </w:tc>
        <w:tc>
          <w:tcPr>
            <w:tcW w:w="848" w:type="dxa"/>
            <w:tcBorders>
              <w:top w:val="single" w:sz="4" w:space="0" w:color="auto"/>
              <w:left w:val="nil"/>
              <w:bottom w:val="single" w:sz="4" w:space="0" w:color="auto"/>
              <w:right w:val="single" w:sz="4" w:space="0" w:color="auto"/>
            </w:tcBorders>
            <w:shd w:val="clear" w:color="auto" w:fill="C6EFCE"/>
            <w:noWrap/>
          </w:tcPr>
          <w:p w14:paraId="27058DA7" w14:textId="77777777" w:rsidR="00733DCA"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1B1819BC" w14:textId="33BF37B0" w:rsidR="00733DCA"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Otvoreni upisi na novi smjer na diplomskom studiju</w:t>
            </w:r>
          </w:p>
          <w:p w14:paraId="06A00184" w14:textId="77777777" w:rsidR="00733DCA" w:rsidRDefault="00733DCA" w:rsidP="0001477B">
            <w:pPr>
              <w:spacing w:after="200" w:line="276" w:lineRule="auto"/>
              <w:rPr>
                <w:rFonts w:ascii="Calibri" w:eastAsia="Calibri" w:hAnsi="Calibri" w:cs="Arial"/>
                <w:noProof/>
                <w:color w:val="000000"/>
                <w:sz w:val="20"/>
                <w:szCs w:val="20"/>
                <w:lang w:val="en-GB"/>
              </w:rPr>
            </w:pPr>
          </w:p>
        </w:tc>
        <w:tc>
          <w:tcPr>
            <w:tcW w:w="2288" w:type="dxa"/>
            <w:tcBorders>
              <w:top w:val="single" w:sz="4" w:space="0" w:color="auto"/>
              <w:left w:val="nil"/>
              <w:bottom w:val="single" w:sz="4" w:space="0" w:color="auto"/>
              <w:right w:val="single" w:sz="4" w:space="0" w:color="auto"/>
            </w:tcBorders>
            <w:shd w:val="clear" w:color="auto" w:fill="C6EFCE"/>
            <w:noWrap/>
          </w:tcPr>
          <w:p w14:paraId="4366CB9E" w14:textId="44BB34DC" w:rsidR="00733DCA"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Objavljen poziv na prijave za upis u novi smjer na diplomskom studiju  </w:t>
            </w:r>
          </w:p>
          <w:p w14:paraId="599E3BBF" w14:textId="77777777" w:rsidR="00733DCA" w:rsidRDefault="00733DCA" w:rsidP="0001477B">
            <w:pPr>
              <w:spacing w:after="200" w:line="276" w:lineRule="auto"/>
              <w:rPr>
                <w:rFonts w:ascii="Calibri" w:eastAsia="Calibri" w:hAnsi="Calibri" w:cs="Arial"/>
                <w:noProof/>
                <w:color w:val="000000"/>
                <w:sz w:val="20"/>
                <w:szCs w:val="20"/>
                <w:lang w:val="en-GB"/>
              </w:rPr>
            </w:pPr>
          </w:p>
        </w:tc>
        <w:tc>
          <w:tcPr>
            <w:tcW w:w="1067" w:type="dxa"/>
            <w:tcBorders>
              <w:top w:val="single" w:sz="4" w:space="0" w:color="auto"/>
              <w:left w:val="nil"/>
              <w:bottom w:val="single" w:sz="4" w:space="0" w:color="auto"/>
              <w:right w:val="single" w:sz="4" w:space="0" w:color="auto"/>
            </w:tcBorders>
            <w:shd w:val="clear" w:color="auto" w:fill="C6EFCE"/>
            <w:noWrap/>
          </w:tcPr>
          <w:p w14:paraId="2666F5F1" w14:textId="77777777" w:rsidR="00733DCA" w:rsidRPr="004419A5" w:rsidRDefault="00733DCA" w:rsidP="0001477B">
            <w:pPr>
              <w:spacing w:after="200" w:line="276" w:lineRule="auto"/>
              <w:jc w:val="center"/>
              <w:rPr>
                <w:rFonts w:ascii="Calibri" w:eastAsia="Calibri" w:hAnsi="Calibri" w:cs="Arial"/>
                <w:noProof/>
                <w:color w:val="000000"/>
                <w:sz w:val="20"/>
                <w:szCs w:val="20"/>
                <w:lang w:val="en-GB"/>
              </w:rPr>
            </w:pPr>
          </w:p>
        </w:tc>
        <w:tc>
          <w:tcPr>
            <w:tcW w:w="707" w:type="dxa"/>
            <w:tcBorders>
              <w:top w:val="single" w:sz="4" w:space="0" w:color="auto"/>
              <w:left w:val="nil"/>
              <w:bottom w:val="single" w:sz="4" w:space="0" w:color="auto"/>
              <w:right w:val="single" w:sz="4" w:space="0" w:color="auto"/>
            </w:tcBorders>
            <w:shd w:val="clear" w:color="auto" w:fill="C6EFCE"/>
            <w:noWrap/>
          </w:tcPr>
          <w:p w14:paraId="56F5D313" w14:textId="77777777" w:rsidR="00733DCA" w:rsidRPr="004419A5" w:rsidRDefault="00733DCA" w:rsidP="0001477B">
            <w:pPr>
              <w:spacing w:after="200" w:line="276" w:lineRule="auto"/>
              <w:jc w:val="center"/>
              <w:rPr>
                <w:rFonts w:ascii="Calibri" w:eastAsia="Calibri" w:hAnsi="Calibri" w:cs="Arial"/>
                <w:noProof/>
                <w:color w:val="000000"/>
                <w:sz w:val="20"/>
                <w:szCs w:val="20"/>
                <w:lang w:val="en-GB"/>
              </w:rPr>
            </w:pPr>
          </w:p>
        </w:tc>
        <w:tc>
          <w:tcPr>
            <w:tcW w:w="1356" w:type="dxa"/>
            <w:tcBorders>
              <w:top w:val="single" w:sz="4" w:space="0" w:color="auto"/>
              <w:left w:val="nil"/>
              <w:bottom w:val="single" w:sz="4" w:space="0" w:color="auto"/>
              <w:right w:val="single" w:sz="4" w:space="0" w:color="auto"/>
            </w:tcBorders>
            <w:shd w:val="clear" w:color="auto" w:fill="C6EFCE"/>
            <w:noWrap/>
          </w:tcPr>
          <w:p w14:paraId="2FAF6668" w14:textId="77777777" w:rsidR="00733DCA" w:rsidRPr="004419A5" w:rsidRDefault="00733DCA" w:rsidP="0001477B">
            <w:pPr>
              <w:spacing w:after="200" w:line="276" w:lineRule="auto"/>
              <w:jc w:val="center"/>
              <w:rPr>
                <w:rFonts w:ascii="Calibri" w:eastAsia="Calibri" w:hAnsi="Calibri" w:cs="Arial"/>
                <w:noProof/>
                <w:color w:val="000000"/>
                <w:sz w:val="20"/>
                <w:szCs w:val="20"/>
                <w:lang w:val="en-GB"/>
              </w:rPr>
            </w:pPr>
          </w:p>
        </w:tc>
        <w:tc>
          <w:tcPr>
            <w:tcW w:w="424" w:type="dxa"/>
            <w:tcBorders>
              <w:top w:val="single" w:sz="4" w:space="0" w:color="auto"/>
              <w:left w:val="nil"/>
              <w:bottom w:val="single" w:sz="4" w:space="0" w:color="auto"/>
              <w:right w:val="single" w:sz="4" w:space="0" w:color="auto"/>
            </w:tcBorders>
            <w:shd w:val="clear" w:color="auto" w:fill="C6EFCE"/>
            <w:noWrap/>
          </w:tcPr>
          <w:p w14:paraId="76F869D6" w14:textId="77777777" w:rsidR="00733DCA" w:rsidRDefault="00733DCA" w:rsidP="0001477B">
            <w:pPr>
              <w:spacing w:after="200" w:line="276" w:lineRule="auto"/>
              <w:jc w:val="center"/>
              <w:rPr>
                <w:rFonts w:ascii="Calibri" w:eastAsia="Calibri" w:hAnsi="Calibri" w:cs="Arial"/>
                <w:noProof/>
                <w:color w:val="000000"/>
                <w:sz w:val="20"/>
                <w:szCs w:val="20"/>
              </w:rPr>
            </w:pPr>
            <w:r>
              <w:rPr>
                <w:noProof/>
              </w:rPr>
              <w:t xml:space="preserve"> </w:t>
            </w: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33013094" w14:textId="77777777" w:rsidR="00733DCA" w:rsidRDefault="00733DCA"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4FB15EBA" w14:textId="5B44B1D5" w:rsidR="00733DCA" w:rsidRPr="000E6FCA" w:rsidRDefault="00733DCA"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Visoko učilište koje je nositelj novog diplomskog studijskog programa objavljuje poziv na podnošenje prijava za upis u novi smjer na diplomskom studiju s najmanje 30 upisnih mjesta na teret državnog proračuna.</w:t>
            </w:r>
          </w:p>
        </w:tc>
      </w:tr>
      <w:tr w:rsidR="00733DCA" w:rsidRPr="004419A5" w14:paraId="10E08040"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3A4EEB9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362</w:t>
            </w:r>
          </w:p>
        </w:tc>
        <w:tc>
          <w:tcPr>
            <w:tcW w:w="821" w:type="dxa"/>
            <w:tcBorders>
              <w:top w:val="single" w:sz="4" w:space="0" w:color="auto"/>
              <w:left w:val="nil"/>
              <w:bottom w:val="single" w:sz="4" w:space="0" w:color="auto"/>
              <w:right w:val="single" w:sz="4" w:space="0" w:color="auto"/>
            </w:tcBorders>
            <w:shd w:val="clear" w:color="auto" w:fill="C6EFCE"/>
            <w:noWrap/>
          </w:tcPr>
          <w:p w14:paraId="00B08DD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R3</w:t>
            </w:r>
          </w:p>
        </w:tc>
        <w:tc>
          <w:tcPr>
            <w:tcW w:w="848" w:type="dxa"/>
            <w:tcBorders>
              <w:top w:val="single" w:sz="4" w:space="0" w:color="auto"/>
              <w:left w:val="nil"/>
              <w:bottom w:val="single" w:sz="4" w:space="0" w:color="auto"/>
              <w:right w:val="single" w:sz="4" w:space="0" w:color="auto"/>
            </w:tcBorders>
            <w:shd w:val="clear" w:color="auto" w:fill="C6EFCE"/>
            <w:noWrap/>
          </w:tcPr>
          <w:p w14:paraId="103F563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68DB4A48"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Fizički ured jedinstvenog kontaktnog centra za energetsku obnovu i seizmičko ojačanje uspostavljen je i operativan</w:t>
            </w:r>
          </w:p>
        </w:tc>
        <w:tc>
          <w:tcPr>
            <w:tcW w:w="2288" w:type="dxa"/>
            <w:tcBorders>
              <w:top w:val="single" w:sz="4" w:space="0" w:color="auto"/>
              <w:left w:val="nil"/>
              <w:bottom w:val="single" w:sz="4" w:space="0" w:color="auto"/>
              <w:right w:val="single" w:sz="4" w:space="0" w:color="auto"/>
            </w:tcBorders>
            <w:shd w:val="clear" w:color="auto" w:fill="C6EFCE"/>
            <w:noWrap/>
          </w:tcPr>
          <w:p w14:paraId="3FBD8A61"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Jedinstveni kontaktni centar operativan je </w:t>
            </w:r>
          </w:p>
        </w:tc>
        <w:tc>
          <w:tcPr>
            <w:tcW w:w="1067" w:type="dxa"/>
            <w:tcBorders>
              <w:top w:val="single" w:sz="4" w:space="0" w:color="auto"/>
              <w:left w:val="nil"/>
              <w:bottom w:val="single" w:sz="4" w:space="0" w:color="auto"/>
              <w:right w:val="single" w:sz="4" w:space="0" w:color="auto"/>
            </w:tcBorders>
            <w:shd w:val="clear" w:color="auto" w:fill="C6EFCE"/>
            <w:noWrap/>
          </w:tcPr>
          <w:p w14:paraId="657281B4"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single" w:sz="4" w:space="0" w:color="auto"/>
              <w:left w:val="nil"/>
              <w:bottom w:val="single" w:sz="4" w:space="0" w:color="auto"/>
              <w:right w:val="single" w:sz="4" w:space="0" w:color="auto"/>
            </w:tcBorders>
            <w:shd w:val="clear" w:color="auto" w:fill="C6EFCE"/>
            <w:noWrap/>
          </w:tcPr>
          <w:p w14:paraId="74E6C7C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single" w:sz="4" w:space="0" w:color="auto"/>
              <w:left w:val="nil"/>
              <w:bottom w:val="single" w:sz="4" w:space="0" w:color="auto"/>
              <w:right w:val="single" w:sz="4" w:space="0" w:color="auto"/>
            </w:tcBorders>
            <w:shd w:val="clear" w:color="auto" w:fill="C6EFCE"/>
            <w:noWrap/>
          </w:tcPr>
          <w:p w14:paraId="548A307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single" w:sz="4" w:space="0" w:color="auto"/>
              <w:left w:val="nil"/>
              <w:bottom w:val="single" w:sz="4" w:space="0" w:color="auto"/>
              <w:right w:val="single" w:sz="4" w:space="0" w:color="auto"/>
            </w:tcBorders>
            <w:shd w:val="clear" w:color="auto" w:fill="C6EFCE"/>
            <w:noWrap/>
          </w:tcPr>
          <w:p w14:paraId="54735BD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6898246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100" w:type="dxa"/>
            <w:tcBorders>
              <w:top w:val="single" w:sz="4" w:space="0" w:color="auto"/>
              <w:left w:val="nil"/>
              <w:bottom w:val="single" w:sz="4" w:space="0" w:color="auto"/>
              <w:right w:val="single" w:sz="4" w:space="0" w:color="auto"/>
            </w:tcBorders>
            <w:shd w:val="clear" w:color="auto" w:fill="C6EFCE"/>
            <w:noWrap/>
          </w:tcPr>
          <w:p w14:paraId="2FBA15BB"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Razvit će se i pustiti u rad fizički ured jedinstvenog kontaktnog centra na potresom pogođenom području radi administrativnog rasterećenja građana. Ulaganje uključuje prilagodbu i modernizaciju fizičke infrastrukture na lokaciji na kojoj će se uspostaviti jedinstveni kontaktni centar, ulaganja u usluge razvoja i održavanja internetskih sustava, ulaganja u funkcionalnost internetskih sustava, obuku djelatnika, obuku uključenih javnih tijela i promidžbene aktivnosti.</w:t>
            </w:r>
          </w:p>
        </w:tc>
      </w:tr>
      <w:tr w:rsidR="00733DCA" w:rsidRPr="004419A5" w14:paraId="0683E9BD"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0FA4DE83"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363</w:t>
            </w:r>
          </w:p>
        </w:tc>
        <w:tc>
          <w:tcPr>
            <w:tcW w:w="821" w:type="dxa"/>
            <w:tcBorders>
              <w:top w:val="single" w:sz="4" w:space="0" w:color="auto"/>
              <w:left w:val="nil"/>
              <w:bottom w:val="single" w:sz="4" w:space="0" w:color="auto"/>
              <w:right w:val="single" w:sz="4" w:space="0" w:color="auto"/>
            </w:tcBorders>
            <w:shd w:val="clear" w:color="auto" w:fill="C6EFCE"/>
            <w:noWrap/>
          </w:tcPr>
          <w:p w14:paraId="42F8F11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R3</w:t>
            </w:r>
          </w:p>
        </w:tc>
        <w:tc>
          <w:tcPr>
            <w:tcW w:w="848" w:type="dxa"/>
            <w:tcBorders>
              <w:top w:val="single" w:sz="4" w:space="0" w:color="auto"/>
              <w:left w:val="nil"/>
              <w:bottom w:val="single" w:sz="4" w:space="0" w:color="auto"/>
              <w:right w:val="single" w:sz="4" w:space="0" w:color="auto"/>
            </w:tcBorders>
            <w:shd w:val="clear" w:color="auto" w:fill="C6EFCE"/>
            <w:noWrap/>
          </w:tcPr>
          <w:p w14:paraId="63463E0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18C736C4"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Internetski jedinstveni kontaktni centar za energetsku obnovu i seizmičko ojačanje uspostavljen je i operativan </w:t>
            </w:r>
          </w:p>
        </w:tc>
        <w:tc>
          <w:tcPr>
            <w:tcW w:w="2288" w:type="dxa"/>
            <w:tcBorders>
              <w:top w:val="single" w:sz="4" w:space="0" w:color="auto"/>
              <w:left w:val="nil"/>
              <w:bottom w:val="single" w:sz="4" w:space="0" w:color="auto"/>
              <w:right w:val="single" w:sz="4" w:space="0" w:color="auto"/>
            </w:tcBorders>
            <w:shd w:val="clear" w:color="auto" w:fill="C6EFCE"/>
            <w:noWrap/>
          </w:tcPr>
          <w:p w14:paraId="2D8CBFF7"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Jedinstveni kontaktni centar operativan je  </w:t>
            </w:r>
          </w:p>
        </w:tc>
        <w:tc>
          <w:tcPr>
            <w:tcW w:w="1067" w:type="dxa"/>
            <w:tcBorders>
              <w:top w:val="single" w:sz="4" w:space="0" w:color="auto"/>
              <w:left w:val="nil"/>
              <w:bottom w:val="single" w:sz="4" w:space="0" w:color="auto"/>
              <w:right w:val="single" w:sz="4" w:space="0" w:color="auto"/>
            </w:tcBorders>
            <w:shd w:val="clear" w:color="auto" w:fill="C6EFCE"/>
            <w:noWrap/>
          </w:tcPr>
          <w:p w14:paraId="0BAD3A8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single" w:sz="4" w:space="0" w:color="auto"/>
              <w:left w:val="nil"/>
              <w:bottom w:val="single" w:sz="4" w:space="0" w:color="auto"/>
              <w:right w:val="single" w:sz="4" w:space="0" w:color="auto"/>
            </w:tcBorders>
            <w:shd w:val="clear" w:color="auto" w:fill="C6EFCE"/>
            <w:noWrap/>
          </w:tcPr>
          <w:p w14:paraId="0FAA1D3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single" w:sz="4" w:space="0" w:color="auto"/>
              <w:left w:val="nil"/>
              <w:bottom w:val="single" w:sz="4" w:space="0" w:color="auto"/>
              <w:right w:val="single" w:sz="4" w:space="0" w:color="auto"/>
            </w:tcBorders>
            <w:shd w:val="clear" w:color="auto" w:fill="C6EFCE"/>
            <w:noWrap/>
          </w:tcPr>
          <w:p w14:paraId="0C2E885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single" w:sz="4" w:space="0" w:color="auto"/>
              <w:left w:val="nil"/>
              <w:bottom w:val="single" w:sz="4" w:space="0" w:color="auto"/>
              <w:right w:val="single" w:sz="4" w:space="0" w:color="auto"/>
            </w:tcBorders>
            <w:shd w:val="clear" w:color="auto" w:fill="C6EFCE"/>
            <w:noWrap/>
          </w:tcPr>
          <w:p w14:paraId="70322E0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501C9F0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750CC8E5"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Puštanje u rad internetskog jedinstveni kontakt sustava u kojem su okupljene sve potrebne informacije za energetsku obnovu i obnovu nakon potresa.</w:t>
            </w:r>
            <w:r>
              <w:rPr>
                <w:rFonts w:ascii="Calibri" w:hAnsi="Calibri"/>
                <w:noProof/>
                <w:color w:val="000000"/>
                <w:sz w:val="20"/>
              </w:rPr>
              <w:br/>
              <w:t>Jedinstveni kontaktni centar provest će se u dvije faze: i. hitne usluge potrebne za hitnu konstrukcijsku obnovu i neophodnu sanaciju štete kako bi se zajamčila razina sigurnosti za građane i objekte; ii. integriranje svih ostalih usluga i informacija potrebnih za sveobuhvatnu i energetsku obnovu s uključenim uslugama i informacijama u skladu s načelom bolje rekonstrukcije.</w:t>
            </w:r>
          </w:p>
        </w:tc>
      </w:tr>
      <w:tr w:rsidR="00733DCA" w:rsidRPr="004419A5" w14:paraId="7867C4A4"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0DAAA48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364</w:t>
            </w:r>
          </w:p>
        </w:tc>
        <w:tc>
          <w:tcPr>
            <w:tcW w:w="821" w:type="dxa"/>
            <w:tcBorders>
              <w:top w:val="single" w:sz="4" w:space="0" w:color="auto"/>
              <w:left w:val="nil"/>
              <w:bottom w:val="single" w:sz="4" w:space="0" w:color="auto"/>
              <w:right w:val="single" w:sz="4" w:space="0" w:color="auto"/>
            </w:tcBorders>
            <w:shd w:val="clear" w:color="auto" w:fill="C6EFCE"/>
            <w:noWrap/>
          </w:tcPr>
          <w:p w14:paraId="66773AC4"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R3</w:t>
            </w:r>
          </w:p>
        </w:tc>
        <w:tc>
          <w:tcPr>
            <w:tcW w:w="848" w:type="dxa"/>
            <w:tcBorders>
              <w:top w:val="single" w:sz="4" w:space="0" w:color="auto"/>
              <w:left w:val="nil"/>
              <w:bottom w:val="single" w:sz="4" w:space="0" w:color="auto"/>
              <w:right w:val="single" w:sz="4" w:space="0" w:color="auto"/>
            </w:tcBorders>
            <w:shd w:val="clear" w:color="auto" w:fill="C6EFCE"/>
            <w:noWrap/>
          </w:tcPr>
          <w:p w14:paraId="07165BF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7FD35970"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Dovršena izobrazba zaposlenika za pružanje usluga jedinstvenog kontaktnog centra za energetsku učinkovitost i obnovu nakon potresa </w:t>
            </w:r>
          </w:p>
        </w:tc>
        <w:tc>
          <w:tcPr>
            <w:tcW w:w="2288" w:type="dxa"/>
            <w:tcBorders>
              <w:top w:val="single" w:sz="4" w:space="0" w:color="auto"/>
              <w:left w:val="nil"/>
              <w:bottom w:val="single" w:sz="4" w:space="0" w:color="auto"/>
              <w:right w:val="single" w:sz="4" w:space="0" w:color="auto"/>
            </w:tcBorders>
            <w:shd w:val="clear" w:color="auto" w:fill="C6EFCE"/>
            <w:noWrap/>
          </w:tcPr>
          <w:p w14:paraId="6A1B12CC"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067" w:type="dxa"/>
            <w:tcBorders>
              <w:top w:val="single" w:sz="4" w:space="0" w:color="auto"/>
              <w:left w:val="nil"/>
              <w:bottom w:val="single" w:sz="4" w:space="0" w:color="auto"/>
              <w:right w:val="single" w:sz="4" w:space="0" w:color="auto"/>
            </w:tcBorders>
            <w:shd w:val="clear" w:color="auto" w:fill="C6EFCE"/>
            <w:noWrap/>
          </w:tcPr>
          <w:p w14:paraId="2BAD18B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707" w:type="dxa"/>
            <w:tcBorders>
              <w:top w:val="single" w:sz="4" w:space="0" w:color="auto"/>
              <w:left w:val="nil"/>
              <w:bottom w:val="single" w:sz="4" w:space="0" w:color="auto"/>
              <w:right w:val="single" w:sz="4" w:space="0" w:color="auto"/>
            </w:tcBorders>
            <w:shd w:val="clear" w:color="auto" w:fill="C6EFCE"/>
            <w:noWrap/>
          </w:tcPr>
          <w:p w14:paraId="2A9A00F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7122FCE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80</w:t>
            </w:r>
          </w:p>
        </w:tc>
        <w:tc>
          <w:tcPr>
            <w:tcW w:w="424" w:type="dxa"/>
            <w:tcBorders>
              <w:top w:val="single" w:sz="4" w:space="0" w:color="auto"/>
              <w:left w:val="nil"/>
              <w:bottom w:val="single" w:sz="4" w:space="0" w:color="auto"/>
              <w:right w:val="single" w:sz="4" w:space="0" w:color="auto"/>
            </w:tcBorders>
            <w:shd w:val="clear" w:color="auto" w:fill="C6EFCE"/>
            <w:noWrap/>
          </w:tcPr>
          <w:p w14:paraId="664E3F6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62E43A4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689D5F8E"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Najmanje 80 javnih službenika osposobljeno je za pružanje visokokvalitetnih usluga koje kombiniraju energetsku učinkovitost i obnovu nakon potresa. Od čega najmanje 40 zaposlenika jedinstvenog kontaktnog centra pohađa izobrazbu o raznim aspektima obnove, posebno o otklanjanju administrativnih prepreka za provedbu aktivnosti obnove i o korištenju internetske platforme. Najmanje dodatnih 40 zaposlenika u relevantnim javnim institucijama prolazi osposobljavanje o administrativnim i tehničkim aspektima obnove i rada na internetskoj platformi.</w:t>
            </w:r>
          </w:p>
        </w:tc>
      </w:tr>
      <w:tr w:rsidR="00733DCA" w:rsidRPr="004419A5" w14:paraId="19564B5A" w14:textId="77777777" w:rsidTr="0001477B">
        <w:trPr>
          <w:trHeight w:val="1962"/>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3FEFC3A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365</w:t>
            </w:r>
          </w:p>
        </w:tc>
        <w:tc>
          <w:tcPr>
            <w:tcW w:w="821" w:type="dxa"/>
            <w:tcBorders>
              <w:top w:val="single" w:sz="4" w:space="0" w:color="auto"/>
              <w:left w:val="nil"/>
              <w:bottom w:val="single" w:sz="4" w:space="0" w:color="auto"/>
              <w:right w:val="single" w:sz="4" w:space="0" w:color="auto"/>
            </w:tcBorders>
            <w:shd w:val="clear" w:color="auto" w:fill="C6EFCE"/>
            <w:noWrap/>
          </w:tcPr>
          <w:p w14:paraId="6C31FC7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R4</w:t>
            </w:r>
          </w:p>
        </w:tc>
        <w:tc>
          <w:tcPr>
            <w:tcW w:w="848" w:type="dxa"/>
            <w:tcBorders>
              <w:top w:val="single" w:sz="4" w:space="0" w:color="auto"/>
              <w:left w:val="nil"/>
              <w:bottom w:val="single" w:sz="4" w:space="0" w:color="auto"/>
              <w:right w:val="single" w:sz="4" w:space="0" w:color="auto"/>
            </w:tcBorders>
            <w:shd w:val="clear" w:color="auto" w:fill="C6EFCE"/>
            <w:noWrap/>
          </w:tcPr>
          <w:p w14:paraId="54AE50E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3E632781"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Seizmološki podaci integrirani su u 10 stručnih podloga za prostorne planove jedinica lokalne uprave</w:t>
            </w:r>
          </w:p>
        </w:tc>
        <w:tc>
          <w:tcPr>
            <w:tcW w:w="2288" w:type="dxa"/>
            <w:tcBorders>
              <w:top w:val="single" w:sz="4" w:space="0" w:color="auto"/>
              <w:left w:val="nil"/>
              <w:bottom w:val="single" w:sz="4" w:space="0" w:color="auto"/>
              <w:right w:val="single" w:sz="4" w:space="0" w:color="auto"/>
            </w:tcBorders>
            <w:shd w:val="clear" w:color="auto" w:fill="C6EFCE"/>
            <w:noWrap/>
          </w:tcPr>
          <w:p w14:paraId="7CEF5B6C"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05933D1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707" w:type="dxa"/>
            <w:tcBorders>
              <w:top w:val="single" w:sz="4" w:space="0" w:color="auto"/>
              <w:left w:val="nil"/>
              <w:bottom w:val="single" w:sz="4" w:space="0" w:color="auto"/>
              <w:right w:val="single" w:sz="4" w:space="0" w:color="auto"/>
            </w:tcBorders>
            <w:shd w:val="clear" w:color="auto" w:fill="C6EFCE"/>
            <w:noWrap/>
          </w:tcPr>
          <w:p w14:paraId="7C9B62C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7028B0A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w:t>
            </w:r>
          </w:p>
        </w:tc>
        <w:tc>
          <w:tcPr>
            <w:tcW w:w="424" w:type="dxa"/>
            <w:tcBorders>
              <w:top w:val="single" w:sz="4" w:space="0" w:color="auto"/>
              <w:left w:val="nil"/>
              <w:bottom w:val="single" w:sz="4" w:space="0" w:color="auto"/>
              <w:right w:val="single" w:sz="4" w:space="0" w:color="auto"/>
            </w:tcBorders>
            <w:shd w:val="clear" w:color="auto" w:fill="C6EFCE"/>
            <w:noWrap/>
          </w:tcPr>
          <w:p w14:paraId="640DBA0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7DA683C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100" w:type="dxa"/>
            <w:tcBorders>
              <w:top w:val="single" w:sz="4" w:space="0" w:color="auto"/>
              <w:left w:val="nil"/>
              <w:bottom w:val="single" w:sz="4" w:space="0" w:color="auto"/>
              <w:right w:val="single" w:sz="4" w:space="0" w:color="auto"/>
            </w:tcBorders>
            <w:shd w:val="clear" w:color="auto" w:fill="C6EFCE"/>
            <w:noWrap/>
          </w:tcPr>
          <w:p w14:paraId="781A059D"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Potpuna integracija seizmičkih podataka (karte rasjeda, karte potresnih područja, karte podložnosti klizanju u odgovarajućim rezolucijama itd.) u sustav prostornog uređenja i primjena na 10 stručnih pilot-podloga za prostorne planove jedinica lokalne uprave. Rezultati analize seizmoloških podataka mogu se upotrijebiti za izmjene prostornih planova ili izradu novih prostornih planova nakon provedbe reforme. </w:t>
            </w:r>
          </w:p>
        </w:tc>
      </w:tr>
      <w:tr w:rsidR="00733DCA" w:rsidRPr="004419A5" w14:paraId="4BD61622"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E95842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366</w:t>
            </w:r>
          </w:p>
        </w:tc>
        <w:tc>
          <w:tcPr>
            <w:tcW w:w="821" w:type="dxa"/>
            <w:tcBorders>
              <w:top w:val="single" w:sz="4" w:space="0" w:color="auto"/>
              <w:left w:val="nil"/>
              <w:bottom w:val="single" w:sz="4" w:space="0" w:color="auto"/>
              <w:right w:val="single" w:sz="4" w:space="0" w:color="auto"/>
            </w:tcBorders>
            <w:shd w:val="clear" w:color="auto" w:fill="C6EFCE"/>
            <w:noWrap/>
          </w:tcPr>
          <w:p w14:paraId="68FB987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R4-I1</w:t>
            </w:r>
          </w:p>
        </w:tc>
        <w:tc>
          <w:tcPr>
            <w:tcW w:w="848" w:type="dxa"/>
            <w:tcBorders>
              <w:top w:val="single" w:sz="4" w:space="0" w:color="auto"/>
              <w:left w:val="nil"/>
              <w:bottom w:val="single" w:sz="4" w:space="0" w:color="auto"/>
              <w:right w:val="single" w:sz="4" w:space="0" w:color="auto"/>
            </w:tcBorders>
            <w:shd w:val="clear" w:color="auto" w:fill="C6EFCE"/>
            <w:noWrap/>
          </w:tcPr>
          <w:p w14:paraId="171423C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7AAE803B"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Nabavljene jedinice seizmološke opreme </w:t>
            </w:r>
          </w:p>
        </w:tc>
        <w:tc>
          <w:tcPr>
            <w:tcW w:w="2288" w:type="dxa"/>
            <w:tcBorders>
              <w:top w:val="single" w:sz="4" w:space="0" w:color="auto"/>
              <w:left w:val="nil"/>
              <w:bottom w:val="single" w:sz="4" w:space="0" w:color="auto"/>
              <w:right w:val="single" w:sz="4" w:space="0" w:color="auto"/>
            </w:tcBorders>
            <w:shd w:val="clear" w:color="auto" w:fill="C6EFCE"/>
            <w:noWrap/>
          </w:tcPr>
          <w:p w14:paraId="137A54F1"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57195E9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707" w:type="dxa"/>
            <w:tcBorders>
              <w:top w:val="single" w:sz="4" w:space="0" w:color="auto"/>
              <w:left w:val="nil"/>
              <w:bottom w:val="single" w:sz="4" w:space="0" w:color="auto"/>
              <w:right w:val="single" w:sz="4" w:space="0" w:color="auto"/>
            </w:tcBorders>
            <w:shd w:val="clear" w:color="auto" w:fill="C6EFCE"/>
            <w:noWrap/>
          </w:tcPr>
          <w:p w14:paraId="034FAEA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22EC6C6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300</w:t>
            </w:r>
          </w:p>
        </w:tc>
        <w:tc>
          <w:tcPr>
            <w:tcW w:w="424" w:type="dxa"/>
            <w:tcBorders>
              <w:top w:val="single" w:sz="4" w:space="0" w:color="auto"/>
              <w:left w:val="nil"/>
              <w:bottom w:val="single" w:sz="4" w:space="0" w:color="auto"/>
              <w:right w:val="single" w:sz="4" w:space="0" w:color="auto"/>
            </w:tcBorders>
            <w:shd w:val="clear" w:color="auto" w:fill="C6EFCE"/>
            <w:noWrap/>
          </w:tcPr>
          <w:p w14:paraId="630676B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0A0450A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6296BCCE"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Ulaganjem će se ojačati organizacijski i infrastrukturni kapaciteti Seizmološke službe Republike Hrvatske kupnjom najmanje 300 uređaja kako bi se povećala kvaliteta prikupljanja, obrade i primjene seizmoloških podataka potrebnih za proces obnove zgrada, planiranje razvoja novih objekata i praćenja javne infrastrukture, kao i jačanje otpornosti Hrvatske na potrese i povezane rizike.</w:t>
            </w:r>
          </w:p>
        </w:tc>
      </w:tr>
      <w:tr w:rsidR="00733DCA" w:rsidRPr="004419A5" w14:paraId="18B5DA00"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6F1BF46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367</w:t>
            </w:r>
          </w:p>
        </w:tc>
        <w:tc>
          <w:tcPr>
            <w:tcW w:w="821" w:type="dxa"/>
            <w:tcBorders>
              <w:top w:val="single" w:sz="4" w:space="0" w:color="auto"/>
              <w:left w:val="nil"/>
              <w:bottom w:val="single" w:sz="4" w:space="0" w:color="auto"/>
              <w:right w:val="single" w:sz="4" w:space="0" w:color="auto"/>
            </w:tcBorders>
            <w:shd w:val="clear" w:color="auto" w:fill="C6EFCE"/>
            <w:noWrap/>
          </w:tcPr>
          <w:p w14:paraId="1E7B523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R4-I1</w:t>
            </w:r>
          </w:p>
        </w:tc>
        <w:tc>
          <w:tcPr>
            <w:tcW w:w="848" w:type="dxa"/>
            <w:tcBorders>
              <w:top w:val="single" w:sz="4" w:space="0" w:color="auto"/>
              <w:left w:val="nil"/>
              <w:bottom w:val="single" w:sz="4" w:space="0" w:color="auto"/>
              <w:right w:val="single" w:sz="4" w:space="0" w:color="auto"/>
            </w:tcBorders>
            <w:shd w:val="clear" w:color="auto" w:fill="C6EFCE"/>
            <w:noWrap/>
          </w:tcPr>
          <w:p w14:paraId="7C0E7A5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52797FA7"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Zapošljavanje i osposobljavanje stručnjaka u Seizmološkoj službi </w:t>
            </w:r>
          </w:p>
        </w:tc>
        <w:tc>
          <w:tcPr>
            <w:tcW w:w="2288" w:type="dxa"/>
            <w:tcBorders>
              <w:top w:val="single" w:sz="4" w:space="0" w:color="auto"/>
              <w:left w:val="nil"/>
              <w:bottom w:val="single" w:sz="4" w:space="0" w:color="auto"/>
              <w:right w:val="single" w:sz="4" w:space="0" w:color="auto"/>
            </w:tcBorders>
            <w:shd w:val="clear" w:color="auto" w:fill="C6EFCE"/>
            <w:noWrap/>
          </w:tcPr>
          <w:p w14:paraId="1A230E4D"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067" w:type="dxa"/>
            <w:tcBorders>
              <w:top w:val="single" w:sz="4" w:space="0" w:color="auto"/>
              <w:left w:val="nil"/>
              <w:bottom w:val="single" w:sz="4" w:space="0" w:color="auto"/>
              <w:right w:val="single" w:sz="4" w:space="0" w:color="auto"/>
            </w:tcBorders>
            <w:shd w:val="clear" w:color="auto" w:fill="C6EFCE"/>
            <w:noWrap/>
          </w:tcPr>
          <w:p w14:paraId="4DE8514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707" w:type="dxa"/>
            <w:tcBorders>
              <w:top w:val="single" w:sz="4" w:space="0" w:color="auto"/>
              <w:left w:val="nil"/>
              <w:bottom w:val="single" w:sz="4" w:space="0" w:color="auto"/>
              <w:right w:val="single" w:sz="4" w:space="0" w:color="auto"/>
            </w:tcBorders>
            <w:shd w:val="clear" w:color="auto" w:fill="C6EFCE"/>
            <w:noWrap/>
          </w:tcPr>
          <w:p w14:paraId="6482D833"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12</w:t>
            </w:r>
          </w:p>
        </w:tc>
        <w:tc>
          <w:tcPr>
            <w:tcW w:w="1356" w:type="dxa"/>
            <w:tcBorders>
              <w:top w:val="single" w:sz="4" w:space="0" w:color="auto"/>
              <w:left w:val="nil"/>
              <w:bottom w:val="single" w:sz="4" w:space="0" w:color="auto"/>
              <w:right w:val="single" w:sz="4" w:space="0" w:color="auto"/>
            </w:tcBorders>
            <w:shd w:val="clear" w:color="auto" w:fill="C6EFCE"/>
            <w:noWrap/>
          </w:tcPr>
          <w:p w14:paraId="0AACFA57"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21</w:t>
            </w:r>
          </w:p>
        </w:tc>
        <w:tc>
          <w:tcPr>
            <w:tcW w:w="424" w:type="dxa"/>
            <w:tcBorders>
              <w:top w:val="single" w:sz="4" w:space="0" w:color="auto"/>
              <w:left w:val="nil"/>
              <w:bottom w:val="single" w:sz="4" w:space="0" w:color="auto"/>
              <w:right w:val="single" w:sz="4" w:space="0" w:color="auto"/>
            </w:tcBorders>
            <w:shd w:val="clear" w:color="auto" w:fill="C6EFCE"/>
            <w:noWrap/>
          </w:tcPr>
          <w:p w14:paraId="290C9EF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643B4EE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524E162F"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Zapošljavanje devet dodatnih stručnjaka u Seizmološkoj službi Republike Hrvatske, čije će se plaće financirati iz državnog proračuna nakon isteka RRF-a te završeno osposobljavanje za prikupljanje, obradu i analizu seizmičkih podataka na državnom području Republike Hrvatske.  </w:t>
            </w:r>
          </w:p>
        </w:tc>
      </w:tr>
      <w:tr w:rsidR="00733DCA" w:rsidRPr="004419A5" w14:paraId="4C629C6B"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378EC13"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368</w:t>
            </w:r>
          </w:p>
        </w:tc>
        <w:tc>
          <w:tcPr>
            <w:tcW w:w="821" w:type="dxa"/>
            <w:tcBorders>
              <w:top w:val="single" w:sz="4" w:space="0" w:color="auto"/>
              <w:left w:val="nil"/>
              <w:bottom w:val="single" w:sz="4" w:space="0" w:color="auto"/>
              <w:right w:val="single" w:sz="4" w:space="0" w:color="auto"/>
            </w:tcBorders>
            <w:shd w:val="clear" w:color="auto" w:fill="C6EFCE"/>
            <w:noWrap/>
          </w:tcPr>
          <w:p w14:paraId="21053F9D"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R5</w:t>
            </w:r>
          </w:p>
        </w:tc>
        <w:tc>
          <w:tcPr>
            <w:tcW w:w="848" w:type="dxa"/>
            <w:tcBorders>
              <w:top w:val="single" w:sz="4" w:space="0" w:color="auto"/>
              <w:left w:val="nil"/>
              <w:bottom w:val="single" w:sz="4" w:space="0" w:color="auto"/>
              <w:right w:val="single" w:sz="4" w:space="0" w:color="auto"/>
            </w:tcBorders>
            <w:shd w:val="clear" w:color="auto" w:fill="C6EFCE"/>
            <w:noWrap/>
          </w:tcPr>
          <w:p w14:paraId="6166320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289A98D4"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Programa razvoja kružnog gospodarenja prostorom i zgradama za razdoblje 2021.–2030. i Programa razvoja zelene infrastrukture u urbanim područjima za razdoblje 2021.–2030.</w:t>
            </w:r>
          </w:p>
        </w:tc>
        <w:tc>
          <w:tcPr>
            <w:tcW w:w="2288" w:type="dxa"/>
            <w:tcBorders>
              <w:top w:val="single" w:sz="4" w:space="0" w:color="auto"/>
              <w:left w:val="nil"/>
              <w:bottom w:val="single" w:sz="4" w:space="0" w:color="auto"/>
              <w:right w:val="single" w:sz="4" w:space="0" w:color="auto"/>
            </w:tcBorders>
            <w:shd w:val="clear" w:color="auto" w:fill="C6EFCE"/>
            <w:noWrap/>
          </w:tcPr>
          <w:p w14:paraId="4DE5C5C5"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Objava na službenim internetskim stranicama MPGI-ja </w:t>
            </w:r>
          </w:p>
        </w:tc>
        <w:tc>
          <w:tcPr>
            <w:tcW w:w="1067" w:type="dxa"/>
            <w:tcBorders>
              <w:top w:val="single" w:sz="4" w:space="0" w:color="auto"/>
              <w:left w:val="nil"/>
              <w:bottom w:val="single" w:sz="4" w:space="0" w:color="auto"/>
              <w:right w:val="single" w:sz="4" w:space="0" w:color="auto"/>
            </w:tcBorders>
            <w:shd w:val="clear" w:color="auto" w:fill="C6EFCE"/>
            <w:noWrap/>
          </w:tcPr>
          <w:p w14:paraId="02E0FEB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single" w:sz="4" w:space="0" w:color="auto"/>
              <w:left w:val="nil"/>
              <w:bottom w:val="single" w:sz="4" w:space="0" w:color="auto"/>
              <w:right w:val="single" w:sz="4" w:space="0" w:color="auto"/>
            </w:tcBorders>
            <w:shd w:val="clear" w:color="auto" w:fill="C6EFCE"/>
            <w:noWrap/>
          </w:tcPr>
          <w:p w14:paraId="0C989EC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single" w:sz="4" w:space="0" w:color="auto"/>
              <w:left w:val="nil"/>
              <w:bottom w:val="single" w:sz="4" w:space="0" w:color="auto"/>
              <w:right w:val="single" w:sz="4" w:space="0" w:color="auto"/>
            </w:tcBorders>
            <w:shd w:val="clear" w:color="auto" w:fill="C6EFCE"/>
            <w:noWrap/>
          </w:tcPr>
          <w:p w14:paraId="560F17A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single" w:sz="4" w:space="0" w:color="auto"/>
              <w:left w:val="nil"/>
              <w:bottom w:val="single" w:sz="4" w:space="0" w:color="auto"/>
              <w:right w:val="single" w:sz="4" w:space="0" w:color="auto"/>
            </w:tcBorders>
            <w:shd w:val="clear" w:color="auto" w:fill="C6EFCE"/>
            <w:noWrap/>
          </w:tcPr>
          <w:p w14:paraId="1C0B1B5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7125375D"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2021.</w:t>
            </w:r>
          </w:p>
        </w:tc>
        <w:tc>
          <w:tcPr>
            <w:tcW w:w="4100" w:type="dxa"/>
            <w:tcBorders>
              <w:top w:val="single" w:sz="4" w:space="0" w:color="auto"/>
              <w:left w:val="nil"/>
              <w:bottom w:val="single" w:sz="4" w:space="0" w:color="auto"/>
              <w:right w:val="single" w:sz="4" w:space="0" w:color="auto"/>
            </w:tcBorders>
            <w:shd w:val="clear" w:color="auto" w:fill="C6EFCE"/>
            <w:noWrap/>
          </w:tcPr>
          <w:p w14:paraId="3BC9EBAA"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Programom razvoja kružnog gospodarenja prostorom i zgradama za razdoblje 2021.–2030., koji donosi vlada, utvrdit će se ciljevi i mjere za kružno gospodarenje prostorom i zgradama kojima se, među ostalim, potiču mjere kružnosti kod planiranja novih zgrada, ponovno korištenje napuštenih zgrada i produljenje trajnosti postojećih prostora i zgrada, povećanje energetske i resursne učinkovitosti zgrada i uporaba obnovljivih izvora energije, ponovna uporaba građevnih proizvoda i materijala, a sve u svrhu učinkovitog korištenja prostornih resursa i smanjenja nastanka građevnog otpada u skladu s ažuriranim Planom gospodarenja otpadom, kao temelj za razvoj strategija zelene urbane obnove;</w:t>
            </w:r>
            <w:r>
              <w:rPr>
                <w:rFonts w:ascii="Calibri" w:hAnsi="Calibri"/>
                <w:noProof/>
                <w:color w:val="000000"/>
                <w:sz w:val="20"/>
              </w:rPr>
              <w:br/>
            </w:r>
            <w:r>
              <w:rPr>
                <w:rFonts w:ascii="Calibri" w:hAnsi="Calibri"/>
                <w:noProof/>
                <w:color w:val="000000"/>
                <w:sz w:val="20"/>
              </w:rPr>
              <w:br/>
              <w:t>U Programu razvoja zelene infrastrukture u urbanim područjima za razdoblje 2021.–2030., koji donosi vlada, razradit će se ciljevi i mjere kojima se doprinosi ublažavanju klimatskih promjena i smanjenju efekta toplinskih otoka, smanjenju emisija stakleničkih plinova, poboljšanju kvalitete života i stanovanja u gradovima, poboljšanju zdravlja ljudi, poboljšanju kvalitete gradskih područja preobrazbom nedovoljno iskorištenih i napuštenih zemljišta, poticanju zelenih ulaganja, potpori obnovi i očuvanju vrsta i staništa u okviru direktiva o vrstama i staništima u skladu sa Strategijom EU-a za bioraznolikost do 2030. te otvaranju novih radnih mjesta i ostvarivanju uštede energije, što će biti temelj za razvoj strategija zelene urbane obnove.</w:t>
            </w:r>
          </w:p>
        </w:tc>
      </w:tr>
      <w:tr w:rsidR="00733DCA" w:rsidRPr="004419A5" w14:paraId="549F07C5"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E178F8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369</w:t>
            </w:r>
          </w:p>
        </w:tc>
        <w:tc>
          <w:tcPr>
            <w:tcW w:w="821" w:type="dxa"/>
            <w:tcBorders>
              <w:top w:val="single" w:sz="4" w:space="0" w:color="auto"/>
              <w:left w:val="nil"/>
              <w:bottom w:val="single" w:sz="4" w:space="0" w:color="auto"/>
              <w:right w:val="single" w:sz="4" w:space="0" w:color="auto"/>
            </w:tcBorders>
            <w:shd w:val="clear" w:color="auto" w:fill="C6EFCE"/>
            <w:noWrap/>
          </w:tcPr>
          <w:p w14:paraId="68EA4C5D"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R5</w:t>
            </w:r>
          </w:p>
        </w:tc>
        <w:tc>
          <w:tcPr>
            <w:tcW w:w="848" w:type="dxa"/>
            <w:tcBorders>
              <w:top w:val="single" w:sz="4" w:space="0" w:color="auto"/>
              <w:left w:val="nil"/>
              <w:bottom w:val="single" w:sz="4" w:space="0" w:color="auto"/>
              <w:right w:val="single" w:sz="4" w:space="0" w:color="auto"/>
            </w:tcBorders>
            <w:shd w:val="clear" w:color="auto" w:fill="C6EFCE"/>
            <w:noWrap/>
          </w:tcPr>
          <w:p w14:paraId="7F8084A4"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006D8743"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strategija zelene urbane obnove </w:t>
            </w:r>
          </w:p>
        </w:tc>
        <w:tc>
          <w:tcPr>
            <w:tcW w:w="2288" w:type="dxa"/>
            <w:tcBorders>
              <w:top w:val="single" w:sz="4" w:space="0" w:color="auto"/>
              <w:left w:val="nil"/>
              <w:bottom w:val="single" w:sz="4" w:space="0" w:color="auto"/>
              <w:right w:val="single" w:sz="4" w:space="0" w:color="auto"/>
            </w:tcBorders>
            <w:shd w:val="clear" w:color="auto" w:fill="C6EFCE"/>
            <w:noWrap/>
          </w:tcPr>
          <w:p w14:paraId="04EAB63D"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3B5DEBA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707" w:type="dxa"/>
            <w:tcBorders>
              <w:top w:val="single" w:sz="4" w:space="0" w:color="auto"/>
              <w:left w:val="nil"/>
              <w:bottom w:val="single" w:sz="4" w:space="0" w:color="auto"/>
              <w:right w:val="single" w:sz="4" w:space="0" w:color="auto"/>
            </w:tcBorders>
            <w:shd w:val="clear" w:color="auto" w:fill="C6EFCE"/>
            <w:noWrap/>
          </w:tcPr>
          <w:p w14:paraId="1D26FC96"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7BB4CB93"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w:t>
            </w:r>
          </w:p>
        </w:tc>
        <w:tc>
          <w:tcPr>
            <w:tcW w:w="424" w:type="dxa"/>
            <w:tcBorders>
              <w:top w:val="single" w:sz="4" w:space="0" w:color="auto"/>
              <w:left w:val="nil"/>
              <w:bottom w:val="single" w:sz="4" w:space="0" w:color="auto"/>
              <w:right w:val="single" w:sz="4" w:space="0" w:color="auto"/>
            </w:tcBorders>
            <w:shd w:val="clear" w:color="auto" w:fill="C6EFCE"/>
            <w:noWrap/>
          </w:tcPr>
          <w:p w14:paraId="61F2B25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36B1DCF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100" w:type="dxa"/>
            <w:tcBorders>
              <w:top w:val="single" w:sz="4" w:space="0" w:color="auto"/>
              <w:left w:val="nil"/>
              <w:bottom w:val="single" w:sz="4" w:space="0" w:color="auto"/>
              <w:right w:val="single" w:sz="4" w:space="0" w:color="auto"/>
            </w:tcBorders>
            <w:shd w:val="clear" w:color="auto" w:fill="C6EFCE"/>
            <w:noWrap/>
          </w:tcPr>
          <w:p w14:paraId="60771CF7"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Donošenje najmanje 10 strategija zelene urbane obnove kako bi se osigurala osnova za razvoj održivog prostora, s naglaskom na razvoju zelene urbane infrastrukture i integriranju prirodnih rješenja, integriranju modela za kružno gospodarenje prostorom i zgradama, jačanju otpornosti na rizike i klimatske promjene te podupiranju sveukupnog održivog razvoja.</w:t>
            </w:r>
          </w:p>
        </w:tc>
      </w:tr>
      <w:tr w:rsidR="00733DCA" w:rsidRPr="004419A5" w14:paraId="38B0E0B5"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3F9FAD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370</w:t>
            </w:r>
          </w:p>
        </w:tc>
        <w:tc>
          <w:tcPr>
            <w:tcW w:w="821" w:type="dxa"/>
            <w:tcBorders>
              <w:top w:val="single" w:sz="4" w:space="0" w:color="auto"/>
              <w:left w:val="nil"/>
              <w:bottom w:val="single" w:sz="4" w:space="0" w:color="auto"/>
              <w:right w:val="single" w:sz="4" w:space="0" w:color="auto"/>
            </w:tcBorders>
            <w:shd w:val="clear" w:color="auto" w:fill="C6EFCE"/>
            <w:noWrap/>
          </w:tcPr>
          <w:p w14:paraId="5817ED2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R5</w:t>
            </w:r>
          </w:p>
        </w:tc>
        <w:tc>
          <w:tcPr>
            <w:tcW w:w="848" w:type="dxa"/>
            <w:tcBorders>
              <w:top w:val="single" w:sz="4" w:space="0" w:color="auto"/>
              <w:left w:val="nil"/>
              <w:bottom w:val="single" w:sz="4" w:space="0" w:color="auto"/>
              <w:right w:val="single" w:sz="4" w:space="0" w:color="auto"/>
            </w:tcBorders>
            <w:shd w:val="clear" w:color="auto" w:fill="C6EFCE"/>
            <w:noWrap/>
          </w:tcPr>
          <w:p w14:paraId="28F0F6A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093" w:type="dxa"/>
            <w:tcBorders>
              <w:top w:val="single" w:sz="4" w:space="0" w:color="auto"/>
              <w:left w:val="nil"/>
              <w:bottom w:val="single" w:sz="4" w:space="0" w:color="auto"/>
              <w:right w:val="single" w:sz="4" w:space="0" w:color="auto"/>
            </w:tcBorders>
            <w:shd w:val="clear" w:color="auto" w:fill="C6EFCE"/>
            <w:noWrap/>
          </w:tcPr>
          <w:p w14:paraId="3F338BE9"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Provedba pilot-projekta utvrđenog u strategiji zelene urbane obnove i povezanog s nacionalnim programima o zelenoj infrastrukturi i kružnom gospodarenju prostorom i zgradama</w:t>
            </w:r>
          </w:p>
        </w:tc>
        <w:tc>
          <w:tcPr>
            <w:tcW w:w="2288" w:type="dxa"/>
            <w:tcBorders>
              <w:top w:val="single" w:sz="4" w:space="0" w:color="auto"/>
              <w:left w:val="nil"/>
              <w:bottom w:val="single" w:sz="4" w:space="0" w:color="auto"/>
              <w:right w:val="single" w:sz="4" w:space="0" w:color="auto"/>
            </w:tcBorders>
            <w:shd w:val="clear" w:color="auto" w:fill="C6EFCE"/>
            <w:noWrap/>
          </w:tcPr>
          <w:p w14:paraId="378B2D4E"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w:t>
            </w:r>
          </w:p>
        </w:tc>
        <w:tc>
          <w:tcPr>
            <w:tcW w:w="1067" w:type="dxa"/>
            <w:tcBorders>
              <w:top w:val="single" w:sz="4" w:space="0" w:color="auto"/>
              <w:left w:val="nil"/>
              <w:bottom w:val="single" w:sz="4" w:space="0" w:color="auto"/>
              <w:right w:val="single" w:sz="4" w:space="0" w:color="auto"/>
            </w:tcBorders>
            <w:shd w:val="clear" w:color="auto" w:fill="C6EFCE"/>
            <w:noWrap/>
          </w:tcPr>
          <w:p w14:paraId="7155E3FF"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707" w:type="dxa"/>
            <w:tcBorders>
              <w:top w:val="single" w:sz="4" w:space="0" w:color="auto"/>
              <w:left w:val="nil"/>
              <w:bottom w:val="single" w:sz="4" w:space="0" w:color="auto"/>
              <w:right w:val="single" w:sz="4" w:space="0" w:color="auto"/>
            </w:tcBorders>
            <w:shd w:val="clear" w:color="auto" w:fill="C6EFCE"/>
            <w:noWrap/>
          </w:tcPr>
          <w:p w14:paraId="0718A59A"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1356" w:type="dxa"/>
            <w:tcBorders>
              <w:top w:val="single" w:sz="4" w:space="0" w:color="auto"/>
              <w:left w:val="nil"/>
              <w:bottom w:val="single" w:sz="4" w:space="0" w:color="auto"/>
              <w:right w:val="single" w:sz="4" w:space="0" w:color="auto"/>
            </w:tcBorders>
            <w:shd w:val="clear" w:color="auto" w:fill="C6EFCE"/>
            <w:noWrap/>
          </w:tcPr>
          <w:p w14:paraId="5795B114"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w:t>
            </w:r>
          </w:p>
        </w:tc>
        <w:tc>
          <w:tcPr>
            <w:tcW w:w="424" w:type="dxa"/>
            <w:tcBorders>
              <w:top w:val="single" w:sz="4" w:space="0" w:color="auto"/>
              <w:left w:val="nil"/>
              <w:bottom w:val="single" w:sz="4" w:space="0" w:color="auto"/>
              <w:right w:val="single" w:sz="4" w:space="0" w:color="auto"/>
            </w:tcBorders>
            <w:shd w:val="clear" w:color="auto" w:fill="C6EFCE"/>
            <w:noWrap/>
          </w:tcPr>
          <w:p w14:paraId="24B7259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641" w:type="dxa"/>
            <w:tcBorders>
              <w:top w:val="single" w:sz="4" w:space="0" w:color="auto"/>
              <w:left w:val="nil"/>
              <w:bottom w:val="single" w:sz="4" w:space="0" w:color="auto"/>
              <w:right w:val="single" w:sz="4" w:space="0" w:color="auto"/>
            </w:tcBorders>
            <w:shd w:val="clear" w:color="auto" w:fill="C6EFCE"/>
            <w:noWrap/>
          </w:tcPr>
          <w:p w14:paraId="21298C63"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51FB81D6"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Provedba najmanje jednog pilot-projekta utvrđenog u strategiji zelene urbane obnove i povezanog s nacionalnim programima o zelenoj infrastrukturi i kružnom gospodarenju prostorom i zgradama.</w:t>
            </w:r>
          </w:p>
        </w:tc>
      </w:tr>
      <w:tr w:rsidR="00733DCA" w:rsidRPr="004419A5" w14:paraId="1778D3F3"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4A9642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371</w:t>
            </w:r>
          </w:p>
        </w:tc>
        <w:tc>
          <w:tcPr>
            <w:tcW w:w="821" w:type="dxa"/>
            <w:tcBorders>
              <w:top w:val="single" w:sz="4" w:space="0" w:color="auto"/>
              <w:left w:val="nil"/>
              <w:bottom w:val="single" w:sz="4" w:space="0" w:color="auto"/>
              <w:right w:val="single" w:sz="4" w:space="0" w:color="auto"/>
            </w:tcBorders>
            <w:shd w:val="clear" w:color="auto" w:fill="C6EFCE"/>
            <w:noWrap/>
          </w:tcPr>
          <w:p w14:paraId="21743BA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R6</w:t>
            </w:r>
          </w:p>
        </w:tc>
        <w:tc>
          <w:tcPr>
            <w:tcW w:w="848" w:type="dxa"/>
            <w:tcBorders>
              <w:top w:val="single" w:sz="4" w:space="0" w:color="auto"/>
              <w:left w:val="nil"/>
              <w:bottom w:val="single" w:sz="4" w:space="0" w:color="auto"/>
              <w:right w:val="single" w:sz="4" w:space="0" w:color="auto"/>
            </w:tcBorders>
            <w:shd w:val="clear" w:color="auto" w:fill="C6EFCE"/>
            <w:noWrap/>
          </w:tcPr>
          <w:p w14:paraId="03216FE1"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34CDC808"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Uspješno završen pilot-projekt za sustavno upravljanje energijom s ciljem testiranja novog modela financiranja energetske obnove </w:t>
            </w:r>
          </w:p>
        </w:tc>
        <w:tc>
          <w:tcPr>
            <w:tcW w:w="2288" w:type="dxa"/>
            <w:tcBorders>
              <w:top w:val="single" w:sz="4" w:space="0" w:color="auto"/>
              <w:left w:val="nil"/>
              <w:bottom w:val="single" w:sz="4" w:space="0" w:color="auto"/>
              <w:right w:val="single" w:sz="4" w:space="0" w:color="auto"/>
            </w:tcBorders>
            <w:shd w:val="clear" w:color="auto" w:fill="C6EFCE"/>
            <w:noWrap/>
          </w:tcPr>
          <w:p w14:paraId="557FA4B6"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Objava dovršenog pilot-projekta na službenim internetskim stranicama MPGI-ja </w:t>
            </w:r>
            <w:r>
              <w:rPr>
                <w:rFonts w:ascii="Calibri" w:hAnsi="Calibri"/>
                <w:noProof/>
                <w:color w:val="000000"/>
                <w:sz w:val="20"/>
              </w:rPr>
              <w:b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1CDEC7BD"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single" w:sz="4" w:space="0" w:color="auto"/>
              <w:left w:val="nil"/>
              <w:bottom w:val="single" w:sz="4" w:space="0" w:color="auto"/>
              <w:right w:val="single" w:sz="4" w:space="0" w:color="auto"/>
            </w:tcBorders>
            <w:shd w:val="clear" w:color="auto" w:fill="C6EFCE"/>
            <w:noWrap/>
          </w:tcPr>
          <w:p w14:paraId="29A16D89"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single" w:sz="4" w:space="0" w:color="auto"/>
              <w:left w:val="nil"/>
              <w:bottom w:val="single" w:sz="4" w:space="0" w:color="auto"/>
              <w:right w:val="single" w:sz="4" w:space="0" w:color="auto"/>
            </w:tcBorders>
            <w:shd w:val="clear" w:color="auto" w:fill="C6EFCE"/>
            <w:noWrap/>
          </w:tcPr>
          <w:p w14:paraId="30F3EC6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single" w:sz="4" w:space="0" w:color="auto"/>
              <w:left w:val="nil"/>
              <w:bottom w:val="single" w:sz="4" w:space="0" w:color="auto"/>
              <w:right w:val="single" w:sz="4" w:space="0" w:color="auto"/>
            </w:tcBorders>
            <w:shd w:val="clear" w:color="auto" w:fill="C6EFCE"/>
            <w:noWrap/>
          </w:tcPr>
          <w:p w14:paraId="18BFDCEB"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138AE623"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2023.</w:t>
            </w:r>
          </w:p>
        </w:tc>
        <w:tc>
          <w:tcPr>
            <w:tcW w:w="4100" w:type="dxa"/>
            <w:tcBorders>
              <w:top w:val="single" w:sz="4" w:space="0" w:color="auto"/>
              <w:left w:val="nil"/>
              <w:bottom w:val="single" w:sz="4" w:space="0" w:color="auto"/>
              <w:right w:val="single" w:sz="4" w:space="0" w:color="auto"/>
            </w:tcBorders>
            <w:shd w:val="clear" w:color="auto" w:fill="C6EFCE"/>
            <w:noWrap/>
          </w:tcPr>
          <w:p w14:paraId="52AB7A1F"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Nakon javnog poziva MPGI u suradnji s Agencijom za pravni promet i posredovanje nekretninama (APN) izradit će pilot-projekt koji će obuhvaćati sve sektore potrošnje energije i vode u jedinici lokalne uprave uvođenjem automatskog prikupljanja podataka o potrošnji energije i vode višestambenih zgrada na odabranom pilot-području. </w:t>
            </w:r>
            <w:r>
              <w:rPr>
                <w:rFonts w:ascii="Calibri" w:hAnsi="Calibri"/>
                <w:noProof/>
                <w:color w:val="000000"/>
                <w:sz w:val="20"/>
              </w:rPr>
              <w:br/>
              <w:t xml:space="preserve">Cilj je pilot-projekta postići uštedu energije i vode uspostavom i provedbom sustavnog upravljanja energijom te omogućiti testiranje mogućnosti provedbe novog modela financiranja energetske obnove, uključujući analizu troškova i koristi za njegovu primjenu na nacionalnoj razini. </w:t>
            </w:r>
            <w:r>
              <w:rPr>
                <w:rFonts w:ascii="Calibri" w:hAnsi="Calibri"/>
                <w:noProof/>
                <w:color w:val="000000"/>
                <w:sz w:val="20"/>
              </w:rPr>
              <w:br/>
              <w:t xml:space="preserve">Na temelju pilot-projekta razvit će se smjernice za primjenu modela upravljanja potrošnjom energije na nacionalnoj razini. </w:t>
            </w:r>
          </w:p>
        </w:tc>
      </w:tr>
      <w:tr w:rsidR="00733DCA" w:rsidRPr="004419A5" w14:paraId="4F222385" w14:textId="77777777" w:rsidTr="0001477B">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167DF3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372</w:t>
            </w:r>
          </w:p>
        </w:tc>
        <w:tc>
          <w:tcPr>
            <w:tcW w:w="821" w:type="dxa"/>
            <w:tcBorders>
              <w:top w:val="single" w:sz="4" w:space="0" w:color="auto"/>
              <w:left w:val="nil"/>
              <w:bottom w:val="single" w:sz="4" w:space="0" w:color="auto"/>
              <w:right w:val="single" w:sz="4" w:space="0" w:color="auto"/>
            </w:tcBorders>
            <w:shd w:val="clear" w:color="auto" w:fill="C6EFCE"/>
            <w:noWrap/>
          </w:tcPr>
          <w:p w14:paraId="58EAA422"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C6.1. R6</w:t>
            </w:r>
          </w:p>
        </w:tc>
        <w:tc>
          <w:tcPr>
            <w:tcW w:w="848" w:type="dxa"/>
            <w:tcBorders>
              <w:top w:val="single" w:sz="4" w:space="0" w:color="auto"/>
              <w:left w:val="nil"/>
              <w:bottom w:val="single" w:sz="4" w:space="0" w:color="auto"/>
              <w:right w:val="single" w:sz="4" w:space="0" w:color="auto"/>
            </w:tcBorders>
            <w:shd w:val="clear" w:color="auto" w:fill="C6EFCE"/>
            <w:noWrap/>
          </w:tcPr>
          <w:p w14:paraId="3CA788D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Ključna etapa</w:t>
            </w:r>
          </w:p>
        </w:tc>
        <w:tc>
          <w:tcPr>
            <w:tcW w:w="2093" w:type="dxa"/>
            <w:tcBorders>
              <w:top w:val="single" w:sz="4" w:space="0" w:color="auto"/>
              <w:left w:val="nil"/>
              <w:bottom w:val="single" w:sz="4" w:space="0" w:color="auto"/>
              <w:right w:val="single" w:sz="4" w:space="0" w:color="auto"/>
            </w:tcBorders>
            <w:shd w:val="clear" w:color="auto" w:fill="C6EFCE"/>
            <w:noWrap/>
          </w:tcPr>
          <w:p w14:paraId="023872F3"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Donošenje smjernica za primjenu modela praćenja potrošnje energije u višestambenim zgradama </w:t>
            </w:r>
          </w:p>
        </w:tc>
        <w:tc>
          <w:tcPr>
            <w:tcW w:w="2288" w:type="dxa"/>
            <w:tcBorders>
              <w:top w:val="single" w:sz="4" w:space="0" w:color="auto"/>
              <w:left w:val="nil"/>
              <w:bottom w:val="single" w:sz="4" w:space="0" w:color="auto"/>
              <w:right w:val="single" w:sz="4" w:space="0" w:color="auto"/>
            </w:tcBorders>
            <w:shd w:val="clear" w:color="auto" w:fill="C6EFCE"/>
            <w:noWrap/>
          </w:tcPr>
          <w:p w14:paraId="4A9E9085"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Objava na službenim internetskim stranicama MPGI-ja </w:t>
            </w:r>
          </w:p>
        </w:tc>
        <w:tc>
          <w:tcPr>
            <w:tcW w:w="1067" w:type="dxa"/>
            <w:tcBorders>
              <w:top w:val="single" w:sz="4" w:space="0" w:color="auto"/>
              <w:left w:val="nil"/>
              <w:bottom w:val="single" w:sz="4" w:space="0" w:color="auto"/>
              <w:right w:val="single" w:sz="4" w:space="0" w:color="auto"/>
            </w:tcBorders>
            <w:shd w:val="clear" w:color="auto" w:fill="C6EFCE"/>
            <w:noWrap/>
          </w:tcPr>
          <w:p w14:paraId="401B19A8"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707" w:type="dxa"/>
            <w:tcBorders>
              <w:top w:val="single" w:sz="4" w:space="0" w:color="auto"/>
              <w:left w:val="nil"/>
              <w:bottom w:val="single" w:sz="4" w:space="0" w:color="auto"/>
              <w:right w:val="single" w:sz="4" w:space="0" w:color="auto"/>
            </w:tcBorders>
            <w:shd w:val="clear" w:color="auto" w:fill="C6EFCE"/>
            <w:noWrap/>
          </w:tcPr>
          <w:p w14:paraId="6AB41C9E"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1356" w:type="dxa"/>
            <w:tcBorders>
              <w:top w:val="single" w:sz="4" w:space="0" w:color="auto"/>
              <w:left w:val="nil"/>
              <w:bottom w:val="single" w:sz="4" w:space="0" w:color="auto"/>
              <w:right w:val="single" w:sz="4" w:space="0" w:color="auto"/>
            </w:tcBorders>
            <w:shd w:val="clear" w:color="auto" w:fill="C6EFCE"/>
            <w:noWrap/>
          </w:tcPr>
          <w:p w14:paraId="1ABACA65"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 </w:t>
            </w:r>
          </w:p>
        </w:tc>
        <w:tc>
          <w:tcPr>
            <w:tcW w:w="424" w:type="dxa"/>
            <w:tcBorders>
              <w:top w:val="single" w:sz="4" w:space="0" w:color="auto"/>
              <w:left w:val="nil"/>
              <w:bottom w:val="single" w:sz="4" w:space="0" w:color="auto"/>
              <w:right w:val="single" w:sz="4" w:space="0" w:color="auto"/>
            </w:tcBorders>
            <w:shd w:val="clear" w:color="auto" w:fill="C6EFCE"/>
            <w:noWrap/>
          </w:tcPr>
          <w:p w14:paraId="0AF334E0"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4.</w:t>
            </w:r>
          </w:p>
        </w:tc>
        <w:tc>
          <w:tcPr>
            <w:tcW w:w="641" w:type="dxa"/>
            <w:tcBorders>
              <w:top w:val="single" w:sz="4" w:space="0" w:color="auto"/>
              <w:left w:val="nil"/>
              <w:bottom w:val="single" w:sz="4" w:space="0" w:color="auto"/>
              <w:right w:val="single" w:sz="4" w:space="0" w:color="auto"/>
            </w:tcBorders>
            <w:shd w:val="clear" w:color="auto" w:fill="C6EFCE"/>
            <w:noWrap/>
          </w:tcPr>
          <w:p w14:paraId="2F4020FC" w14:textId="77777777" w:rsidR="00733DCA" w:rsidRPr="004419A5" w:rsidRDefault="00733DCA"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2025.</w:t>
            </w:r>
          </w:p>
        </w:tc>
        <w:tc>
          <w:tcPr>
            <w:tcW w:w="4100" w:type="dxa"/>
            <w:tcBorders>
              <w:top w:val="single" w:sz="4" w:space="0" w:color="auto"/>
              <w:left w:val="nil"/>
              <w:bottom w:val="single" w:sz="4" w:space="0" w:color="auto"/>
              <w:right w:val="single" w:sz="4" w:space="0" w:color="auto"/>
            </w:tcBorders>
            <w:shd w:val="clear" w:color="auto" w:fill="C6EFCE"/>
            <w:noWrap/>
          </w:tcPr>
          <w:p w14:paraId="4A3E3272" w14:textId="77777777" w:rsidR="00733DCA" w:rsidRPr="004419A5" w:rsidRDefault="00733DCA"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MPGI donosi smjernice za primjenu modela za praćenje potrošnje energije u višestambenim zgradama na temelju dobrovoljnog interesa vlasnika višestambenih zgrada. </w:t>
            </w:r>
          </w:p>
        </w:tc>
      </w:tr>
    </w:tbl>
    <w:p w14:paraId="6BB97291" w14:textId="77777777" w:rsidR="00733DCA" w:rsidRPr="00BC0323" w:rsidRDefault="00733DCA">
      <w:pPr>
        <w:rPr>
          <w:noProof/>
        </w:rPr>
        <w:sectPr w:rsidR="00733DCA" w:rsidRPr="00BC0323" w:rsidSect="0001477B">
          <w:headerReference w:type="even" r:id="rId384"/>
          <w:headerReference w:type="default" r:id="rId385"/>
          <w:footerReference w:type="even" r:id="rId386"/>
          <w:footerReference w:type="default" r:id="rId387"/>
          <w:headerReference w:type="first" r:id="rId388"/>
          <w:footerReference w:type="first" r:id="rId389"/>
          <w:pgSz w:w="15840" w:h="12240" w:orient="landscape"/>
          <w:pgMar w:top="1440" w:right="1440" w:bottom="1440" w:left="1440" w:header="708" w:footer="708" w:gutter="0"/>
          <w:cols w:space="708"/>
          <w:docGrid w:linePitch="360"/>
        </w:sectPr>
      </w:pPr>
    </w:p>
    <w:p w14:paraId="446D08EE" w14:textId="02B2850F" w:rsidR="00733DCA" w:rsidRDefault="00733DCA" w:rsidP="0001477B">
      <w:pPr>
        <w:pStyle w:val="paragraph"/>
        <w:spacing w:before="0" w:beforeAutospacing="0" w:after="0" w:afterAutospacing="0"/>
        <w:ind w:left="705"/>
        <w:jc w:val="both"/>
        <w:textAlignment w:val="baseline"/>
        <w:rPr>
          <w:rFonts w:ascii="Segoe UI" w:hAnsi="Segoe UI" w:cs="Segoe UI"/>
          <w:noProof/>
          <w:sz w:val="18"/>
          <w:szCs w:val="18"/>
        </w:rPr>
      </w:pPr>
    </w:p>
    <w:p w14:paraId="25FC6DCD" w14:textId="77777777" w:rsidR="00733DCA" w:rsidRPr="006F31C1" w:rsidRDefault="00733DCA" w:rsidP="006F31C1">
      <w:pPr>
        <w:keepNext/>
        <w:tabs>
          <w:tab w:val="num" w:pos="284"/>
        </w:tabs>
        <w:spacing w:before="40" w:after="0"/>
        <w:jc w:val="both"/>
        <w:outlineLvl w:val="1"/>
        <w:rPr>
          <w:rFonts w:ascii="Times New Roman" w:eastAsia="SimSun" w:hAnsi="Times New Roman" w:cs="Times New Roman"/>
          <w:b/>
          <w:noProof/>
          <w:sz w:val="24"/>
          <w:szCs w:val="24"/>
        </w:rPr>
      </w:pPr>
      <w:r>
        <w:rPr>
          <w:rFonts w:ascii="Times New Roman" w:hAnsi="Times New Roman"/>
          <w:b/>
          <w:noProof/>
          <w:sz w:val="24"/>
        </w:rPr>
        <w:t xml:space="preserve">V.3. </w:t>
      </w:r>
      <w:r>
        <w:rPr>
          <w:rFonts w:ascii="Times New Roman" w:hAnsi="Times New Roman"/>
          <w:b/>
          <w:noProof/>
          <w:sz w:val="24"/>
        </w:rPr>
        <w:tab/>
        <w:t>Opis reformi i ulaganja za zajam  </w:t>
      </w:r>
    </w:p>
    <w:p w14:paraId="70EDB424" w14:textId="77777777" w:rsidR="00733DCA" w:rsidRDefault="00733DCA" w:rsidP="0001477B">
      <w:pPr>
        <w:pStyle w:val="paragraph"/>
        <w:spacing w:before="0" w:beforeAutospacing="0" w:after="0" w:afterAutospacing="0"/>
        <w:ind w:left="840"/>
        <w:jc w:val="both"/>
        <w:textAlignment w:val="baseline"/>
        <w:rPr>
          <w:rStyle w:val="eop"/>
          <w:noProof/>
        </w:rPr>
      </w:pPr>
      <w:r>
        <w:rPr>
          <w:rStyle w:val="normaltextrun"/>
          <w:noProof/>
        </w:rPr>
        <w:t> </w:t>
      </w:r>
      <w:r>
        <w:rPr>
          <w:rStyle w:val="eop"/>
          <w:noProof/>
        </w:rPr>
        <w:t> </w:t>
      </w:r>
    </w:p>
    <w:p w14:paraId="6A24C528" w14:textId="77777777" w:rsidR="00733DCA" w:rsidRDefault="00733DCA" w:rsidP="0001477B">
      <w:pPr>
        <w:pStyle w:val="paragraph"/>
        <w:spacing w:before="0" w:beforeAutospacing="0" w:after="0" w:afterAutospacing="0"/>
        <w:jc w:val="both"/>
        <w:textAlignment w:val="baseline"/>
        <w:rPr>
          <w:rFonts w:ascii="Segoe UI" w:hAnsi="Segoe UI" w:cs="Segoe UI"/>
          <w:noProof/>
          <w:sz w:val="18"/>
          <w:szCs w:val="18"/>
        </w:rPr>
      </w:pPr>
    </w:p>
    <w:p w14:paraId="37182EDB" w14:textId="2D7AE71B" w:rsidR="00733DCA" w:rsidRPr="00932F3F" w:rsidRDefault="00733DCA" w:rsidP="00932F3F">
      <w:pPr>
        <w:spacing w:before="120" w:after="120" w:line="240" w:lineRule="auto"/>
        <w:ind w:left="850"/>
        <w:jc w:val="both"/>
        <w:rPr>
          <w:rStyle w:val="normaltextrun"/>
          <w:rFonts w:ascii="Times New Roman" w:eastAsia="Times New Roman" w:hAnsi="Times New Roman" w:cs="Times New Roman"/>
          <w:noProof/>
          <w:sz w:val="24"/>
          <w:szCs w:val="24"/>
          <w:u w:val="single"/>
        </w:rPr>
      </w:pPr>
      <w:r>
        <w:rPr>
          <w:rFonts w:ascii="Times New Roman" w:hAnsi="Times New Roman"/>
          <w:noProof/>
          <w:sz w:val="24"/>
          <w:u w:val="single"/>
        </w:rPr>
        <w:t>Reforma C6.1. R7 – Kružna uporaba građevinskog otpada iz zgrada sa statusom kulturnog dobra: pilot-projekt istraživanja mogućnosti razmjene i trgovanja</w:t>
      </w:r>
    </w:p>
    <w:p w14:paraId="35CA552F" w14:textId="6F82741B" w:rsidR="00733DCA" w:rsidRDefault="00733DCA" w:rsidP="0001477B">
      <w:pPr>
        <w:pStyle w:val="paragraph"/>
        <w:spacing w:after="0"/>
        <w:jc w:val="both"/>
        <w:rPr>
          <w:rStyle w:val="normaltextrun"/>
          <w:noProof/>
          <w:color w:val="000000"/>
        </w:rPr>
      </w:pPr>
      <w:r>
        <w:rPr>
          <w:rStyle w:val="normaltextrun"/>
          <w:noProof/>
          <w:color w:val="000000"/>
        </w:rPr>
        <w:t>Cilj reforme je razviti pilot projekte u dvije odabrane jedinice lokalne samouprave u kojima će se istražiti mogućnosti i potrebe razmjene i trgovanja za kružnu uporabu građevinskog otpada iz zgrada sa statusom kulturnog dobra.</w:t>
      </w:r>
    </w:p>
    <w:p w14:paraId="6A32461E" w14:textId="54C34E96" w:rsidR="00F96320" w:rsidRDefault="00733DCA" w:rsidP="0001477B">
      <w:pPr>
        <w:pStyle w:val="paragraph"/>
        <w:spacing w:before="0" w:beforeAutospacing="0" w:after="0" w:afterAutospacing="0"/>
        <w:jc w:val="both"/>
        <w:rPr>
          <w:rStyle w:val="normaltextrun"/>
          <w:noProof/>
          <w:color w:val="000000" w:themeColor="text1"/>
        </w:rPr>
      </w:pPr>
      <w:r>
        <w:rPr>
          <w:rStyle w:val="normaltextrun"/>
          <w:noProof/>
          <w:color w:val="000000" w:themeColor="text1"/>
        </w:rPr>
        <w:t xml:space="preserve">Uz opremanje dviju lokacija kako bi se olakšalo učinkovito gospodarenje građevinskim otpadom i nabava odgovarajućih novih vozila, projekti će biti usmjereni na ponovnu uporabu građevinskog otpada iz zgrada sa statusom kulturnog dobra, bolje gospodarenje građevinskim otpadom u praksi, promicanje održivosti u građevinskom sektoru te istraživanje mogućnosti i potencijala za razmjenu i trgovanje građevinskim otpadnim materijalima. </w:t>
      </w:r>
    </w:p>
    <w:p w14:paraId="1BB3360C" w14:textId="77777777" w:rsidR="00F96320" w:rsidRDefault="00F96320" w:rsidP="0001477B">
      <w:pPr>
        <w:pStyle w:val="paragraph"/>
        <w:spacing w:before="0" w:beforeAutospacing="0" w:after="0" w:afterAutospacing="0"/>
        <w:jc w:val="both"/>
        <w:rPr>
          <w:rStyle w:val="normaltextrun"/>
          <w:noProof/>
          <w:color w:val="000000" w:themeColor="text1"/>
        </w:rPr>
      </w:pPr>
    </w:p>
    <w:p w14:paraId="5A104429" w14:textId="1C6755EE" w:rsidR="00AA0237" w:rsidRDefault="00733DCA" w:rsidP="0001477B">
      <w:pPr>
        <w:pStyle w:val="paragraph"/>
        <w:spacing w:before="0" w:beforeAutospacing="0" w:after="0" w:afterAutospacing="0"/>
        <w:jc w:val="both"/>
        <w:rPr>
          <w:rStyle w:val="normaltextrun"/>
          <w:noProof/>
          <w:color w:val="000000" w:themeColor="text1"/>
        </w:rPr>
      </w:pPr>
      <w:r>
        <w:rPr>
          <w:rStyle w:val="normaltextrun"/>
          <w:noProof/>
          <w:color w:val="000000" w:themeColor="text1"/>
        </w:rPr>
        <w:t xml:space="preserve">U okviru projekata u odabranim jedinicama lokalne samouprave napravit će se sveobuhvatni inventar zgrada sa statusom kulturnog dobra, uz dokumentiranje njihovih karakteristika, materijala i stanja unutar obuhvata odabranih jedinica lokalne samouprave. Razvit će se digitalno rješenje za sveobuhvatni inventar zgrada sa statusom kulturnog dobra. </w:t>
      </w:r>
    </w:p>
    <w:p w14:paraId="7753A6F6" w14:textId="77777777" w:rsidR="00F96320" w:rsidRDefault="00F96320" w:rsidP="0001477B">
      <w:pPr>
        <w:pStyle w:val="paragraph"/>
        <w:spacing w:before="0" w:beforeAutospacing="0" w:after="0" w:afterAutospacing="0"/>
        <w:jc w:val="both"/>
        <w:rPr>
          <w:rStyle w:val="normaltextrun"/>
          <w:noProof/>
          <w:color w:val="000000" w:themeColor="text1"/>
        </w:rPr>
      </w:pPr>
    </w:p>
    <w:p w14:paraId="6DE7E7C7" w14:textId="0CA1F169" w:rsidR="00733DCA" w:rsidRPr="003C6FCF" w:rsidRDefault="000D28B6" w:rsidP="0001477B">
      <w:pPr>
        <w:pStyle w:val="paragraph"/>
        <w:spacing w:before="0" w:beforeAutospacing="0" w:after="0" w:afterAutospacing="0"/>
        <w:jc w:val="both"/>
        <w:rPr>
          <w:rStyle w:val="normaltextrun"/>
          <w:noProof/>
          <w:color w:val="000000"/>
        </w:rPr>
      </w:pPr>
      <w:r>
        <w:rPr>
          <w:rStyle w:val="normaltextrun"/>
          <w:noProof/>
          <w:color w:val="000000" w:themeColor="text1"/>
        </w:rPr>
        <w:t>Nadalje, u okviru provedbe pilot-projekata provest će se edukacijske aktivnosti usmjerene na gospodarenje građevinskim otpadom, smanjenje građevinskog otpada iz zgrada sa statusom kulturnog dobra i otpada nastalog u poplavama te očuvanje okoliša i kulturne baštine.</w:t>
      </w:r>
    </w:p>
    <w:p w14:paraId="74B3C18A" w14:textId="77777777" w:rsidR="00733DCA" w:rsidRDefault="00733DCA" w:rsidP="0001477B">
      <w:pPr>
        <w:pStyle w:val="paragraph"/>
        <w:spacing w:after="0"/>
        <w:jc w:val="both"/>
        <w:rPr>
          <w:rStyle w:val="normaltextrun"/>
          <w:noProof/>
          <w:color w:val="000000" w:themeColor="text1"/>
        </w:rPr>
      </w:pPr>
      <w:r>
        <w:rPr>
          <w:rStyle w:val="normaltextrun"/>
          <w:noProof/>
          <w:color w:val="000000" w:themeColor="text1"/>
        </w:rPr>
        <w:t xml:space="preserve">Osigurat će se da operator zadužen za prikupljanje i logistiku primijeni mjere uspostave sustava upravljanja rizicima za okoliš, zdravlje i sigurnost. Sustavom će se osigurati potpuna usklađenost s načelima „ne nanosi bitnu štetu” u okviru Mehanizma za oporavak i otpornost u skladu s Tehničkim smjernicama o primjeni načela nenanošenja bitne štete (C(2023) 6454 final), posebno u pogledu kontrole i prevencije onečišćenja i cilja kružnog gospodarstva te isključujući aktivnosti i imovinu povezane s fosilnim gorivima ili spaljivanjem.  </w:t>
      </w:r>
    </w:p>
    <w:p w14:paraId="2F14BBE7" w14:textId="77777777" w:rsidR="00733DCA" w:rsidRPr="003C6FCF" w:rsidRDefault="00733DCA" w:rsidP="0001477B">
      <w:pPr>
        <w:pStyle w:val="paragraph"/>
        <w:spacing w:after="0"/>
        <w:jc w:val="both"/>
        <w:rPr>
          <w:rStyle w:val="normaltextrun"/>
          <w:noProof/>
          <w:color w:val="000000"/>
        </w:rPr>
      </w:pPr>
      <w:r>
        <w:rPr>
          <w:rStyle w:val="normaltextrun"/>
          <w:noProof/>
          <w:color w:val="000000" w:themeColor="text1"/>
        </w:rPr>
        <w:t>Potpora za tu reformu pruža se isključivo za vozila s nultim emisijama i hibridna vozila na punjenje koja emitiraju manje od 50 g CO2/km ili vozila za posebnu namjenu koja se temelje na najboljim dostupnim tehnologijama.</w:t>
      </w:r>
    </w:p>
    <w:p w14:paraId="49794EA1" w14:textId="77777777" w:rsidR="00733DCA" w:rsidRPr="00CB51A1" w:rsidRDefault="00733DCA" w:rsidP="0001477B">
      <w:pPr>
        <w:pStyle w:val="paragraph"/>
        <w:spacing w:before="0" w:beforeAutospacing="0" w:after="0" w:afterAutospacing="0"/>
        <w:jc w:val="both"/>
        <w:rPr>
          <w:rStyle w:val="normaltextrun"/>
          <w:noProof/>
          <w:color w:val="000000"/>
        </w:rPr>
      </w:pPr>
      <w:r>
        <w:rPr>
          <w:rStyle w:val="normaltextrun"/>
          <w:noProof/>
          <w:color w:val="000000"/>
        </w:rPr>
        <w:t xml:space="preserve">Donijet će se smjernice za primjenu sustava kružne uporabe građevinskog otpada iz zgrada sa statusom kulturnog dobra na nacionalnoj razini s preporukama o uspostavi nacionalne platforme za razmjenu i trgovanje građevinskim otpadom iz zgrada sa statusom kulturnog dobra i objaviti na službenim internetskim stranicama Ministarstva prostornoga uređenja, graditeljstva i državne imovine, </w:t>
      </w:r>
    </w:p>
    <w:p w14:paraId="41BCEC19" w14:textId="1179E83A" w:rsidR="00733DCA" w:rsidRDefault="00733DCA" w:rsidP="003C6FCF">
      <w:pPr>
        <w:pStyle w:val="paragraph"/>
        <w:spacing w:after="0"/>
        <w:jc w:val="both"/>
        <w:rPr>
          <w:noProof/>
        </w:rPr>
      </w:pPr>
      <w:r>
        <w:rPr>
          <w:rStyle w:val="normaltextrun"/>
          <w:noProof/>
          <w:color w:val="000000"/>
        </w:rPr>
        <w:t>Mjera će biti usklađena s nacionalnim planom gospodarenja otpadom i pridonijet će poboljšanju infrastrukture i praksi za građevinski otpad i otpad od rušenja, poboljšanju recikliranja i smanjenju odlaganja otpada na odlagališta. Provest će se kako bi se osigurala snažna usklađenost politika upravljanja kružnim gospodarstvom među različitim ministarstvima i drugim relevantnim dionicima.</w:t>
      </w:r>
    </w:p>
    <w:p w14:paraId="36C78052" w14:textId="2011B2CC" w:rsidR="00733DCA" w:rsidRDefault="00733DCA" w:rsidP="0001477B">
      <w:pPr>
        <w:pStyle w:val="paragraph"/>
        <w:spacing w:before="0" w:beforeAutospacing="0" w:after="0" w:afterAutospacing="0"/>
        <w:textAlignment w:val="baseline"/>
        <w:rPr>
          <w:noProof/>
        </w:rPr>
      </w:pPr>
      <w:r>
        <w:rPr>
          <w:noProof/>
        </w:rPr>
        <w:t>Provedba će biti dovršena do 31. ožujka 2026.</w:t>
      </w:r>
    </w:p>
    <w:p w14:paraId="29A117DA" w14:textId="77777777" w:rsidR="00733DCA" w:rsidRDefault="00733DCA" w:rsidP="0001477B">
      <w:pPr>
        <w:tabs>
          <w:tab w:val="left" w:pos="1100"/>
        </w:tabs>
        <w:rPr>
          <w:rFonts w:ascii="Times New Roman" w:eastAsia="Times New Roman" w:hAnsi="Times New Roman" w:cs="Times New Roman"/>
          <w:noProof/>
          <w:sz w:val="24"/>
          <w:szCs w:val="24"/>
          <w:lang w:val="en-IE"/>
        </w:rPr>
      </w:pPr>
    </w:p>
    <w:p w14:paraId="241CDA44" w14:textId="1DF01EF7" w:rsidR="00733DCA" w:rsidRDefault="00E735EE" w:rsidP="00932F3F">
      <w:pPr>
        <w:tabs>
          <w:tab w:val="left" w:pos="1100"/>
        </w:tabs>
        <w:ind w:left="851"/>
        <w:rPr>
          <w:rFonts w:ascii="Times New Roman" w:eastAsia="Times New Roman" w:hAnsi="Times New Roman" w:cs="Times New Roman"/>
          <w:noProof/>
          <w:sz w:val="24"/>
          <w:szCs w:val="24"/>
        </w:rPr>
      </w:pPr>
      <w:r>
        <w:rPr>
          <w:rFonts w:ascii="Times New Roman" w:hAnsi="Times New Roman"/>
          <w:noProof/>
          <w:sz w:val="24"/>
        </w:rPr>
        <w:t>Ulaganje C6.1. R1-I3 – Energetska obnova zgrada sa statusom kulturnog dobra</w:t>
      </w:r>
    </w:p>
    <w:p w14:paraId="01EE34E7" w14:textId="0004CC3F" w:rsidR="00733DCA" w:rsidRDefault="00733DCA" w:rsidP="0060740B">
      <w:pPr>
        <w:tabs>
          <w:tab w:val="left" w:pos="1100"/>
        </w:tabs>
        <w:jc w:val="both"/>
        <w:rPr>
          <w:rFonts w:ascii="Times New Roman" w:eastAsia="Times New Roman" w:hAnsi="Times New Roman" w:cs="Times New Roman"/>
          <w:noProof/>
          <w:sz w:val="24"/>
          <w:szCs w:val="24"/>
        </w:rPr>
      </w:pPr>
      <w:r>
        <w:rPr>
          <w:rFonts w:ascii="Times New Roman" w:hAnsi="Times New Roman"/>
          <w:noProof/>
          <w:sz w:val="24"/>
        </w:rPr>
        <w:t>Cilj mjere je povećanje ambicioznosti postojeće mjere C6.1. R1-I3 Energetska obnova zgrada sa statusom kulturnog dobra. Izradit će se Smjernice za energetsku obnovu zgrada sa statusom kulturnog dobra i objaviti na službenim internetskim stranicama Ministarstva kulture i medija.</w:t>
      </w:r>
      <w:r>
        <w:rPr>
          <w:noProof/>
        </w:rPr>
        <w:t xml:space="preserve"> </w:t>
      </w:r>
      <w:r>
        <w:rPr>
          <w:rFonts w:ascii="Times New Roman" w:hAnsi="Times New Roman"/>
          <w:noProof/>
          <w:sz w:val="24"/>
        </w:rPr>
        <w:t>U smjernicama će se dati preporuke o mjerama energetske obnove, tehničkim rješenjima i modernim materijalima te pojasniti postupci za pripremu dokumentacije i dobivanje potrebnih dozvola.</w:t>
      </w:r>
    </w:p>
    <w:p w14:paraId="5758A1F3" w14:textId="07FC8D48" w:rsidR="00CB5EE4" w:rsidRDefault="00CB5EE4" w:rsidP="0001477B">
      <w:pPr>
        <w:tabs>
          <w:tab w:val="left" w:pos="1100"/>
        </w:tabs>
        <w:rPr>
          <w:rFonts w:ascii="Times New Roman" w:eastAsia="Times New Roman" w:hAnsi="Times New Roman" w:cs="Times New Roman"/>
          <w:noProof/>
          <w:sz w:val="24"/>
          <w:szCs w:val="24"/>
        </w:rPr>
      </w:pPr>
      <w:r>
        <w:rPr>
          <w:rFonts w:ascii="Times New Roman" w:hAnsi="Times New Roman"/>
          <w:noProof/>
          <w:sz w:val="24"/>
        </w:rPr>
        <w:t>Provedba mjere bit će dovršena do 31. prosinca 2023.</w:t>
      </w:r>
    </w:p>
    <w:p w14:paraId="2A703F5C" w14:textId="77777777" w:rsidR="00733DCA" w:rsidRPr="003C6FCF" w:rsidRDefault="00733DCA" w:rsidP="0001477B">
      <w:pPr>
        <w:tabs>
          <w:tab w:val="left" w:pos="1100"/>
        </w:tabs>
        <w:rPr>
          <w:noProof/>
        </w:rPr>
        <w:sectPr w:rsidR="00733DCA" w:rsidRPr="003C6FCF" w:rsidSect="0001477B">
          <w:headerReference w:type="even" r:id="rId390"/>
          <w:headerReference w:type="default" r:id="rId391"/>
          <w:footerReference w:type="even" r:id="rId392"/>
          <w:footerReference w:type="default" r:id="rId393"/>
          <w:headerReference w:type="first" r:id="rId394"/>
          <w:footerReference w:type="first" r:id="rId395"/>
          <w:pgSz w:w="12240" w:h="15840"/>
          <w:pgMar w:top="1440" w:right="1440" w:bottom="1440" w:left="1440" w:header="708" w:footer="708" w:gutter="0"/>
          <w:cols w:space="708"/>
          <w:docGrid w:linePitch="360"/>
        </w:sectPr>
      </w:pPr>
      <w:r>
        <w:rPr>
          <w:noProof/>
        </w:rPr>
        <w:tab/>
      </w:r>
    </w:p>
    <w:p w14:paraId="2F3B842B" w14:textId="77777777" w:rsidR="00733DCA" w:rsidRPr="006F31C1" w:rsidRDefault="00733DCA" w:rsidP="003C6FCF">
      <w:pPr>
        <w:keepNext/>
        <w:tabs>
          <w:tab w:val="num" w:pos="284"/>
        </w:tabs>
        <w:spacing w:before="40" w:after="0"/>
        <w:jc w:val="both"/>
        <w:outlineLvl w:val="1"/>
        <w:rPr>
          <w:rFonts w:eastAsia="SimSun"/>
          <w:b/>
          <w:noProof/>
        </w:rPr>
      </w:pPr>
      <w:r>
        <w:rPr>
          <w:rFonts w:ascii="Times New Roman" w:hAnsi="Times New Roman"/>
          <w:b/>
          <w:noProof/>
          <w:sz w:val="24"/>
        </w:rPr>
        <w:t xml:space="preserve">V.4. </w:t>
      </w:r>
      <w:r>
        <w:rPr>
          <w:rFonts w:ascii="Times New Roman" w:hAnsi="Times New Roman"/>
          <w:b/>
          <w:noProof/>
          <w:sz w:val="24"/>
        </w:rPr>
        <w:tab/>
        <w:t>Ključne etape, ciljne vrijednosti, pokazatelji i vremenski raspored za praćenje i provedbu za zajam  </w:t>
      </w:r>
    </w:p>
    <w:p w14:paraId="194A24A3" w14:textId="2700D9A4" w:rsidR="00733DCA" w:rsidRPr="003C6FCF" w:rsidRDefault="00733DCA" w:rsidP="0001477B">
      <w:pPr>
        <w:pStyle w:val="paragraph"/>
        <w:spacing w:before="0" w:beforeAutospacing="0" w:after="0" w:afterAutospacing="0"/>
        <w:ind w:left="840"/>
        <w:jc w:val="both"/>
        <w:textAlignment w:val="baseline"/>
        <w:rPr>
          <w:rFonts w:asciiTheme="minorHAnsi" w:hAnsiTheme="minorHAnsi" w:cstheme="minorHAnsi"/>
          <w:noProof/>
          <w:sz w:val="20"/>
          <w:szCs w:val="20"/>
        </w:rPr>
      </w:pPr>
      <w:r>
        <w:rPr>
          <w:rStyle w:val="normaltextrun"/>
          <w:rFonts w:asciiTheme="minorHAnsi" w:hAnsiTheme="minorHAnsi"/>
          <w:i/>
          <w:noProof/>
          <w:color w:val="4F81BD"/>
          <w:sz w:val="20"/>
        </w:rPr>
        <w:t> </w:t>
      </w:r>
      <w:r>
        <w:rPr>
          <w:rStyle w:val="eop"/>
          <w:rFonts w:asciiTheme="minorHAnsi" w:hAnsiTheme="minorHAnsi"/>
          <w:noProof/>
          <w:color w:val="4F81BD"/>
          <w:sz w:val="20"/>
        </w:rPr>
        <w:t> </w:t>
      </w:r>
    </w:p>
    <w:tbl>
      <w:tblPr>
        <w:tblpPr w:leftFromText="180" w:rightFromText="180" w:vertAnchor="text" w:horzAnchor="page" w:tblpX="415" w:tblpY="37"/>
        <w:tblW w:w="151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4"/>
        <w:gridCol w:w="1620"/>
        <w:gridCol w:w="932"/>
        <w:gridCol w:w="1984"/>
        <w:gridCol w:w="2126"/>
        <w:gridCol w:w="993"/>
        <w:gridCol w:w="850"/>
        <w:gridCol w:w="851"/>
        <w:gridCol w:w="425"/>
        <w:gridCol w:w="850"/>
        <w:gridCol w:w="3828"/>
      </w:tblGrid>
      <w:tr w:rsidR="002E48FD" w:rsidRPr="00352C57" w14:paraId="210BF4E9" w14:textId="77777777" w:rsidTr="007035D7">
        <w:trPr>
          <w:trHeight w:val="688"/>
        </w:trPr>
        <w:tc>
          <w:tcPr>
            <w:tcW w:w="7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6C51D6" w14:textId="280B8ADD" w:rsidR="00733DCA" w:rsidRPr="00842EF1" w:rsidRDefault="00733DCA" w:rsidP="0001477B">
            <w:pPr>
              <w:spacing w:after="0" w:line="240" w:lineRule="auto"/>
              <w:jc w:val="center"/>
              <w:textAlignment w:val="baseline"/>
              <w:rPr>
                <w:rFonts w:eastAsia="Times New Roman"/>
                <w:noProof/>
                <w:sz w:val="20"/>
                <w:szCs w:val="20"/>
              </w:rPr>
            </w:pPr>
            <w:r>
              <w:rPr>
                <w:b/>
                <w:noProof/>
                <w:sz w:val="20"/>
              </w:rPr>
              <w:t>Broj</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28C69A9" w14:textId="1D0C3E14" w:rsidR="00733DCA" w:rsidRPr="00842EF1" w:rsidRDefault="00733DCA" w:rsidP="0001477B">
            <w:pPr>
              <w:spacing w:after="0" w:line="240" w:lineRule="auto"/>
              <w:jc w:val="center"/>
              <w:textAlignment w:val="baseline"/>
              <w:rPr>
                <w:rFonts w:eastAsia="Times New Roman"/>
                <w:noProof/>
                <w:sz w:val="20"/>
                <w:szCs w:val="20"/>
              </w:rPr>
            </w:pPr>
            <w:r>
              <w:rPr>
                <w:b/>
                <w:noProof/>
                <w:sz w:val="20"/>
              </w:rPr>
              <w:t xml:space="preserve">Mjera </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BE8051" w14:textId="77777777" w:rsidR="00733DCA" w:rsidRPr="00842EF1" w:rsidRDefault="00733DCA" w:rsidP="0001477B">
            <w:pPr>
              <w:spacing w:after="0" w:line="240" w:lineRule="auto"/>
              <w:jc w:val="center"/>
              <w:textAlignment w:val="baseline"/>
              <w:rPr>
                <w:rFonts w:eastAsia="Times New Roman"/>
                <w:noProof/>
                <w:sz w:val="20"/>
                <w:szCs w:val="20"/>
              </w:rPr>
            </w:pPr>
            <w:r>
              <w:rPr>
                <w:b/>
                <w:noProof/>
                <w:sz w:val="20"/>
              </w:rPr>
              <w:t>Ključna etapa / ciljna vrijednost</w:t>
            </w:r>
            <w:r>
              <w:rPr>
                <w:noProof/>
                <w:sz w:val="20"/>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4D6A16" w14:textId="77777777" w:rsidR="00733DCA" w:rsidRPr="00842EF1" w:rsidRDefault="00733DCA" w:rsidP="0001477B">
            <w:pPr>
              <w:spacing w:after="0" w:line="240" w:lineRule="auto"/>
              <w:jc w:val="center"/>
              <w:textAlignment w:val="baseline"/>
              <w:rPr>
                <w:rFonts w:eastAsia="Times New Roman"/>
                <w:noProof/>
                <w:sz w:val="20"/>
                <w:szCs w:val="20"/>
              </w:rPr>
            </w:pPr>
            <w:r>
              <w:rPr>
                <w:b/>
                <w:noProof/>
                <w:sz w:val="20"/>
              </w:rPr>
              <w:t>Naziv</w:t>
            </w:r>
            <w:r>
              <w:rPr>
                <w:noProof/>
                <w:sz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EB8C7C" w14:textId="77777777" w:rsidR="00733DCA" w:rsidRPr="003C6FCF" w:rsidRDefault="00733DCA" w:rsidP="0001477B">
            <w:pPr>
              <w:spacing w:after="0" w:line="240" w:lineRule="auto"/>
              <w:jc w:val="center"/>
              <w:textAlignment w:val="baseline"/>
              <w:rPr>
                <w:rFonts w:eastAsia="Times New Roman"/>
                <w:noProof/>
                <w:sz w:val="20"/>
                <w:szCs w:val="20"/>
              </w:rPr>
            </w:pPr>
            <w:r>
              <w:rPr>
                <w:b/>
                <w:noProof/>
                <w:sz w:val="20"/>
              </w:rPr>
              <w:t xml:space="preserve">Kvalitativni pokazatelji </w:t>
            </w:r>
            <w:r>
              <w:rPr>
                <w:b/>
                <w:noProof/>
                <w:sz w:val="20"/>
              </w:rPr>
              <w:br/>
              <w:t>(za ključne etape)</w:t>
            </w:r>
            <w:r>
              <w:rPr>
                <w:noProof/>
                <w:sz w:val="20"/>
              </w:rPr>
              <w:t> </w:t>
            </w:r>
          </w:p>
        </w:tc>
        <w:tc>
          <w:tcPr>
            <w:tcW w:w="2694" w:type="dxa"/>
            <w:gridSpan w:val="3"/>
            <w:tcBorders>
              <w:top w:val="single" w:sz="6" w:space="0" w:color="auto"/>
              <w:left w:val="single" w:sz="4" w:space="0" w:color="auto"/>
              <w:bottom w:val="single" w:sz="6" w:space="0" w:color="auto"/>
              <w:right w:val="single" w:sz="6" w:space="0" w:color="auto"/>
            </w:tcBorders>
            <w:shd w:val="clear" w:color="auto" w:fill="BDD7EE"/>
            <w:vAlign w:val="center"/>
            <w:hideMark/>
          </w:tcPr>
          <w:p w14:paraId="35793741" w14:textId="77777777" w:rsidR="00733DCA" w:rsidRPr="003C6FCF" w:rsidRDefault="00733DCA" w:rsidP="0001477B">
            <w:pPr>
              <w:spacing w:after="0" w:line="240" w:lineRule="auto"/>
              <w:jc w:val="center"/>
              <w:textAlignment w:val="baseline"/>
              <w:rPr>
                <w:rFonts w:eastAsia="Times New Roman" w:cstheme="minorHAnsi"/>
                <w:noProof/>
                <w:sz w:val="20"/>
                <w:szCs w:val="20"/>
              </w:rPr>
            </w:pPr>
            <w:r>
              <w:rPr>
                <w:b/>
                <w:noProof/>
                <w:sz w:val="20"/>
              </w:rPr>
              <w:t>Kvantitativni pokazatelji</w:t>
            </w:r>
            <w:r>
              <w:rPr>
                <w:noProof/>
                <w:sz w:val="20"/>
              </w:rPr>
              <w:t xml:space="preserve"> </w:t>
            </w:r>
            <w:r>
              <w:rPr>
                <w:noProof/>
                <w:sz w:val="20"/>
              </w:rPr>
              <w:br/>
            </w:r>
            <w:r>
              <w:rPr>
                <w:b/>
                <w:noProof/>
                <w:sz w:val="20"/>
              </w:rPr>
              <w:t>(za ciljne vrijednosti)</w:t>
            </w:r>
            <w:r>
              <w:rPr>
                <w:noProof/>
                <w:sz w:val="20"/>
              </w:rPr>
              <w:t> </w:t>
            </w:r>
          </w:p>
        </w:tc>
        <w:tc>
          <w:tcPr>
            <w:tcW w:w="1275" w:type="dxa"/>
            <w:gridSpan w:val="2"/>
            <w:tcBorders>
              <w:top w:val="single" w:sz="6" w:space="0" w:color="auto"/>
              <w:left w:val="nil"/>
              <w:bottom w:val="single" w:sz="6" w:space="0" w:color="auto"/>
              <w:right w:val="single" w:sz="4" w:space="0" w:color="auto"/>
            </w:tcBorders>
            <w:shd w:val="clear" w:color="auto" w:fill="BDD7EE"/>
            <w:vAlign w:val="center"/>
            <w:hideMark/>
          </w:tcPr>
          <w:p w14:paraId="06499A06" w14:textId="760667C8" w:rsidR="00733DCA" w:rsidRPr="003C6FCF" w:rsidRDefault="007035D7" w:rsidP="0001477B">
            <w:pPr>
              <w:spacing w:after="0" w:line="240" w:lineRule="auto"/>
              <w:jc w:val="center"/>
              <w:textAlignment w:val="baseline"/>
              <w:rPr>
                <w:rFonts w:eastAsia="Times New Roman" w:cstheme="minorHAnsi"/>
                <w:noProof/>
                <w:sz w:val="20"/>
                <w:szCs w:val="20"/>
              </w:rPr>
            </w:pPr>
            <w:r>
              <w:rPr>
                <w:b/>
                <w:noProof/>
                <w:sz w:val="20"/>
              </w:rPr>
              <w:t>Vrijeme </w:t>
            </w:r>
            <w:r>
              <w:rPr>
                <w:noProof/>
                <w:sz w:val="20"/>
              </w:rPr>
              <w:t> </w:t>
            </w:r>
          </w:p>
        </w:tc>
        <w:tc>
          <w:tcPr>
            <w:tcW w:w="3828" w:type="dxa"/>
            <w:vMerge w:val="restart"/>
            <w:tcBorders>
              <w:top w:val="single" w:sz="4" w:space="0" w:color="auto"/>
              <w:left w:val="single" w:sz="4" w:space="0" w:color="auto"/>
              <w:right w:val="single" w:sz="4" w:space="0" w:color="auto"/>
            </w:tcBorders>
            <w:shd w:val="clear" w:color="auto" w:fill="BDD7EE"/>
            <w:vAlign w:val="center"/>
            <w:hideMark/>
          </w:tcPr>
          <w:p w14:paraId="50A690C0" w14:textId="77777777" w:rsidR="00733DCA" w:rsidRPr="003C6FCF" w:rsidRDefault="00733DCA" w:rsidP="0001477B">
            <w:pPr>
              <w:spacing w:after="0" w:line="240" w:lineRule="auto"/>
              <w:jc w:val="center"/>
              <w:textAlignment w:val="baseline"/>
              <w:rPr>
                <w:rFonts w:eastAsia="Times New Roman" w:cstheme="minorHAnsi"/>
                <w:noProof/>
                <w:sz w:val="20"/>
                <w:szCs w:val="20"/>
              </w:rPr>
            </w:pPr>
            <w:r>
              <w:rPr>
                <w:b/>
                <w:noProof/>
                <w:sz w:val="20"/>
              </w:rPr>
              <w:t>Opis svake ključne etape i ciljne vrijednosti</w:t>
            </w:r>
            <w:r>
              <w:rPr>
                <w:noProof/>
                <w:sz w:val="20"/>
              </w:rPr>
              <w:t> </w:t>
            </w:r>
          </w:p>
        </w:tc>
      </w:tr>
      <w:tr w:rsidR="002E48FD" w:rsidRPr="00352C57" w14:paraId="4D606BE0" w14:textId="77777777" w:rsidTr="007035D7">
        <w:trPr>
          <w:trHeight w:val="589"/>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2BF5C58" w14:textId="77777777" w:rsidR="00733DCA" w:rsidRPr="00BC0323" w:rsidRDefault="00733DCA" w:rsidP="0001477B">
            <w:pPr>
              <w:spacing w:after="0" w:line="240" w:lineRule="auto"/>
              <w:rPr>
                <w:rFonts w:eastAsia="Times New Roman" w:cstheme="minorHAnsi"/>
                <w:noProof/>
                <w:sz w:val="20"/>
                <w:szCs w:val="20"/>
                <w:lang w:eastAsia="en-IE"/>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24683AB" w14:textId="77777777" w:rsidR="00733DCA" w:rsidRPr="00BC0323" w:rsidRDefault="00733DCA" w:rsidP="0001477B">
            <w:pPr>
              <w:spacing w:after="0" w:line="240" w:lineRule="auto"/>
              <w:rPr>
                <w:rFonts w:eastAsia="Times New Roman" w:cstheme="minorHAnsi"/>
                <w:noProof/>
                <w:sz w:val="20"/>
                <w:szCs w:val="20"/>
                <w:lang w:eastAsia="en-IE"/>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46361FF2" w14:textId="77777777" w:rsidR="00733DCA" w:rsidRPr="00BC0323" w:rsidRDefault="00733DCA" w:rsidP="0001477B">
            <w:pPr>
              <w:spacing w:after="0" w:line="240" w:lineRule="auto"/>
              <w:rPr>
                <w:rFonts w:eastAsia="Times New Roman" w:cstheme="minorHAnsi"/>
                <w:noProof/>
                <w:sz w:val="20"/>
                <w:szCs w:val="20"/>
                <w:lang w:eastAsia="en-IE"/>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74652D" w14:textId="77777777" w:rsidR="00733DCA" w:rsidRPr="00BC0323" w:rsidRDefault="00733DCA" w:rsidP="0001477B">
            <w:pPr>
              <w:spacing w:after="0" w:line="240" w:lineRule="auto"/>
              <w:rPr>
                <w:rFonts w:eastAsia="Times New Roman" w:cstheme="minorHAnsi"/>
                <w:noProof/>
                <w:sz w:val="20"/>
                <w:szCs w:val="20"/>
                <w:lang w:eastAsia="en-I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5A3627" w14:textId="77777777" w:rsidR="00733DCA" w:rsidRPr="00BC0323" w:rsidRDefault="00733DCA" w:rsidP="0001477B">
            <w:pPr>
              <w:spacing w:after="0" w:line="240" w:lineRule="auto"/>
              <w:rPr>
                <w:rFonts w:eastAsia="Times New Roman" w:cstheme="minorHAnsi"/>
                <w:noProof/>
                <w:sz w:val="20"/>
                <w:szCs w:val="20"/>
                <w:lang w:eastAsia="en-IE"/>
              </w:rPr>
            </w:pPr>
          </w:p>
        </w:tc>
        <w:tc>
          <w:tcPr>
            <w:tcW w:w="993" w:type="dxa"/>
            <w:tcBorders>
              <w:top w:val="nil"/>
              <w:left w:val="single" w:sz="4" w:space="0" w:color="auto"/>
              <w:bottom w:val="single" w:sz="6" w:space="0" w:color="auto"/>
              <w:right w:val="single" w:sz="6" w:space="0" w:color="auto"/>
            </w:tcBorders>
            <w:shd w:val="clear" w:color="auto" w:fill="BDD7EE"/>
            <w:vAlign w:val="center"/>
            <w:hideMark/>
          </w:tcPr>
          <w:p w14:paraId="08DC68F6" w14:textId="2DEB25C0" w:rsidR="00733DCA" w:rsidRPr="003C6FCF" w:rsidRDefault="00733DCA" w:rsidP="0001477B">
            <w:pPr>
              <w:spacing w:after="0" w:line="240" w:lineRule="auto"/>
              <w:jc w:val="center"/>
              <w:textAlignment w:val="baseline"/>
              <w:rPr>
                <w:rFonts w:eastAsia="Times New Roman" w:cstheme="minorHAnsi"/>
                <w:noProof/>
                <w:sz w:val="20"/>
                <w:szCs w:val="20"/>
              </w:rPr>
            </w:pPr>
            <w:r>
              <w:rPr>
                <w:b/>
                <w:noProof/>
                <w:sz w:val="20"/>
              </w:rPr>
              <w:t>Jedinica</w:t>
            </w:r>
            <w:r>
              <w:rPr>
                <w:noProof/>
                <w:sz w:val="20"/>
              </w:rPr>
              <w:t> </w:t>
            </w:r>
          </w:p>
        </w:tc>
        <w:tc>
          <w:tcPr>
            <w:tcW w:w="850" w:type="dxa"/>
            <w:tcBorders>
              <w:top w:val="nil"/>
              <w:left w:val="nil"/>
              <w:bottom w:val="single" w:sz="6" w:space="0" w:color="auto"/>
              <w:right w:val="single" w:sz="6" w:space="0" w:color="auto"/>
            </w:tcBorders>
            <w:shd w:val="clear" w:color="auto" w:fill="BDD7EE"/>
            <w:vAlign w:val="center"/>
            <w:hideMark/>
          </w:tcPr>
          <w:p w14:paraId="0AB36356" w14:textId="77777777" w:rsidR="00733DCA" w:rsidRPr="003C6FCF" w:rsidRDefault="00733DCA" w:rsidP="0001477B">
            <w:pPr>
              <w:spacing w:after="0" w:line="240" w:lineRule="auto"/>
              <w:jc w:val="center"/>
              <w:textAlignment w:val="baseline"/>
              <w:rPr>
                <w:rFonts w:eastAsia="Times New Roman" w:cstheme="minorHAnsi"/>
                <w:noProof/>
                <w:sz w:val="20"/>
                <w:szCs w:val="20"/>
              </w:rPr>
            </w:pPr>
            <w:r>
              <w:rPr>
                <w:b/>
                <w:noProof/>
                <w:sz w:val="20"/>
              </w:rPr>
              <w:t>Osnovna vrijednost </w:t>
            </w:r>
            <w:r>
              <w:rPr>
                <w:noProof/>
                <w:sz w:val="20"/>
              </w:rPr>
              <w:t> </w:t>
            </w:r>
          </w:p>
        </w:tc>
        <w:tc>
          <w:tcPr>
            <w:tcW w:w="851" w:type="dxa"/>
            <w:tcBorders>
              <w:top w:val="nil"/>
              <w:left w:val="nil"/>
              <w:bottom w:val="single" w:sz="6" w:space="0" w:color="auto"/>
              <w:right w:val="single" w:sz="6" w:space="0" w:color="auto"/>
            </w:tcBorders>
            <w:shd w:val="clear" w:color="auto" w:fill="BDD7EE"/>
            <w:vAlign w:val="center"/>
            <w:hideMark/>
          </w:tcPr>
          <w:p w14:paraId="1EF6960A" w14:textId="77777777" w:rsidR="00733DCA" w:rsidRPr="003C6FCF" w:rsidRDefault="00733DCA" w:rsidP="0001477B">
            <w:pPr>
              <w:spacing w:after="0" w:line="240" w:lineRule="auto"/>
              <w:jc w:val="center"/>
              <w:textAlignment w:val="baseline"/>
              <w:rPr>
                <w:rFonts w:eastAsia="Times New Roman" w:cstheme="minorHAnsi"/>
                <w:noProof/>
                <w:sz w:val="20"/>
                <w:szCs w:val="20"/>
              </w:rPr>
            </w:pPr>
            <w:r>
              <w:rPr>
                <w:b/>
                <w:noProof/>
                <w:sz w:val="20"/>
              </w:rPr>
              <w:t>Cilj </w:t>
            </w:r>
            <w:r>
              <w:rPr>
                <w:noProof/>
                <w:sz w:val="20"/>
              </w:rPr>
              <w:t> </w:t>
            </w:r>
          </w:p>
        </w:tc>
        <w:tc>
          <w:tcPr>
            <w:tcW w:w="425" w:type="dxa"/>
            <w:tcBorders>
              <w:top w:val="nil"/>
              <w:left w:val="nil"/>
              <w:bottom w:val="single" w:sz="6" w:space="0" w:color="auto"/>
              <w:right w:val="single" w:sz="6" w:space="0" w:color="auto"/>
            </w:tcBorders>
            <w:shd w:val="clear" w:color="auto" w:fill="BDD7EE"/>
            <w:vAlign w:val="center"/>
            <w:hideMark/>
          </w:tcPr>
          <w:p w14:paraId="74E6AF28" w14:textId="79B6415B" w:rsidR="00733DCA" w:rsidRPr="003C6FCF" w:rsidRDefault="00733DCA" w:rsidP="0001477B">
            <w:pPr>
              <w:spacing w:after="0" w:line="240" w:lineRule="auto"/>
              <w:jc w:val="center"/>
              <w:textAlignment w:val="baseline"/>
              <w:rPr>
                <w:rFonts w:eastAsia="Times New Roman" w:cstheme="minorHAnsi"/>
                <w:noProof/>
                <w:sz w:val="20"/>
                <w:szCs w:val="20"/>
              </w:rPr>
            </w:pPr>
            <w:r>
              <w:rPr>
                <w:b/>
                <w:noProof/>
                <w:sz w:val="20"/>
              </w:rPr>
              <w:t>Q</w:t>
            </w:r>
            <w:r>
              <w:rPr>
                <w:noProof/>
                <w:sz w:val="20"/>
              </w:rPr>
              <w:t> </w:t>
            </w:r>
          </w:p>
        </w:tc>
        <w:tc>
          <w:tcPr>
            <w:tcW w:w="850" w:type="dxa"/>
            <w:tcBorders>
              <w:top w:val="nil"/>
              <w:left w:val="nil"/>
              <w:bottom w:val="single" w:sz="6" w:space="0" w:color="auto"/>
              <w:right w:val="single" w:sz="4" w:space="0" w:color="auto"/>
            </w:tcBorders>
            <w:shd w:val="clear" w:color="auto" w:fill="BDD7EE"/>
            <w:vAlign w:val="center"/>
            <w:hideMark/>
          </w:tcPr>
          <w:p w14:paraId="50DA9435" w14:textId="77777777" w:rsidR="00733DCA" w:rsidRPr="003C6FCF" w:rsidRDefault="00733DCA" w:rsidP="0001477B">
            <w:pPr>
              <w:spacing w:after="0" w:line="240" w:lineRule="auto"/>
              <w:jc w:val="center"/>
              <w:textAlignment w:val="baseline"/>
              <w:rPr>
                <w:rFonts w:eastAsia="Times New Roman" w:cstheme="minorHAnsi"/>
                <w:noProof/>
                <w:sz w:val="20"/>
                <w:szCs w:val="20"/>
              </w:rPr>
            </w:pPr>
            <w:r>
              <w:rPr>
                <w:b/>
                <w:noProof/>
                <w:sz w:val="20"/>
              </w:rPr>
              <w:t>Godina</w:t>
            </w:r>
            <w:r>
              <w:rPr>
                <w:noProof/>
                <w:sz w:val="20"/>
              </w:rPr>
              <w:t> </w:t>
            </w:r>
          </w:p>
        </w:tc>
        <w:tc>
          <w:tcPr>
            <w:tcW w:w="3828" w:type="dxa"/>
            <w:vMerge/>
            <w:vAlign w:val="center"/>
            <w:hideMark/>
          </w:tcPr>
          <w:p w14:paraId="6C7486B3" w14:textId="77777777" w:rsidR="00733DCA" w:rsidRPr="003C6FCF" w:rsidRDefault="00733DCA" w:rsidP="0001477B">
            <w:pPr>
              <w:spacing w:after="0" w:line="240" w:lineRule="auto"/>
              <w:rPr>
                <w:rFonts w:eastAsia="Times New Roman" w:cstheme="minorHAnsi"/>
                <w:noProof/>
                <w:sz w:val="20"/>
                <w:szCs w:val="20"/>
                <w:lang w:val="en-IE" w:eastAsia="en-IE"/>
              </w:rPr>
            </w:pPr>
          </w:p>
        </w:tc>
      </w:tr>
      <w:tr w:rsidR="002E48FD" w:rsidRPr="004419A5" w14:paraId="0D55AFD6" w14:textId="77777777" w:rsidTr="007035D7">
        <w:trPr>
          <w:trHeight w:val="301"/>
        </w:trPr>
        <w:tc>
          <w:tcPr>
            <w:tcW w:w="714" w:type="dxa"/>
            <w:tcBorders>
              <w:top w:val="single" w:sz="4" w:space="0" w:color="auto"/>
              <w:left w:val="single" w:sz="6" w:space="0" w:color="auto"/>
              <w:bottom w:val="single" w:sz="6" w:space="0" w:color="auto"/>
              <w:right w:val="single" w:sz="6" w:space="0" w:color="auto"/>
            </w:tcBorders>
            <w:shd w:val="clear" w:color="auto" w:fill="C6EFCE"/>
            <w:hideMark/>
          </w:tcPr>
          <w:p w14:paraId="07174B1E" w14:textId="0234713B" w:rsidR="00733DCA" w:rsidRPr="00AC725E" w:rsidRDefault="00DB0900" w:rsidP="00AD3D5D">
            <w:pPr>
              <w:spacing w:after="0" w:line="240" w:lineRule="auto"/>
              <w:jc w:val="center"/>
              <w:textAlignment w:val="baseline"/>
              <w:rPr>
                <w:rFonts w:eastAsia="Times New Roman" w:cstheme="minorHAnsi"/>
                <w:noProof/>
                <w:sz w:val="20"/>
                <w:szCs w:val="20"/>
              </w:rPr>
            </w:pPr>
            <w:r>
              <w:rPr>
                <w:noProof/>
                <w:sz w:val="20"/>
              </w:rPr>
              <w:t>402</w:t>
            </w:r>
          </w:p>
        </w:tc>
        <w:tc>
          <w:tcPr>
            <w:tcW w:w="1620" w:type="dxa"/>
            <w:tcBorders>
              <w:top w:val="single" w:sz="4" w:space="0" w:color="auto"/>
              <w:left w:val="nil"/>
              <w:bottom w:val="single" w:sz="6" w:space="0" w:color="auto"/>
              <w:right w:val="single" w:sz="6" w:space="0" w:color="auto"/>
            </w:tcBorders>
            <w:shd w:val="clear" w:color="auto" w:fill="C6EFCE"/>
            <w:hideMark/>
          </w:tcPr>
          <w:p w14:paraId="23A9701A" w14:textId="18D20A9C" w:rsidR="00733DCA" w:rsidRPr="00AC725E" w:rsidRDefault="00733DCA" w:rsidP="00AC725E">
            <w:pPr>
              <w:spacing w:after="0" w:line="240" w:lineRule="auto"/>
              <w:textAlignment w:val="baseline"/>
              <w:rPr>
                <w:rFonts w:eastAsia="Times New Roman" w:cstheme="minorHAnsi"/>
                <w:noProof/>
                <w:sz w:val="20"/>
                <w:szCs w:val="20"/>
              </w:rPr>
            </w:pPr>
            <w:r>
              <w:rPr>
                <w:noProof/>
                <w:sz w:val="20"/>
              </w:rPr>
              <w:t>C6.1. R7</w:t>
            </w:r>
          </w:p>
          <w:p w14:paraId="363E63BF" w14:textId="7C28A697" w:rsidR="00733DCA" w:rsidRPr="00AC725E" w:rsidRDefault="00733DCA" w:rsidP="00AC725E">
            <w:pPr>
              <w:spacing w:after="0" w:line="240" w:lineRule="auto"/>
              <w:textAlignment w:val="baseline"/>
              <w:rPr>
                <w:rFonts w:eastAsia="Times New Roman" w:cstheme="minorHAnsi"/>
                <w:noProof/>
                <w:sz w:val="20"/>
                <w:szCs w:val="20"/>
                <w:lang w:val="en-IE" w:eastAsia="en-IE"/>
              </w:rPr>
            </w:pPr>
          </w:p>
        </w:tc>
        <w:tc>
          <w:tcPr>
            <w:tcW w:w="932" w:type="dxa"/>
            <w:tcBorders>
              <w:top w:val="single" w:sz="4" w:space="0" w:color="auto"/>
              <w:left w:val="nil"/>
              <w:bottom w:val="single" w:sz="6" w:space="0" w:color="auto"/>
              <w:right w:val="single" w:sz="6" w:space="0" w:color="auto"/>
            </w:tcBorders>
            <w:shd w:val="clear" w:color="auto" w:fill="C6EFCE"/>
          </w:tcPr>
          <w:p w14:paraId="1285691C" w14:textId="77777777" w:rsidR="00733DCA" w:rsidRPr="00AC725E" w:rsidRDefault="00733DCA" w:rsidP="00AC725E">
            <w:pPr>
              <w:spacing w:after="0" w:line="240" w:lineRule="auto"/>
              <w:jc w:val="center"/>
              <w:textAlignment w:val="baseline"/>
              <w:rPr>
                <w:rFonts w:eastAsia="Times New Roman" w:cstheme="minorHAnsi"/>
                <w:noProof/>
                <w:sz w:val="20"/>
                <w:szCs w:val="20"/>
              </w:rPr>
            </w:pPr>
            <w:r>
              <w:rPr>
                <w:noProof/>
                <w:sz w:val="20"/>
              </w:rPr>
              <w:t>Ključna etapa</w:t>
            </w:r>
          </w:p>
        </w:tc>
        <w:tc>
          <w:tcPr>
            <w:tcW w:w="1984" w:type="dxa"/>
            <w:tcBorders>
              <w:top w:val="single" w:sz="4" w:space="0" w:color="auto"/>
              <w:left w:val="nil"/>
              <w:bottom w:val="single" w:sz="6" w:space="0" w:color="auto"/>
              <w:right w:val="single" w:sz="6" w:space="0" w:color="auto"/>
            </w:tcBorders>
            <w:shd w:val="clear" w:color="auto" w:fill="C6EFCE"/>
          </w:tcPr>
          <w:p w14:paraId="231E1F08" w14:textId="5A1EBE0E" w:rsidR="00733DCA" w:rsidRPr="00AC725E" w:rsidRDefault="00733DCA" w:rsidP="00AC725E">
            <w:pPr>
              <w:spacing w:after="0" w:line="240" w:lineRule="auto"/>
              <w:textAlignment w:val="baseline"/>
              <w:rPr>
                <w:rFonts w:eastAsia="Times New Roman" w:cstheme="minorHAnsi"/>
                <w:b/>
                <w:bCs/>
                <w:noProof/>
                <w:sz w:val="20"/>
                <w:szCs w:val="20"/>
              </w:rPr>
            </w:pPr>
            <w:r>
              <w:rPr>
                <w:noProof/>
                <w:sz w:val="20"/>
              </w:rPr>
              <w:t xml:space="preserve">Potpisani ugovori o provedbi pilot-projekata  </w:t>
            </w:r>
          </w:p>
        </w:tc>
        <w:tc>
          <w:tcPr>
            <w:tcW w:w="2126" w:type="dxa"/>
            <w:tcBorders>
              <w:top w:val="single" w:sz="4" w:space="0" w:color="auto"/>
              <w:left w:val="nil"/>
              <w:bottom w:val="single" w:sz="6" w:space="0" w:color="auto"/>
              <w:right w:val="single" w:sz="6" w:space="0" w:color="auto"/>
            </w:tcBorders>
            <w:shd w:val="clear" w:color="auto" w:fill="C6EFCE"/>
          </w:tcPr>
          <w:p w14:paraId="559930CD" w14:textId="68BEAD26" w:rsidR="00733DCA" w:rsidRPr="00AC725E" w:rsidRDefault="00733DCA" w:rsidP="00AC725E">
            <w:pPr>
              <w:spacing w:after="0" w:line="240" w:lineRule="auto"/>
              <w:textAlignment w:val="baseline"/>
              <w:rPr>
                <w:rFonts w:eastAsia="Times New Roman" w:cstheme="minorHAnsi"/>
                <w:noProof/>
                <w:sz w:val="20"/>
                <w:szCs w:val="20"/>
              </w:rPr>
            </w:pPr>
            <w:r>
              <w:rPr>
                <w:noProof/>
                <w:sz w:val="20"/>
              </w:rPr>
              <w:t xml:space="preserve">Potpisani ugovori za provedbu pilot-projekata </w:t>
            </w:r>
          </w:p>
        </w:tc>
        <w:tc>
          <w:tcPr>
            <w:tcW w:w="993" w:type="dxa"/>
            <w:tcBorders>
              <w:top w:val="nil"/>
              <w:left w:val="nil"/>
              <w:bottom w:val="single" w:sz="6" w:space="0" w:color="auto"/>
              <w:right w:val="single" w:sz="6" w:space="0" w:color="auto"/>
            </w:tcBorders>
            <w:shd w:val="clear" w:color="auto" w:fill="C6EFCE"/>
            <w:hideMark/>
          </w:tcPr>
          <w:p w14:paraId="70F1F978" w14:textId="77777777" w:rsidR="00733DCA" w:rsidRPr="00AC725E" w:rsidRDefault="00733DCA" w:rsidP="00AD3D5D">
            <w:pPr>
              <w:spacing w:after="0" w:line="240" w:lineRule="auto"/>
              <w:jc w:val="center"/>
              <w:textAlignment w:val="baseline"/>
              <w:rPr>
                <w:rFonts w:eastAsia="Times New Roman" w:cstheme="minorHAnsi"/>
                <w:noProof/>
                <w:sz w:val="20"/>
                <w:szCs w:val="20"/>
                <w:lang w:val="en-IE" w:eastAsia="en-IE"/>
              </w:rPr>
            </w:pPr>
          </w:p>
        </w:tc>
        <w:tc>
          <w:tcPr>
            <w:tcW w:w="850" w:type="dxa"/>
            <w:tcBorders>
              <w:top w:val="nil"/>
              <w:left w:val="nil"/>
              <w:bottom w:val="single" w:sz="6" w:space="0" w:color="auto"/>
              <w:right w:val="single" w:sz="6" w:space="0" w:color="auto"/>
            </w:tcBorders>
            <w:shd w:val="clear" w:color="auto" w:fill="C6EFCE"/>
            <w:hideMark/>
          </w:tcPr>
          <w:p w14:paraId="0DFC5800" w14:textId="26997BFF" w:rsidR="00733DCA" w:rsidRPr="00AC725E" w:rsidRDefault="00733DCA" w:rsidP="00AD3D5D">
            <w:pPr>
              <w:spacing w:after="0" w:line="240" w:lineRule="auto"/>
              <w:jc w:val="center"/>
              <w:textAlignment w:val="baseline"/>
              <w:rPr>
                <w:rFonts w:eastAsia="Times New Roman" w:cstheme="minorHAnsi"/>
                <w:noProof/>
                <w:sz w:val="20"/>
                <w:szCs w:val="20"/>
                <w:lang w:val="en-IE" w:eastAsia="en-IE"/>
              </w:rPr>
            </w:pPr>
          </w:p>
        </w:tc>
        <w:tc>
          <w:tcPr>
            <w:tcW w:w="851" w:type="dxa"/>
            <w:tcBorders>
              <w:top w:val="nil"/>
              <w:left w:val="nil"/>
              <w:bottom w:val="single" w:sz="6" w:space="0" w:color="auto"/>
              <w:right w:val="single" w:sz="6" w:space="0" w:color="auto"/>
            </w:tcBorders>
            <w:shd w:val="clear" w:color="auto" w:fill="C6EFCE"/>
            <w:hideMark/>
          </w:tcPr>
          <w:p w14:paraId="24C89E97" w14:textId="6936A10D" w:rsidR="00733DCA" w:rsidRPr="00AC725E" w:rsidRDefault="00733DCA" w:rsidP="00AD3D5D">
            <w:pPr>
              <w:spacing w:after="0" w:line="240" w:lineRule="auto"/>
              <w:jc w:val="center"/>
              <w:textAlignment w:val="baseline"/>
              <w:rPr>
                <w:rFonts w:eastAsia="Times New Roman" w:cstheme="minorHAnsi"/>
                <w:noProof/>
                <w:sz w:val="20"/>
                <w:szCs w:val="20"/>
                <w:lang w:val="en-IE" w:eastAsia="en-IE"/>
              </w:rPr>
            </w:pPr>
          </w:p>
        </w:tc>
        <w:tc>
          <w:tcPr>
            <w:tcW w:w="425" w:type="dxa"/>
            <w:tcBorders>
              <w:top w:val="nil"/>
              <w:left w:val="nil"/>
              <w:bottom w:val="single" w:sz="6" w:space="0" w:color="auto"/>
              <w:right w:val="single" w:sz="6" w:space="0" w:color="auto"/>
            </w:tcBorders>
            <w:shd w:val="clear" w:color="auto" w:fill="C6EFCE"/>
            <w:hideMark/>
          </w:tcPr>
          <w:p w14:paraId="3F78CF3D" w14:textId="6FCD717F"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3.</w:t>
            </w:r>
          </w:p>
        </w:tc>
        <w:tc>
          <w:tcPr>
            <w:tcW w:w="850" w:type="dxa"/>
            <w:tcBorders>
              <w:top w:val="nil"/>
              <w:left w:val="nil"/>
              <w:bottom w:val="single" w:sz="6" w:space="0" w:color="auto"/>
              <w:right w:val="single" w:sz="6" w:space="0" w:color="auto"/>
            </w:tcBorders>
            <w:shd w:val="clear" w:color="auto" w:fill="C6EFCE"/>
            <w:hideMark/>
          </w:tcPr>
          <w:p w14:paraId="18B31C79" w14:textId="77777777"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2024.</w:t>
            </w:r>
          </w:p>
        </w:tc>
        <w:tc>
          <w:tcPr>
            <w:tcW w:w="3828" w:type="dxa"/>
            <w:tcBorders>
              <w:top w:val="single" w:sz="4" w:space="0" w:color="auto"/>
              <w:left w:val="nil"/>
              <w:bottom w:val="single" w:sz="6" w:space="0" w:color="auto"/>
              <w:right w:val="single" w:sz="6" w:space="0" w:color="auto"/>
            </w:tcBorders>
            <w:shd w:val="clear" w:color="auto" w:fill="C6EFCE"/>
            <w:hideMark/>
          </w:tcPr>
          <w:p w14:paraId="2A58021C" w14:textId="4F7A337C" w:rsidR="00733DCA" w:rsidRPr="00AC725E" w:rsidRDefault="00733DCA" w:rsidP="00AC725E">
            <w:pPr>
              <w:spacing w:after="0" w:line="240" w:lineRule="auto"/>
              <w:textAlignment w:val="baseline"/>
              <w:rPr>
                <w:rFonts w:eastAsia="Times New Roman" w:cstheme="minorHAnsi"/>
                <w:noProof/>
                <w:sz w:val="20"/>
                <w:szCs w:val="20"/>
              </w:rPr>
            </w:pPr>
            <w:r>
              <w:rPr>
                <w:noProof/>
                <w:sz w:val="20"/>
              </w:rPr>
              <w:t>S jedinicama lokalne samouprave potpisat će se ugovori o provedbi pilot-projekata.</w:t>
            </w:r>
          </w:p>
        </w:tc>
      </w:tr>
      <w:tr w:rsidR="002E48FD" w:rsidRPr="004419A5" w14:paraId="0A7700FC" w14:textId="77777777" w:rsidTr="007035D7">
        <w:trPr>
          <w:trHeight w:val="301"/>
        </w:trPr>
        <w:tc>
          <w:tcPr>
            <w:tcW w:w="714" w:type="dxa"/>
            <w:tcBorders>
              <w:top w:val="nil"/>
              <w:left w:val="single" w:sz="6" w:space="0" w:color="auto"/>
              <w:bottom w:val="single" w:sz="6" w:space="0" w:color="auto"/>
              <w:right w:val="single" w:sz="6" w:space="0" w:color="auto"/>
            </w:tcBorders>
            <w:shd w:val="clear" w:color="auto" w:fill="C6EFCE"/>
            <w:hideMark/>
          </w:tcPr>
          <w:p w14:paraId="2B47590B" w14:textId="0373228D" w:rsidR="00733DCA" w:rsidRPr="00AC725E" w:rsidRDefault="00DB0900" w:rsidP="00AD3D5D">
            <w:pPr>
              <w:spacing w:after="0" w:line="240" w:lineRule="auto"/>
              <w:jc w:val="center"/>
              <w:textAlignment w:val="baseline"/>
              <w:rPr>
                <w:rFonts w:eastAsia="Times New Roman" w:cstheme="minorHAnsi"/>
                <w:noProof/>
                <w:sz w:val="20"/>
                <w:szCs w:val="20"/>
              </w:rPr>
            </w:pPr>
            <w:r>
              <w:rPr>
                <w:noProof/>
                <w:sz w:val="20"/>
              </w:rPr>
              <w:t>403</w:t>
            </w:r>
          </w:p>
        </w:tc>
        <w:tc>
          <w:tcPr>
            <w:tcW w:w="1620" w:type="dxa"/>
            <w:tcBorders>
              <w:top w:val="nil"/>
              <w:left w:val="nil"/>
              <w:bottom w:val="single" w:sz="6" w:space="0" w:color="auto"/>
              <w:right w:val="single" w:sz="6" w:space="0" w:color="auto"/>
            </w:tcBorders>
            <w:shd w:val="clear" w:color="auto" w:fill="C6EFCE"/>
            <w:hideMark/>
          </w:tcPr>
          <w:p w14:paraId="6B2FCC97" w14:textId="4CEDCDC0" w:rsidR="00733DCA" w:rsidRPr="00AC725E" w:rsidRDefault="00733DCA" w:rsidP="00AC725E">
            <w:pPr>
              <w:spacing w:after="0" w:line="240" w:lineRule="auto"/>
              <w:textAlignment w:val="baseline"/>
              <w:rPr>
                <w:rFonts w:eastAsia="Times New Roman" w:cstheme="minorHAnsi"/>
                <w:noProof/>
                <w:sz w:val="20"/>
                <w:szCs w:val="20"/>
              </w:rPr>
            </w:pPr>
            <w:r>
              <w:rPr>
                <w:noProof/>
                <w:sz w:val="20"/>
              </w:rPr>
              <w:t>C6.1. R7</w:t>
            </w:r>
          </w:p>
          <w:p w14:paraId="23C8B5A4" w14:textId="635E5AEC" w:rsidR="00733DCA" w:rsidRPr="00AC725E" w:rsidRDefault="00733DCA" w:rsidP="00AC725E">
            <w:pPr>
              <w:spacing w:after="0" w:line="240" w:lineRule="auto"/>
              <w:textAlignment w:val="baseline"/>
              <w:rPr>
                <w:rFonts w:eastAsia="Times New Roman" w:cstheme="minorHAnsi"/>
                <w:noProof/>
                <w:sz w:val="20"/>
                <w:szCs w:val="20"/>
                <w:lang w:val="en-IE" w:eastAsia="en-IE"/>
              </w:rPr>
            </w:pPr>
          </w:p>
        </w:tc>
        <w:tc>
          <w:tcPr>
            <w:tcW w:w="932" w:type="dxa"/>
            <w:tcBorders>
              <w:top w:val="nil"/>
              <w:left w:val="nil"/>
              <w:bottom w:val="single" w:sz="6" w:space="0" w:color="auto"/>
              <w:right w:val="single" w:sz="6" w:space="0" w:color="auto"/>
            </w:tcBorders>
            <w:shd w:val="clear" w:color="auto" w:fill="C6EFCE"/>
            <w:hideMark/>
          </w:tcPr>
          <w:p w14:paraId="65ED26EC" w14:textId="77777777" w:rsidR="00733DCA" w:rsidRPr="00AC725E" w:rsidRDefault="00733DCA" w:rsidP="00AC725E">
            <w:pPr>
              <w:spacing w:after="0" w:line="240" w:lineRule="auto"/>
              <w:jc w:val="center"/>
              <w:textAlignment w:val="baseline"/>
              <w:rPr>
                <w:rFonts w:eastAsia="Times New Roman" w:cstheme="minorHAnsi"/>
                <w:noProof/>
                <w:sz w:val="20"/>
                <w:szCs w:val="20"/>
              </w:rPr>
            </w:pPr>
            <w:r>
              <w:rPr>
                <w:noProof/>
                <w:sz w:val="20"/>
              </w:rPr>
              <w:t>Ciljna vrijednost</w:t>
            </w:r>
          </w:p>
        </w:tc>
        <w:tc>
          <w:tcPr>
            <w:tcW w:w="1984" w:type="dxa"/>
            <w:tcBorders>
              <w:top w:val="nil"/>
              <w:left w:val="nil"/>
              <w:bottom w:val="single" w:sz="6" w:space="0" w:color="auto"/>
              <w:right w:val="single" w:sz="6" w:space="0" w:color="auto"/>
            </w:tcBorders>
            <w:shd w:val="clear" w:color="auto" w:fill="C6EFCE"/>
            <w:hideMark/>
          </w:tcPr>
          <w:p w14:paraId="55FB1D79" w14:textId="54FB2CD3" w:rsidR="00733DCA" w:rsidRPr="00AC725E" w:rsidRDefault="00733DCA" w:rsidP="00AC725E">
            <w:pPr>
              <w:spacing w:after="0" w:line="240" w:lineRule="auto"/>
              <w:textAlignment w:val="baseline"/>
              <w:rPr>
                <w:rFonts w:eastAsia="Times New Roman" w:cstheme="minorHAnsi"/>
                <w:noProof/>
                <w:sz w:val="20"/>
                <w:szCs w:val="20"/>
              </w:rPr>
            </w:pPr>
            <w:r>
              <w:rPr>
                <w:noProof/>
                <w:sz w:val="20"/>
              </w:rPr>
              <w:t>Završeni pilot-projekti</w:t>
            </w:r>
          </w:p>
        </w:tc>
        <w:tc>
          <w:tcPr>
            <w:tcW w:w="2126" w:type="dxa"/>
            <w:tcBorders>
              <w:top w:val="nil"/>
              <w:left w:val="nil"/>
              <w:bottom w:val="single" w:sz="6" w:space="0" w:color="auto"/>
              <w:right w:val="single" w:sz="6" w:space="0" w:color="auto"/>
            </w:tcBorders>
            <w:shd w:val="clear" w:color="auto" w:fill="C6EFCE"/>
            <w:hideMark/>
          </w:tcPr>
          <w:p w14:paraId="1DA6A0D2" w14:textId="5DE8E5BA" w:rsidR="00733DCA" w:rsidRPr="00AC725E" w:rsidRDefault="00733DCA" w:rsidP="00AC725E">
            <w:pPr>
              <w:spacing w:after="0" w:line="240" w:lineRule="auto"/>
              <w:textAlignment w:val="baseline"/>
              <w:rPr>
                <w:rFonts w:eastAsia="Times New Roman" w:cstheme="minorHAnsi"/>
                <w:noProof/>
                <w:sz w:val="20"/>
                <w:szCs w:val="20"/>
                <w:lang w:val="en-IE" w:eastAsia="en-IE"/>
              </w:rPr>
            </w:pPr>
          </w:p>
        </w:tc>
        <w:tc>
          <w:tcPr>
            <w:tcW w:w="993" w:type="dxa"/>
            <w:tcBorders>
              <w:top w:val="nil"/>
              <w:left w:val="nil"/>
              <w:bottom w:val="single" w:sz="6" w:space="0" w:color="auto"/>
              <w:right w:val="single" w:sz="6" w:space="0" w:color="auto"/>
            </w:tcBorders>
            <w:shd w:val="clear" w:color="auto" w:fill="C6EFCE"/>
            <w:hideMark/>
          </w:tcPr>
          <w:p w14:paraId="1C74676A" w14:textId="77777777"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Broj</w:t>
            </w:r>
          </w:p>
        </w:tc>
        <w:tc>
          <w:tcPr>
            <w:tcW w:w="850" w:type="dxa"/>
            <w:tcBorders>
              <w:top w:val="nil"/>
              <w:left w:val="nil"/>
              <w:bottom w:val="single" w:sz="6" w:space="0" w:color="auto"/>
              <w:right w:val="single" w:sz="6" w:space="0" w:color="auto"/>
            </w:tcBorders>
            <w:shd w:val="clear" w:color="auto" w:fill="C6EFCE"/>
            <w:hideMark/>
          </w:tcPr>
          <w:p w14:paraId="38B02028" w14:textId="3788060E"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0</w:t>
            </w:r>
          </w:p>
        </w:tc>
        <w:tc>
          <w:tcPr>
            <w:tcW w:w="851" w:type="dxa"/>
            <w:tcBorders>
              <w:top w:val="nil"/>
              <w:left w:val="nil"/>
              <w:bottom w:val="single" w:sz="6" w:space="0" w:color="auto"/>
              <w:right w:val="single" w:sz="6" w:space="0" w:color="auto"/>
            </w:tcBorders>
            <w:shd w:val="clear" w:color="auto" w:fill="C6EFCE"/>
            <w:hideMark/>
          </w:tcPr>
          <w:p w14:paraId="57CE5F6B" w14:textId="785D16BB" w:rsidR="00733DCA" w:rsidRPr="00AC725E" w:rsidRDefault="004D3822" w:rsidP="00AD3D5D">
            <w:pPr>
              <w:spacing w:after="0" w:line="240" w:lineRule="auto"/>
              <w:jc w:val="center"/>
              <w:textAlignment w:val="baseline"/>
              <w:rPr>
                <w:rFonts w:eastAsia="Times New Roman" w:cstheme="minorHAnsi"/>
                <w:noProof/>
                <w:sz w:val="20"/>
                <w:szCs w:val="20"/>
              </w:rPr>
            </w:pPr>
            <w:r>
              <w:rPr>
                <w:noProof/>
                <w:sz w:val="20"/>
              </w:rPr>
              <w:t>2</w:t>
            </w:r>
          </w:p>
        </w:tc>
        <w:tc>
          <w:tcPr>
            <w:tcW w:w="425" w:type="dxa"/>
            <w:tcBorders>
              <w:top w:val="nil"/>
              <w:left w:val="nil"/>
              <w:bottom w:val="single" w:sz="6" w:space="0" w:color="auto"/>
              <w:right w:val="single" w:sz="6" w:space="0" w:color="auto"/>
            </w:tcBorders>
            <w:shd w:val="clear" w:color="auto" w:fill="C6EFCE"/>
            <w:hideMark/>
          </w:tcPr>
          <w:p w14:paraId="232F7140" w14:textId="77777777"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1.</w:t>
            </w:r>
          </w:p>
        </w:tc>
        <w:tc>
          <w:tcPr>
            <w:tcW w:w="850" w:type="dxa"/>
            <w:tcBorders>
              <w:top w:val="nil"/>
              <w:left w:val="nil"/>
              <w:bottom w:val="single" w:sz="6" w:space="0" w:color="auto"/>
              <w:right w:val="single" w:sz="6" w:space="0" w:color="auto"/>
            </w:tcBorders>
            <w:shd w:val="clear" w:color="auto" w:fill="C6EFCE"/>
            <w:hideMark/>
          </w:tcPr>
          <w:p w14:paraId="6E1874DF" w14:textId="263E075C"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2026.</w:t>
            </w:r>
          </w:p>
        </w:tc>
        <w:tc>
          <w:tcPr>
            <w:tcW w:w="3828" w:type="dxa"/>
            <w:tcBorders>
              <w:top w:val="nil"/>
              <w:left w:val="nil"/>
              <w:bottom w:val="single" w:sz="6" w:space="0" w:color="auto"/>
              <w:right w:val="single" w:sz="6" w:space="0" w:color="auto"/>
            </w:tcBorders>
            <w:shd w:val="clear" w:color="auto" w:fill="C6EFCE"/>
            <w:hideMark/>
          </w:tcPr>
          <w:p w14:paraId="3B4879EF" w14:textId="396B37E5" w:rsidR="00733DCA" w:rsidRPr="00AC725E" w:rsidRDefault="00733DCA" w:rsidP="00AC725E">
            <w:pPr>
              <w:spacing w:after="0" w:line="240" w:lineRule="auto"/>
              <w:textAlignment w:val="baseline"/>
              <w:rPr>
                <w:rFonts w:eastAsia="Times New Roman" w:cstheme="minorHAnsi"/>
                <w:noProof/>
                <w:sz w:val="20"/>
                <w:szCs w:val="20"/>
              </w:rPr>
            </w:pPr>
            <w:r>
              <w:rPr>
                <w:noProof/>
                <w:sz w:val="20"/>
              </w:rPr>
              <w:t>Provest će se pilot-projekti u dvije odabrane jedinice lokalne samouprave.</w:t>
            </w:r>
          </w:p>
          <w:p w14:paraId="667AA774" w14:textId="77777777" w:rsidR="00733DCA" w:rsidRPr="00AC725E" w:rsidRDefault="00733DCA" w:rsidP="00AC725E">
            <w:pPr>
              <w:spacing w:after="0" w:line="240" w:lineRule="auto"/>
              <w:textAlignment w:val="baseline"/>
              <w:rPr>
                <w:rFonts w:eastAsia="Times New Roman" w:cstheme="minorHAnsi"/>
                <w:noProof/>
                <w:sz w:val="20"/>
                <w:szCs w:val="20"/>
                <w:lang w:val="en-IE" w:eastAsia="en-IE"/>
              </w:rPr>
            </w:pPr>
          </w:p>
        </w:tc>
      </w:tr>
      <w:tr w:rsidR="002E48FD" w:rsidRPr="004419A5" w14:paraId="78A8A694" w14:textId="77777777" w:rsidTr="007035D7">
        <w:trPr>
          <w:trHeight w:val="301"/>
        </w:trPr>
        <w:tc>
          <w:tcPr>
            <w:tcW w:w="714" w:type="dxa"/>
            <w:tcBorders>
              <w:top w:val="nil"/>
              <w:left w:val="single" w:sz="6" w:space="0" w:color="auto"/>
              <w:bottom w:val="single" w:sz="6" w:space="0" w:color="auto"/>
              <w:right w:val="single" w:sz="6" w:space="0" w:color="auto"/>
            </w:tcBorders>
            <w:shd w:val="clear" w:color="auto" w:fill="C6EFCE"/>
            <w:hideMark/>
          </w:tcPr>
          <w:p w14:paraId="126D6FFC" w14:textId="13CD9DD3"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 404</w:t>
            </w:r>
          </w:p>
        </w:tc>
        <w:tc>
          <w:tcPr>
            <w:tcW w:w="1620" w:type="dxa"/>
            <w:tcBorders>
              <w:top w:val="nil"/>
              <w:left w:val="nil"/>
              <w:bottom w:val="single" w:sz="6" w:space="0" w:color="auto"/>
              <w:right w:val="single" w:sz="6" w:space="0" w:color="auto"/>
            </w:tcBorders>
            <w:shd w:val="clear" w:color="auto" w:fill="C6EFCE"/>
            <w:hideMark/>
          </w:tcPr>
          <w:p w14:paraId="0C458CDE" w14:textId="20CB1C17" w:rsidR="00733DCA" w:rsidRPr="00AC725E" w:rsidRDefault="00733DCA" w:rsidP="00AC725E">
            <w:pPr>
              <w:spacing w:after="0" w:line="240" w:lineRule="auto"/>
              <w:textAlignment w:val="baseline"/>
              <w:rPr>
                <w:rFonts w:eastAsia="Times New Roman" w:cstheme="minorHAnsi"/>
                <w:noProof/>
                <w:sz w:val="20"/>
                <w:szCs w:val="20"/>
              </w:rPr>
            </w:pPr>
            <w:r>
              <w:rPr>
                <w:noProof/>
                <w:sz w:val="20"/>
              </w:rPr>
              <w:t>  C6.1. R7</w:t>
            </w:r>
          </w:p>
        </w:tc>
        <w:tc>
          <w:tcPr>
            <w:tcW w:w="932" w:type="dxa"/>
            <w:tcBorders>
              <w:top w:val="nil"/>
              <w:left w:val="nil"/>
              <w:bottom w:val="single" w:sz="6" w:space="0" w:color="auto"/>
              <w:right w:val="single" w:sz="6" w:space="0" w:color="auto"/>
            </w:tcBorders>
            <w:shd w:val="clear" w:color="auto" w:fill="C6EFCE"/>
            <w:hideMark/>
          </w:tcPr>
          <w:p w14:paraId="6339CBA8" w14:textId="77777777" w:rsidR="00733DCA" w:rsidRPr="00AC725E" w:rsidRDefault="00733DCA" w:rsidP="00AC725E">
            <w:pPr>
              <w:spacing w:after="0" w:line="240" w:lineRule="auto"/>
              <w:jc w:val="center"/>
              <w:textAlignment w:val="baseline"/>
              <w:rPr>
                <w:rFonts w:eastAsia="Times New Roman" w:cstheme="minorHAnsi"/>
                <w:noProof/>
                <w:sz w:val="20"/>
                <w:szCs w:val="20"/>
              </w:rPr>
            </w:pPr>
            <w:r>
              <w:rPr>
                <w:noProof/>
                <w:color w:val="006100"/>
                <w:sz w:val="20"/>
              </w:rPr>
              <w:t>  </w:t>
            </w:r>
            <w:r>
              <w:rPr>
                <w:noProof/>
                <w:sz w:val="20"/>
              </w:rPr>
              <w:t>Ključna etapa</w:t>
            </w:r>
          </w:p>
        </w:tc>
        <w:tc>
          <w:tcPr>
            <w:tcW w:w="1984" w:type="dxa"/>
            <w:tcBorders>
              <w:top w:val="nil"/>
              <w:left w:val="nil"/>
              <w:bottom w:val="single" w:sz="6" w:space="0" w:color="auto"/>
              <w:right w:val="single" w:sz="6" w:space="0" w:color="auto"/>
            </w:tcBorders>
            <w:shd w:val="clear" w:color="auto" w:fill="C6EFCE"/>
            <w:hideMark/>
          </w:tcPr>
          <w:p w14:paraId="3B46CFE9" w14:textId="77777777" w:rsidR="00733DCA" w:rsidRPr="00AC725E" w:rsidRDefault="00733DCA" w:rsidP="00AC725E">
            <w:pPr>
              <w:spacing w:after="0" w:line="240" w:lineRule="auto"/>
              <w:textAlignment w:val="baseline"/>
              <w:rPr>
                <w:rFonts w:eastAsia="Times New Roman" w:cstheme="minorHAnsi"/>
                <w:noProof/>
                <w:sz w:val="20"/>
                <w:szCs w:val="20"/>
              </w:rPr>
            </w:pPr>
            <w:r>
              <w:rPr>
                <w:noProof/>
                <w:sz w:val="20"/>
              </w:rPr>
              <w:t>     Donesene nacionalne smjernice o kružnoj uporabi građevinskog otpada iz zgrada sa statusom kulturnog dobra</w:t>
            </w:r>
          </w:p>
        </w:tc>
        <w:tc>
          <w:tcPr>
            <w:tcW w:w="2126" w:type="dxa"/>
            <w:tcBorders>
              <w:top w:val="nil"/>
              <w:left w:val="nil"/>
              <w:bottom w:val="single" w:sz="6" w:space="0" w:color="auto"/>
              <w:right w:val="single" w:sz="6" w:space="0" w:color="auto"/>
            </w:tcBorders>
            <w:shd w:val="clear" w:color="auto" w:fill="C6EFCE"/>
            <w:hideMark/>
          </w:tcPr>
          <w:p w14:paraId="26A2FC5B" w14:textId="712E5F6F" w:rsidR="00733DCA" w:rsidRPr="00AC725E" w:rsidRDefault="00733DCA" w:rsidP="00AC725E">
            <w:pPr>
              <w:spacing w:after="0" w:line="240" w:lineRule="auto"/>
              <w:textAlignment w:val="baseline"/>
              <w:rPr>
                <w:rFonts w:eastAsia="Times New Roman" w:cstheme="minorHAnsi"/>
                <w:noProof/>
                <w:sz w:val="20"/>
                <w:szCs w:val="20"/>
              </w:rPr>
            </w:pPr>
            <w:r>
              <w:rPr>
                <w:noProof/>
                <w:sz w:val="20"/>
              </w:rPr>
              <w:t>Ministarstvo prostornoga uređenja, graditeljstva i državne imovine donijelo je nacionalne smjernice o kružnoj uporabi građevinskog otpada iz zgrada sa statusom kulturnog dobra i objavilo ih na svojim službenim internetskim stranicama.</w:t>
            </w:r>
          </w:p>
        </w:tc>
        <w:tc>
          <w:tcPr>
            <w:tcW w:w="993" w:type="dxa"/>
            <w:tcBorders>
              <w:top w:val="nil"/>
              <w:left w:val="nil"/>
              <w:bottom w:val="single" w:sz="6" w:space="0" w:color="auto"/>
              <w:right w:val="single" w:sz="6" w:space="0" w:color="auto"/>
            </w:tcBorders>
            <w:shd w:val="clear" w:color="auto" w:fill="C6EFCE"/>
            <w:hideMark/>
          </w:tcPr>
          <w:p w14:paraId="55B7F950" w14:textId="34AD1EFA" w:rsidR="00733DCA" w:rsidRPr="00AC725E" w:rsidRDefault="00733DCA" w:rsidP="00AD3D5D">
            <w:pPr>
              <w:spacing w:after="0" w:line="240" w:lineRule="auto"/>
              <w:jc w:val="center"/>
              <w:textAlignment w:val="baseline"/>
              <w:rPr>
                <w:rFonts w:eastAsia="Times New Roman" w:cstheme="minorHAnsi"/>
                <w:noProof/>
                <w:sz w:val="20"/>
                <w:szCs w:val="20"/>
              </w:rPr>
            </w:pPr>
            <w:r>
              <w:rPr>
                <w:noProof/>
                <w:color w:val="006100"/>
                <w:sz w:val="20"/>
              </w:rPr>
              <w:t> </w:t>
            </w:r>
          </w:p>
        </w:tc>
        <w:tc>
          <w:tcPr>
            <w:tcW w:w="850" w:type="dxa"/>
            <w:tcBorders>
              <w:top w:val="nil"/>
              <w:left w:val="nil"/>
              <w:bottom w:val="single" w:sz="6" w:space="0" w:color="auto"/>
              <w:right w:val="single" w:sz="6" w:space="0" w:color="auto"/>
            </w:tcBorders>
            <w:shd w:val="clear" w:color="auto" w:fill="C6EFCE"/>
            <w:hideMark/>
          </w:tcPr>
          <w:p w14:paraId="0DE44C21" w14:textId="708A2C64"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 </w:t>
            </w:r>
          </w:p>
        </w:tc>
        <w:tc>
          <w:tcPr>
            <w:tcW w:w="851" w:type="dxa"/>
            <w:tcBorders>
              <w:top w:val="nil"/>
              <w:left w:val="nil"/>
              <w:bottom w:val="single" w:sz="6" w:space="0" w:color="auto"/>
              <w:right w:val="single" w:sz="6" w:space="0" w:color="auto"/>
            </w:tcBorders>
            <w:shd w:val="clear" w:color="auto" w:fill="C6EFCE"/>
            <w:hideMark/>
          </w:tcPr>
          <w:p w14:paraId="0A494E35" w14:textId="7FD5F4C8"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 </w:t>
            </w:r>
          </w:p>
        </w:tc>
        <w:tc>
          <w:tcPr>
            <w:tcW w:w="425" w:type="dxa"/>
            <w:tcBorders>
              <w:top w:val="nil"/>
              <w:left w:val="nil"/>
              <w:bottom w:val="single" w:sz="6" w:space="0" w:color="auto"/>
              <w:right w:val="single" w:sz="6" w:space="0" w:color="auto"/>
            </w:tcBorders>
            <w:shd w:val="clear" w:color="auto" w:fill="C6EFCE"/>
            <w:hideMark/>
          </w:tcPr>
          <w:p w14:paraId="3949EDEB" w14:textId="77777777"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  1.</w:t>
            </w:r>
          </w:p>
        </w:tc>
        <w:tc>
          <w:tcPr>
            <w:tcW w:w="850" w:type="dxa"/>
            <w:tcBorders>
              <w:top w:val="nil"/>
              <w:left w:val="nil"/>
              <w:bottom w:val="single" w:sz="6" w:space="0" w:color="auto"/>
              <w:right w:val="single" w:sz="6" w:space="0" w:color="auto"/>
            </w:tcBorders>
            <w:shd w:val="clear" w:color="auto" w:fill="C6EFCE"/>
            <w:hideMark/>
          </w:tcPr>
          <w:p w14:paraId="64391FB8" w14:textId="77777777"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  2026.</w:t>
            </w:r>
          </w:p>
        </w:tc>
        <w:tc>
          <w:tcPr>
            <w:tcW w:w="3828" w:type="dxa"/>
            <w:tcBorders>
              <w:top w:val="nil"/>
              <w:left w:val="nil"/>
              <w:bottom w:val="single" w:sz="6" w:space="0" w:color="auto"/>
              <w:right w:val="single" w:sz="6" w:space="0" w:color="auto"/>
            </w:tcBorders>
            <w:shd w:val="clear" w:color="auto" w:fill="C6EFCE"/>
            <w:hideMark/>
          </w:tcPr>
          <w:p w14:paraId="7E82BD64" w14:textId="4AC206BB" w:rsidR="00733DCA" w:rsidRPr="00AC725E" w:rsidRDefault="00733DCA" w:rsidP="00AC725E">
            <w:pPr>
              <w:spacing w:after="0" w:line="240" w:lineRule="auto"/>
              <w:textAlignment w:val="baseline"/>
              <w:rPr>
                <w:rFonts w:eastAsia="Times New Roman" w:cstheme="minorHAnsi"/>
                <w:noProof/>
                <w:sz w:val="20"/>
                <w:szCs w:val="20"/>
              </w:rPr>
            </w:pPr>
            <w:r>
              <w:rPr>
                <w:noProof/>
                <w:sz w:val="20"/>
              </w:rPr>
              <w:t xml:space="preserve">  Donijet će se smjernice za primjenu sustava kružne uporabe građevinskog otpada iz zgrada sa statusom kulturnog dobra na nacionalnoj razini s preporukama o uspostavi nacionalne platforme za razmjenu i trgovanje građevinskim otpadom iz zgrada sa statusom kulturnog dobra i objaviti na službenim internetskim stranicama Ministarstva prostornoga uređenja, graditeljstva i državne imovine. </w:t>
            </w:r>
          </w:p>
        </w:tc>
      </w:tr>
      <w:tr w:rsidR="002E48FD" w:rsidRPr="004419A5" w14:paraId="69E0C04A" w14:textId="77777777" w:rsidTr="007035D7">
        <w:trPr>
          <w:trHeight w:val="301"/>
        </w:trPr>
        <w:tc>
          <w:tcPr>
            <w:tcW w:w="714" w:type="dxa"/>
            <w:tcBorders>
              <w:top w:val="single" w:sz="6" w:space="0" w:color="auto"/>
              <w:left w:val="single" w:sz="6" w:space="0" w:color="auto"/>
              <w:bottom w:val="single" w:sz="6" w:space="0" w:color="auto"/>
              <w:right w:val="single" w:sz="6" w:space="0" w:color="auto"/>
            </w:tcBorders>
            <w:shd w:val="clear" w:color="auto" w:fill="C6EFCE"/>
          </w:tcPr>
          <w:p w14:paraId="1147A0A8" w14:textId="3E9879F8" w:rsidR="00733DCA" w:rsidRPr="00AC725E" w:rsidRDefault="004F546E" w:rsidP="00AD3D5D">
            <w:pPr>
              <w:spacing w:after="0" w:line="240" w:lineRule="auto"/>
              <w:jc w:val="center"/>
              <w:textAlignment w:val="baseline"/>
              <w:rPr>
                <w:rFonts w:eastAsia="Times New Roman" w:cstheme="minorHAnsi"/>
                <w:noProof/>
                <w:sz w:val="20"/>
                <w:szCs w:val="20"/>
              </w:rPr>
            </w:pPr>
            <w:r>
              <w:rPr>
                <w:noProof/>
                <w:sz w:val="20"/>
              </w:rPr>
              <w:t>405</w:t>
            </w:r>
          </w:p>
        </w:tc>
        <w:tc>
          <w:tcPr>
            <w:tcW w:w="1620" w:type="dxa"/>
            <w:tcBorders>
              <w:top w:val="single" w:sz="6" w:space="0" w:color="auto"/>
              <w:left w:val="single" w:sz="6" w:space="0" w:color="auto"/>
              <w:bottom w:val="single" w:sz="6" w:space="0" w:color="auto"/>
              <w:right w:val="single" w:sz="6" w:space="0" w:color="auto"/>
            </w:tcBorders>
            <w:shd w:val="clear" w:color="auto" w:fill="C6EFCE"/>
          </w:tcPr>
          <w:p w14:paraId="03EAF57F" w14:textId="10F0EA46" w:rsidR="00733DCA" w:rsidRPr="00AC725E" w:rsidRDefault="00733DCA" w:rsidP="00AC725E">
            <w:pPr>
              <w:spacing w:after="0" w:line="240" w:lineRule="auto"/>
              <w:textAlignment w:val="baseline"/>
              <w:rPr>
                <w:rFonts w:eastAsia="Times New Roman" w:cstheme="minorHAnsi"/>
                <w:noProof/>
                <w:sz w:val="20"/>
                <w:szCs w:val="20"/>
              </w:rPr>
            </w:pPr>
            <w:r>
              <w:rPr>
                <w:noProof/>
                <w:sz w:val="20"/>
              </w:rPr>
              <w:t>C6.1. R1-I4</w:t>
            </w:r>
          </w:p>
        </w:tc>
        <w:tc>
          <w:tcPr>
            <w:tcW w:w="932" w:type="dxa"/>
            <w:tcBorders>
              <w:top w:val="single" w:sz="6" w:space="0" w:color="auto"/>
              <w:left w:val="single" w:sz="6" w:space="0" w:color="auto"/>
              <w:bottom w:val="single" w:sz="6" w:space="0" w:color="auto"/>
              <w:right w:val="single" w:sz="6" w:space="0" w:color="auto"/>
            </w:tcBorders>
            <w:shd w:val="clear" w:color="auto" w:fill="C6EFCE"/>
          </w:tcPr>
          <w:p w14:paraId="67D8BFE8" w14:textId="77777777" w:rsidR="00733DCA" w:rsidRPr="00AC725E" w:rsidRDefault="00733DCA" w:rsidP="00AC725E">
            <w:pPr>
              <w:spacing w:after="0" w:line="240" w:lineRule="auto"/>
              <w:jc w:val="center"/>
              <w:textAlignment w:val="baseline"/>
              <w:rPr>
                <w:rFonts w:eastAsia="Times New Roman" w:cstheme="minorHAnsi"/>
                <w:noProof/>
                <w:sz w:val="20"/>
                <w:szCs w:val="20"/>
              </w:rPr>
            </w:pPr>
            <w:r>
              <w:rPr>
                <w:noProof/>
                <w:sz w:val="20"/>
              </w:rPr>
              <w:t>Ključna etapa</w:t>
            </w:r>
          </w:p>
        </w:tc>
        <w:tc>
          <w:tcPr>
            <w:tcW w:w="1984" w:type="dxa"/>
            <w:tcBorders>
              <w:top w:val="single" w:sz="6" w:space="0" w:color="auto"/>
              <w:left w:val="single" w:sz="6" w:space="0" w:color="auto"/>
              <w:bottom w:val="single" w:sz="6" w:space="0" w:color="auto"/>
              <w:right w:val="single" w:sz="6" w:space="0" w:color="auto"/>
            </w:tcBorders>
            <w:shd w:val="clear" w:color="auto" w:fill="C6EFCE"/>
          </w:tcPr>
          <w:p w14:paraId="01471F05" w14:textId="77777777" w:rsidR="00733DCA" w:rsidRPr="00AC725E" w:rsidRDefault="00733DCA" w:rsidP="00AC725E">
            <w:pPr>
              <w:spacing w:after="0" w:line="240" w:lineRule="auto"/>
              <w:textAlignment w:val="baseline"/>
              <w:rPr>
                <w:rFonts w:eastAsia="Times New Roman" w:cstheme="minorHAnsi"/>
                <w:noProof/>
                <w:sz w:val="20"/>
                <w:szCs w:val="20"/>
              </w:rPr>
            </w:pPr>
            <w:r>
              <w:rPr>
                <w:noProof/>
                <w:sz w:val="20"/>
              </w:rPr>
              <w:t>Smjernice za energetsku obnovu zgrada sa statusom kulturnog dobra</w:t>
            </w:r>
          </w:p>
        </w:tc>
        <w:tc>
          <w:tcPr>
            <w:tcW w:w="2126" w:type="dxa"/>
            <w:tcBorders>
              <w:top w:val="single" w:sz="6" w:space="0" w:color="auto"/>
              <w:left w:val="single" w:sz="6" w:space="0" w:color="auto"/>
              <w:bottom w:val="single" w:sz="6" w:space="0" w:color="auto"/>
              <w:right w:val="single" w:sz="6" w:space="0" w:color="auto"/>
            </w:tcBorders>
            <w:shd w:val="clear" w:color="auto" w:fill="C6EFCE"/>
          </w:tcPr>
          <w:p w14:paraId="207DC056" w14:textId="77777777" w:rsidR="00733DCA" w:rsidRPr="00AC725E" w:rsidRDefault="00733DCA" w:rsidP="00AC725E">
            <w:pPr>
              <w:spacing w:after="0" w:line="240" w:lineRule="auto"/>
              <w:textAlignment w:val="baseline"/>
              <w:rPr>
                <w:rFonts w:eastAsia="Times New Roman" w:cstheme="minorHAnsi"/>
                <w:noProof/>
                <w:sz w:val="20"/>
                <w:szCs w:val="20"/>
              </w:rPr>
            </w:pPr>
            <w:r>
              <w:rPr>
                <w:noProof/>
                <w:sz w:val="20"/>
              </w:rPr>
              <w:t>Objava na službenim internetskim stranicama Ministarstva kulture i medija</w:t>
            </w:r>
          </w:p>
        </w:tc>
        <w:tc>
          <w:tcPr>
            <w:tcW w:w="993" w:type="dxa"/>
            <w:tcBorders>
              <w:top w:val="single" w:sz="6" w:space="0" w:color="auto"/>
              <w:left w:val="single" w:sz="6" w:space="0" w:color="auto"/>
              <w:bottom w:val="single" w:sz="6" w:space="0" w:color="auto"/>
              <w:right w:val="single" w:sz="6" w:space="0" w:color="auto"/>
            </w:tcBorders>
            <w:shd w:val="clear" w:color="auto" w:fill="C6EFCE"/>
          </w:tcPr>
          <w:p w14:paraId="13485B98" w14:textId="77777777" w:rsidR="00733DCA" w:rsidRPr="00AC725E" w:rsidRDefault="00733DCA" w:rsidP="00AD3D5D">
            <w:pPr>
              <w:spacing w:after="0" w:line="240" w:lineRule="auto"/>
              <w:jc w:val="center"/>
              <w:textAlignment w:val="baseline"/>
              <w:rPr>
                <w:rFonts w:eastAsia="Times New Roman" w:cstheme="minorHAnsi"/>
                <w:noProof/>
                <w:sz w:val="20"/>
                <w:szCs w:val="20"/>
                <w:lang w:val="en-IE" w:eastAsia="en-IE"/>
              </w:rPr>
            </w:pP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59EE859C" w14:textId="77777777" w:rsidR="00733DCA" w:rsidRPr="00AC725E" w:rsidRDefault="00733DCA" w:rsidP="00AD3D5D">
            <w:pPr>
              <w:spacing w:after="0" w:line="240" w:lineRule="auto"/>
              <w:jc w:val="center"/>
              <w:textAlignment w:val="baseline"/>
              <w:rPr>
                <w:rFonts w:eastAsia="Times New Roman" w:cstheme="minorHAnsi"/>
                <w:noProof/>
                <w:sz w:val="20"/>
                <w:szCs w:val="20"/>
                <w:lang w:val="en-IE" w:eastAsia="en-IE"/>
              </w:rPr>
            </w:pPr>
          </w:p>
        </w:tc>
        <w:tc>
          <w:tcPr>
            <w:tcW w:w="851" w:type="dxa"/>
            <w:tcBorders>
              <w:top w:val="single" w:sz="6" w:space="0" w:color="auto"/>
              <w:left w:val="single" w:sz="6" w:space="0" w:color="auto"/>
              <w:bottom w:val="single" w:sz="6" w:space="0" w:color="auto"/>
              <w:right w:val="single" w:sz="6" w:space="0" w:color="auto"/>
            </w:tcBorders>
            <w:shd w:val="clear" w:color="auto" w:fill="C6EFCE"/>
          </w:tcPr>
          <w:p w14:paraId="2E889A63" w14:textId="77777777" w:rsidR="00733DCA" w:rsidRPr="00AC725E" w:rsidRDefault="00733DCA" w:rsidP="00AD3D5D">
            <w:pPr>
              <w:spacing w:after="0" w:line="240" w:lineRule="auto"/>
              <w:jc w:val="center"/>
              <w:textAlignment w:val="baseline"/>
              <w:rPr>
                <w:rFonts w:eastAsia="Times New Roman" w:cstheme="minorHAnsi"/>
                <w:noProof/>
                <w:sz w:val="20"/>
                <w:szCs w:val="20"/>
                <w:lang w:val="en-IE" w:eastAsia="en-IE"/>
              </w:rPr>
            </w:pPr>
          </w:p>
        </w:tc>
        <w:tc>
          <w:tcPr>
            <w:tcW w:w="425" w:type="dxa"/>
            <w:tcBorders>
              <w:top w:val="single" w:sz="6" w:space="0" w:color="auto"/>
              <w:left w:val="single" w:sz="6" w:space="0" w:color="auto"/>
              <w:bottom w:val="single" w:sz="6" w:space="0" w:color="auto"/>
              <w:right w:val="single" w:sz="6" w:space="0" w:color="auto"/>
            </w:tcBorders>
            <w:shd w:val="clear" w:color="auto" w:fill="C6EFCE"/>
          </w:tcPr>
          <w:p w14:paraId="4997888E" w14:textId="77777777"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4.</w:t>
            </w: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555E7917" w14:textId="77777777" w:rsidR="00733DCA" w:rsidRPr="00AC725E" w:rsidRDefault="00733DCA" w:rsidP="00AD3D5D">
            <w:pPr>
              <w:spacing w:after="0" w:line="240" w:lineRule="auto"/>
              <w:jc w:val="center"/>
              <w:textAlignment w:val="baseline"/>
              <w:rPr>
                <w:rFonts w:eastAsia="Times New Roman" w:cstheme="minorHAnsi"/>
                <w:noProof/>
                <w:sz w:val="20"/>
                <w:szCs w:val="20"/>
              </w:rPr>
            </w:pPr>
            <w:r>
              <w:rPr>
                <w:noProof/>
                <w:sz w:val="20"/>
              </w:rPr>
              <w:t>2023.</w:t>
            </w:r>
          </w:p>
        </w:tc>
        <w:tc>
          <w:tcPr>
            <w:tcW w:w="3828" w:type="dxa"/>
            <w:tcBorders>
              <w:top w:val="single" w:sz="6" w:space="0" w:color="auto"/>
              <w:left w:val="single" w:sz="6" w:space="0" w:color="auto"/>
              <w:bottom w:val="single" w:sz="6" w:space="0" w:color="auto"/>
              <w:right w:val="single" w:sz="6" w:space="0" w:color="auto"/>
            </w:tcBorders>
            <w:shd w:val="clear" w:color="auto" w:fill="C6EFCE"/>
          </w:tcPr>
          <w:p w14:paraId="24584877" w14:textId="77777777" w:rsidR="00733DCA" w:rsidRPr="00AC725E" w:rsidRDefault="00733DCA" w:rsidP="00AC725E">
            <w:pPr>
              <w:spacing w:after="0" w:line="240" w:lineRule="auto"/>
              <w:textAlignment w:val="baseline"/>
              <w:rPr>
                <w:rFonts w:eastAsia="Times New Roman" w:cstheme="minorHAnsi"/>
                <w:noProof/>
                <w:sz w:val="20"/>
                <w:szCs w:val="20"/>
              </w:rPr>
            </w:pPr>
            <w:r>
              <w:rPr>
                <w:noProof/>
                <w:sz w:val="20"/>
              </w:rPr>
              <w:t>Izradit će se Smjernice za energetsku obnovu zgrada sa statusom kulturnog dobra i objaviti na službenim internetskim stranicama Ministarstva kulture i medija. U smjernicama će se dati preporuke o mjerama energetske obnove, tehničkim rješenjima i modernim materijalima te pojasniti postupci za pripremu dokumentacije i dobivanje potrebnih dozvola.</w:t>
            </w:r>
          </w:p>
        </w:tc>
      </w:tr>
    </w:tbl>
    <w:p w14:paraId="6E3DC686" w14:textId="77777777" w:rsidR="00733DCA" w:rsidRDefault="00733DCA" w:rsidP="0001477B">
      <w:pPr>
        <w:pStyle w:val="paragraph"/>
        <w:spacing w:before="0" w:beforeAutospacing="0" w:after="0" w:afterAutospacing="0"/>
        <w:jc w:val="both"/>
        <w:textAlignment w:val="baseline"/>
        <w:rPr>
          <w:rFonts w:ascii="Segoe UI" w:hAnsi="Segoe UI" w:cs="Segoe UI"/>
          <w:noProof/>
          <w:sz w:val="18"/>
          <w:szCs w:val="18"/>
        </w:rPr>
      </w:pPr>
      <w:r>
        <w:rPr>
          <w:rStyle w:val="eop"/>
          <w:noProof/>
        </w:rPr>
        <w:t> </w:t>
      </w:r>
    </w:p>
    <w:p w14:paraId="051B1BB8" w14:textId="77777777" w:rsidR="00146C1C" w:rsidRPr="00BC0323" w:rsidRDefault="00146C1C" w:rsidP="0001477B">
      <w:pPr>
        <w:rPr>
          <w:noProof/>
        </w:rPr>
        <w:sectPr w:rsidR="00146C1C" w:rsidRPr="00BC0323" w:rsidSect="0001477B">
          <w:headerReference w:type="even" r:id="rId396"/>
          <w:headerReference w:type="default" r:id="rId397"/>
          <w:footerReference w:type="even" r:id="rId398"/>
          <w:footerReference w:type="default" r:id="rId399"/>
          <w:headerReference w:type="first" r:id="rId400"/>
          <w:footerReference w:type="first" r:id="rId401"/>
          <w:pgSz w:w="15840" w:h="12240" w:orient="landscape"/>
          <w:pgMar w:top="1440" w:right="1440" w:bottom="1440" w:left="1440" w:header="708" w:footer="708" w:gutter="0"/>
          <w:cols w:space="708"/>
          <w:docGrid w:linePitch="360"/>
        </w:sectPr>
      </w:pPr>
    </w:p>
    <w:p w14:paraId="221DC06F" w14:textId="06DD250D" w:rsidR="00146C1C" w:rsidRPr="002A5D6D" w:rsidRDefault="00146C1C" w:rsidP="002A5D6D">
      <w:pPr>
        <w:keepNext/>
        <w:tabs>
          <w:tab w:val="left" w:pos="284"/>
        </w:tabs>
        <w:spacing w:after="200" w:line="276" w:lineRule="auto"/>
        <w:ind w:left="850" w:firstLine="1"/>
        <w:jc w:val="both"/>
        <w:outlineLvl w:val="0"/>
        <w:rPr>
          <w:rFonts w:ascii="Times New Roman" w:eastAsia="Calibri" w:hAnsi="Times New Roman" w:cs="Times New Roman"/>
          <w:b/>
          <w:smallCaps/>
          <w:noProof/>
          <w:sz w:val="24"/>
          <w:szCs w:val="24"/>
        </w:rPr>
      </w:pPr>
      <w:r>
        <w:rPr>
          <w:rFonts w:ascii="Times New Roman" w:hAnsi="Times New Roman"/>
          <w:b/>
          <w:noProof/>
          <w:sz w:val="24"/>
        </w:rPr>
        <w:t>W. KOMPONENTA 7.1.: ENERGETIKA I ODRŽIVI PROMET (</w:t>
      </w:r>
      <w:r>
        <w:rPr>
          <w:rFonts w:ascii="Times New Roman" w:hAnsi="Times New Roman"/>
          <w:b/>
          <w:smallCaps/>
          <w:noProof/>
          <w:sz w:val="24"/>
        </w:rPr>
        <w:t>KOMPONENTA</w:t>
      </w:r>
      <w:r>
        <w:rPr>
          <w:rFonts w:ascii="Times New Roman" w:hAnsi="Times New Roman"/>
          <w:b/>
          <w:noProof/>
          <w:sz w:val="24"/>
        </w:rPr>
        <w:t xml:space="preserve"> REPowerEU)</w:t>
      </w:r>
    </w:p>
    <w:p w14:paraId="53DFD95A" w14:textId="77777777" w:rsidR="00146C1C" w:rsidRPr="004E2DDD" w:rsidRDefault="00146C1C" w:rsidP="0001477B">
      <w:pPr>
        <w:pStyle w:val="paragraph"/>
        <w:spacing w:before="0" w:beforeAutospacing="0" w:after="0" w:afterAutospacing="0"/>
        <w:jc w:val="both"/>
        <w:textAlignment w:val="baseline"/>
        <w:rPr>
          <w:noProof/>
        </w:rPr>
      </w:pPr>
    </w:p>
    <w:p w14:paraId="4DA243BC" w14:textId="506E9BBC" w:rsidR="00146C1C" w:rsidRPr="004E2DDD" w:rsidRDefault="00146C1C" w:rsidP="0001477B">
      <w:pPr>
        <w:pStyle w:val="paragraph"/>
        <w:spacing w:before="0" w:beforeAutospacing="0" w:after="0" w:afterAutospacing="0"/>
        <w:jc w:val="both"/>
        <w:textAlignment w:val="baseline"/>
        <w:rPr>
          <w:noProof/>
        </w:rPr>
      </w:pPr>
      <w:r>
        <w:rPr>
          <w:noProof/>
        </w:rPr>
        <w:t>Glavni cilj komponente je smanjiti ovisnost o fosilnim gorivima, posebno iz Rusije, i ubrzati zelenu tranziciju u cijelom gospodarstvu.</w:t>
      </w:r>
      <w:r>
        <w:rPr>
          <w:noProof/>
          <w:color w:val="000000" w:themeColor="text1"/>
        </w:rPr>
        <w:t xml:space="preserve"> </w:t>
      </w:r>
      <w:r>
        <w:rPr>
          <w:noProof/>
        </w:rPr>
        <w:t xml:space="preserve">To se planira postići mjerama koje se odnose na energetske mreže, ukapljeni prirodni plin i plinsku infrastrukturu, uvođenje obnovljivih izvora energije, promet s nultom stopom emisija i vodik iz obnovljivih izvora. Navedene mjere namijenjene su poboljšanju sigurnosti opskrbe i diversifikacije opskrbe plinom u Uniji, smanjenju ovisnosti o fosilnim gorivima povećanjem proizvodnje i upotrebe obnovljivih izvora energije kao što su održivi biometan, vodik iz obnovljivih izvora i geotermalna energija, povećanju udjela i ubrzavanju uvođenja energije iz obnovljivih izvora, povećanju energetske sigurnosti i uklanjanju uskih grla u distribuciji električne energije te podupiranju prometa s nultom stopom emisija. </w:t>
      </w:r>
    </w:p>
    <w:p w14:paraId="650D6EAB" w14:textId="77777777" w:rsidR="00146C1C" w:rsidRPr="004E2DDD" w:rsidRDefault="00146C1C" w:rsidP="0001477B">
      <w:pPr>
        <w:pStyle w:val="paragraph"/>
        <w:spacing w:before="0" w:beforeAutospacing="0" w:after="0" w:afterAutospacing="0"/>
        <w:jc w:val="both"/>
        <w:textAlignment w:val="baseline"/>
        <w:rPr>
          <w:noProof/>
        </w:rPr>
      </w:pPr>
    </w:p>
    <w:p w14:paraId="2BCDB4BC" w14:textId="4D880A1E" w:rsidR="00146C1C" w:rsidRPr="004E2DDD" w:rsidRDefault="00146C1C" w:rsidP="0001477B">
      <w:pPr>
        <w:pStyle w:val="paragraph"/>
        <w:spacing w:before="0" w:beforeAutospacing="0" w:after="0" w:afterAutospacing="0"/>
        <w:jc w:val="both"/>
        <w:textAlignment w:val="baseline"/>
        <w:rPr>
          <w:noProof/>
          <w:color w:val="000000" w:themeColor="text1"/>
        </w:rPr>
      </w:pPr>
      <w:r>
        <w:rPr>
          <w:noProof/>
        </w:rPr>
        <w:t>Od devet mjera u okviru te komponente njih osam ima prekograničnu ili višedržavnu dimenziju. Najveća ulaganja s prekograničnom ili višedržavnom dimenzijom odnose se na povećanje kapaciteta LNG terminala na otoku Krku i jačanje plinske infrastrukture te jačanje prijenosnih i distribucijskih kapaciteta elektroenergetskog sustava.</w:t>
      </w:r>
      <w:r>
        <w:rPr>
          <w:noProof/>
          <w:color w:val="000000" w:themeColor="text1"/>
        </w:rPr>
        <w:t xml:space="preserve"> </w:t>
      </w:r>
      <w:r>
        <w:rPr>
          <w:noProof/>
        </w:rPr>
        <w:t>Druga značajna ulaganja s prekograničnom ili višedržavnom dimenzijom odnose se na povećanu upotrebu obnovljivih izvora energije, kao što su vodik iz obnovljivih izvora, održivi biometan i geotermalna energija, te ulaganja u vozila na alternativni pogon za javni gradski i prigradski linijski promet i razvoj infrastrukture alternativnih goriva u cestovnom prometu.</w:t>
      </w:r>
    </w:p>
    <w:p w14:paraId="0D9B499F" w14:textId="77777777" w:rsidR="00146C1C" w:rsidRDefault="00146C1C" w:rsidP="0001477B">
      <w:pPr>
        <w:pStyle w:val="paragraph"/>
        <w:spacing w:before="0" w:beforeAutospacing="0" w:after="0" w:afterAutospacing="0"/>
        <w:jc w:val="both"/>
        <w:textAlignment w:val="baseline"/>
        <w:rPr>
          <w:noProof/>
          <w:color w:val="000000" w:themeColor="text1"/>
        </w:rPr>
      </w:pPr>
    </w:p>
    <w:p w14:paraId="19640A84" w14:textId="77777777" w:rsidR="00146C1C" w:rsidRDefault="00146C1C" w:rsidP="0001477B">
      <w:pPr>
        <w:pStyle w:val="paragraph"/>
        <w:spacing w:before="0" w:beforeAutospacing="0" w:after="0" w:afterAutospacing="0"/>
        <w:jc w:val="both"/>
        <w:textAlignment w:val="baseline"/>
        <w:rPr>
          <w:noProof/>
          <w:color w:val="000000" w:themeColor="text1"/>
        </w:rPr>
      </w:pPr>
      <w:r>
        <w:rPr>
          <w:noProof/>
        </w:rPr>
        <w:t>Ulaganja i reforme doprinijet će ispunjenju preporuka upućenih Hrvatskoj o potrebi za modernizacijom prijenosne i distribucijske elektroenergetske mreže (preporuka 3.3. iz 2022. i preporuka 3.4. iz 2023.), povećanjem uvođenja i korištenja energije iz obnovljivih izvora (preporuka 3.3. iz 2019., preporuka 3.8. iz 2020., preporuka 3.2. iz 2022., preporuke 3.1. i 3.2. iz 2023.), diversifikacijom uvoza fosilnih goriva (preporuka 3.1. iz 2022.) te smanjenjem ovisnosti o fosilnim gorivima u prometu i promicanjem prometa s nultom stopom emisija (preporuka 3.3. iz 2019., preporuka 3.7. iz 2020., preporuka 3.5. iz 2022., preporuke 3.1. i 3.6. iz 2023.).</w:t>
      </w:r>
    </w:p>
    <w:p w14:paraId="2DF434CF" w14:textId="77777777" w:rsidR="00146C1C" w:rsidRPr="004E2DDD" w:rsidRDefault="00146C1C" w:rsidP="0001477B">
      <w:pPr>
        <w:pStyle w:val="paragraph"/>
        <w:spacing w:before="0" w:beforeAutospacing="0" w:after="0" w:afterAutospacing="0"/>
        <w:jc w:val="both"/>
        <w:textAlignment w:val="baseline"/>
        <w:rPr>
          <w:noProof/>
          <w:color w:val="000000" w:themeColor="text1"/>
        </w:rPr>
      </w:pPr>
    </w:p>
    <w:p w14:paraId="0C9AAE49" w14:textId="2F1DA62E" w:rsidR="00146C1C" w:rsidRPr="004E2DDD" w:rsidRDefault="00146C1C" w:rsidP="0001477B">
      <w:pPr>
        <w:pStyle w:val="paragraph"/>
        <w:spacing w:before="0" w:beforeAutospacing="0" w:after="0" w:afterAutospacing="0"/>
        <w:jc w:val="both"/>
        <w:textAlignment w:val="baseline"/>
        <w:rPr>
          <w:noProof/>
          <w:color w:val="000000" w:themeColor="text1"/>
        </w:rPr>
      </w:pPr>
      <w:r>
        <w:rPr>
          <w:noProof/>
        </w:rPr>
        <w:t>Očekuje se da nijedna mjera u ovoj komponenti ne nanosi bitnu štetu okolišnim ciljevima u smislu članka 17. Uredbe (EU) 2020/852, uzimajući u obzir opis mjera i korake ublažavanja utvrđene u planu za oporavak i otpornost u skladu s Tehničkim smjernicama o primjeni načela nenanošenja bitne štete (C(2023) 6454 final), a načelo nenanošenja bitne štete ne primjenjuje na ulaganje C7.1 I3 – Povećanje kapaciteta LNG terminala na otoku Krku te jačanje plinske infrastrukture, u skladu s člankom 21.c stavkom 6. Uredbe (EU) 2021/241.</w:t>
      </w:r>
    </w:p>
    <w:p w14:paraId="251CEC21" w14:textId="77777777" w:rsidR="00146C1C" w:rsidRPr="004E2DDD" w:rsidRDefault="00146C1C" w:rsidP="0001477B">
      <w:pPr>
        <w:pStyle w:val="paragraph"/>
        <w:spacing w:before="0" w:beforeAutospacing="0" w:after="0" w:afterAutospacing="0"/>
        <w:jc w:val="both"/>
        <w:textAlignment w:val="baseline"/>
        <w:rPr>
          <w:noProof/>
        </w:rPr>
      </w:pPr>
    </w:p>
    <w:p w14:paraId="619B7E03" w14:textId="77777777" w:rsidR="00146C1C" w:rsidRPr="004E2DDD" w:rsidRDefault="00146C1C" w:rsidP="0001477B">
      <w:pPr>
        <w:pStyle w:val="paragraph"/>
        <w:spacing w:before="0" w:beforeAutospacing="0" w:after="0" w:afterAutospacing="0"/>
        <w:jc w:val="both"/>
        <w:textAlignment w:val="baseline"/>
        <w:rPr>
          <w:noProof/>
        </w:rPr>
      </w:pPr>
      <w:r>
        <w:rPr>
          <w:rStyle w:val="normaltextrun"/>
          <w:b/>
          <w:noProof/>
          <w:u w:val="single"/>
        </w:rPr>
        <w:t xml:space="preserve">W.1. </w:t>
      </w:r>
      <w:r>
        <w:rPr>
          <w:rStyle w:val="tabchar"/>
          <w:noProof/>
        </w:rPr>
        <w:tab/>
      </w:r>
      <w:r>
        <w:rPr>
          <w:rStyle w:val="normaltextrun"/>
          <w:b/>
          <w:noProof/>
          <w:u w:val="single"/>
        </w:rPr>
        <w:t>Opis reformi i ulaganja za programe bespovratne financijske potpore</w:t>
      </w:r>
      <w:r>
        <w:rPr>
          <w:rStyle w:val="eop"/>
          <w:noProof/>
        </w:rPr>
        <w:t> </w:t>
      </w:r>
    </w:p>
    <w:p w14:paraId="7403782D" w14:textId="77777777" w:rsidR="00146C1C" w:rsidRPr="004E2DDD" w:rsidRDefault="00146C1C" w:rsidP="0001477B">
      <w:pPr>
        <w:pStyle w:val="paragraph"/>
        <w:spacing w:before="0" w:beforeAutospacing="0" w:after="0" w:afterAutospacing="0"/>
        <w:jc w:val="both"/>
        <w:textAlignment w:val="baseline"/>
        <w:rPr>
          <w:rStyle w:val="normaltextrun"/>
          <w:noProof/>
        </w:rPr>
      </w:pPr>
    </w:p>
    <w:p w14:paraId="44264970" w14:textId="5EB8D44D" w:rsidR="00146C1C" w:rsidRDefault="00146C1C" w:rsidP="009C2121">
      <w:pPr>
        <w:pStyle w:val="paragraph"/>
        <w:spacing w:before="0" w:beforeAutospacing="0" w:after="0" w:afterAutospacing="0"/>
        <w:ind w:firstLine="720"/>
        <w:jc w:val="both"/>
        <w:textAlignment w:val="baseline"/>
        <w:rPr>
          <w:bCs/>
          <w:noProof/>
          <w:color w:val="000000" w:themeColor="text1"/>
          <w:u w:val="single"/>
        </w:rPr>
      </w:pPr>
      <w:r>
        <w:rPr>
          <w:noProof/>
          <w:color w:val="000000" w:themeColor="text1"/>
          <w:u w:val="single"/>
        </w:rPr>
        <w:t>Reforma C7.1. R1 – Proširena mjera: Dekarbonizacija energetskog sektora</w:t>
      </w:r>
    </w:p>
    <w:p w14:paraId="1B387E9B" w14:textId="77777777" w:rsidR="009C2121" w:rsidRPr="004E2DDD" w:rsidRDefault="009C2121" w:rsidP="009C2121">
      <w:pPr>
        <w:pStyle w:val="paragraph"/>
        <w:spacing w:before="0" w:beforeAutospacing="0" w:after="0" w:afterAutospacing="0"/>
        <w:ind w:firstLine="720"/>
        <w:jc w:val="both"/>
        <w:textAlignment w:val="baseline"/>
        <w:rPr>
          <w:bCs/>
          <w:noProof/>
          <w:color w:val="000000" w:themeColor="text1"/>
          <w:u w:val="single"/>
        </w:rPr>
      </w:pPr>
    </w:p>
    <w:p w14:paraId="0BDC2788" w14:textId="4E1FC09B"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rPr>
        <w:t xml:space="preserve">Cilj je mjere proširenje reforme C1.2. R1: </w:t>
      </w:r>
      <w:r>
        <w:rPr>
          <w:noProof/>
          <w:color w:val="000000"/>
        </w:rPr>
        <w:t>(Dekarbonizacija energetskog sektora)</w:t>
      </w:r>
      <w:r>
        <w:rPr>
          <w:noProof/>
        </w:rPr>
        <w:t xml:space="preserve"> u okviru komponente 1.2. (Energetska tranzicija za održivo gospodarstvo). Proširenim dijelom mjere uspostavit će se novi sustav vlastite potrošnje proizvodnog postrojenja i samoopskrbe kako bi se osigurao jednak tretman svih kupaca u pogledu pristupa distribucijskoj mreži i mrežarina. Novi sustav će redizajnirati način obračuna naknade za vlastitu proizvodnju električne energije poslane u mrežu; sve naknade i pristojbe, uključujući mrežne tarife, moraju odražavati stvarne troškove i biti razmjerne i nediskriminirajuće. Istovremeno, novi sustav će stvoriti poticaje za potrošače da postanu samopotrošači, i za korištenje vlastite potrošnje. Naknade i pristojbe neće se nametnuti za vlastitu proizvodnju električne energije koja ostaje u objektima potrošača vlastite energije. Novi sustav vlastite potrošnje biti izrađen do 31. ožujka 2025., a s njegovom primjenom će se početi od 1. siječnja 2026.</w:t>
      </w:r>
    </w:p>
    <w:p w14:paraId="17E537B8"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4F9740DF"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31. ožujka 2025.</w:t>
      </w:r>
    </w:p>
    <w:p w14:paraId="78A0793C" w14:textId="77777777" w:rsidR="00146C1C" w:rsidRPr="004E2DDD" w:rsidRDefault="00146C1C" w:rsidP="0001477B">
      <w:pPr>
        <w:pStyle w:val="paragraph"/>
        <w:spacing w:before="0" w:beforeAutospacing="0" w:after="0" w:afterAutospacing="0"/>
        <w:jc w:val="both"/>
        <w:textAlignment w:val="baseline"/>
        <w:rPr>
          <w:bCs/>
          <w:noProof/>
          <w:color w:val="000000" w:themeColor="text1"/>
          <w:u w:val="single"/>
        </w:rPr>
      </w:pPr>
    </w:p>
    <w:p w14:paraId="3F57E4EA" w14:textId="14A3C279" w:rsidR="00146C1C" w:rsidRPr="004E2DDD" w:rsidRDefault="00146C1C" w:rsidP="009C2121">
      <w:pPr>
        <w:pStyle w:val="paragraph"/>
        <w:spacing w:before="0" w:beforeAutospacing="0" w:after="0" w:afterAutospacing="0"/>
        <w:ind w:left="720"/>
        <w:jc w:val="both"/>
        <w:textAlignment w:val="baseline"/>
        <w:rPr>
          <w:bCs/>
          <w:noProof/>
          <w:color w:val="000000" w:themeColor="text1"/>
          <w:u w:val="single"/>
        </w:rPr>
      </w:pPr>
      <w:r>
        <w:rPr>
          <w:noProof/>
          <w:color w:val="000000" w:themeColor="text1"/>
          <w:u w:val="single"/>
        </w:rPr>
        <w:t>Ulaganje C7.1. R1-I1 – Korištenje vodika i novih tehnologija</w:t>
      </w:r>
      <w:r>
        <w:rPr>
          <w:noProof/>
          <w:u w:val="single"/>
        </w:rPr>
        <w:t xml:space="preserve"> (preneseno ulaganje C1.2. R1-I3 iz već donesene Provedbene odluke Vijeća)</w:t>
      </w:r>
    </w:p>
    <w:p w14:paraId="29F5B110"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5196744D" w14:textId="77777777" w:rsidR="00146C1C" w:rsidRPr="004E2DDD" w:rsidRDefault="00146C1C"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Cilj je ulaganja poboljšati korištenje vodika i novih tehnologija u Hrvatskoj kako bi se smanjile emisije stakleničkih plinova u prometnom sektoru i industriji. </w:t>
      </w:r>
    </w:p>
    <w:p w14:paraId="13F87E60" w14:textId="77777777" w:rsidR="00146C1C" w:rsidRPr="004E2DDD" w:rsidRDefault="00146C1C"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uključuje tri zasebne mjere:</w:t>
      </w:r>
    </w:p>
    <w:p w14:paraId="3F14D888" w14:textId="77777777" w:rsidR="00146C1C" w:rsidRPr="004E2DDD" w:rsidRDefault="00146C1C" w:rsidP="00146C1C">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Proizvodnja vodika iz obnovljivih izvora izgradnjom kapaciteta elektrolizatora od najmanje 10 MW. Ulaganje će provesti INA – Industrija nafte d.d. i bit će u potpunosti u skladu s EU-ovim pravilima o državnim potporama.</w:t>
      </w:r>
    </w:p>
    <w:p w14:paraId="1DC3A0F7" w14:textId="5A58D610" w:rsidR="00146C1C" w:rsidRPr="004E2DDD" w:rsidRDefault="00146C1C" w:rsidP="00146C1C">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Uvođenje infrastrukture za obnovljivu energiju u prometnom sektoru izgradnjom šest punionica vodika. Mjera će se provesti u okviru otvorenog javnog natječaja koji se treba objaviti 31. prosinca 2024. </w:t>
      </w:r>
    </w:p>
    <w:p w14:paraId="7502E91C" w14:textId="1D190346" w:rsidR="00146C1C" w:rsidRPr="004E2DDD" w:rsidRDefault="00146C1C" w:rsidP="00146C1C">
      <w:pPr>
        <w:numPr>
          <w:ilvl w:val="0"/>
          <w:numId w:val="9"/>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Objava niza tehničkih sažetaka studija u kojima se razmatra potencijal za geološko skladištenje CO2 u Hrvatskoj (na kopnu i na moru). Studije uključuju stratešku procjenu utjecaja na okoliš za razvoj trajnog gospodarenja ugljikovim dioksidom u geološkim strukturama na kopnu i moru, studije vezane uz prostorno planiranje, atlas geoloških struktura pogodnih za trajno odlaganje ugljikova dioksida te integriranu studiju isplativosti trajnog odlaganja ugljikova dioksida na lokaciji Bockovci sukladno članku 7. i Prilogu I. Direktive 2009/31/EZ. </w:t>
      </w:r>
    </w:p>
    <w:p w14:paraId="0BB5DF05" w14:textId="639F57A3" w:rsidR="00146C1C" w:rsidRPr="004E2DDD" w:rsidRDefault="00146C1C"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Očekuje se da ta mjera ne nanosi bitnu štetu okolišnim ciljevima u smislu članka 17. Uredbe (EU) 2020/852, uzimajući u obzir opis mjere i korake ublažavanja utvrđene u planu za oporavak i otpornost u skladu s Tehničkim smjernicama o primjeni načela nenanošenja bitne štete (C(2023) 6454 final).</w:t>
      </w:r>
    </w:p>
    <w:p w14:paraId="5B39826E" w14:textId="49D52712" w:rsidR="00146C1C" w:rsidRPr="004E2DDD" w:rsidRDefault="00146C1C" w:rsidP="0001477B">
      <w:pPr>
        <w:pStyle w:val="paragraph"/>
        <w:spacing w:before="0" w:beforeAutospacing="0" w:after="0" w:afterAutospacing="0"/>
        <w:jc w:val="both"/>
        <w:textAlignment w:val="baseline"/>
        <w:rPr>
          <w:noProof/>
          <w:color w:val="000000" w:themeColor="text1"/>
        </w:rPr>
      </w:pPr>
      <w:r>
        <w:rPr>
          <w:noProof/>
          <w:color w:val="000000" w:themeColor="text1"/>
        </w:rPr>
        <w:t>Provedba mjere bit će dovršena do 31. kolovoza 2026.</w:t>
      </w:r>
    </w:p>
    <w:p w14:paraId="484D97F8" w14:textId="77777777" w:rsidR="00146C1C" w:rsidRPr="004E2DDD" w:rsidRDefault="00146C1C" w:rsidP="0001477B">
      <w:pPr>
        <w:pStyle w:val="paragraph"/>
        <w:spacing w:before="0" w:beforeAutospacing="0" w:after="0" w:afterAutospacing="0"/>
        <w:jc w:val="both"/>
        <w:textAlignment w:val="baseline"/>
        <w:rPr>
          <w:noProof/>
          <w:color w:val="000000" w:themeColor="text1"/>
        </w:rPr>
      </w:pPr>
    </w:p>
    <w:p w14:paraId="63CBCF0C" w14:textId="6553FD9C" w:rsidR="00146C1C" w:rsidRPr="004E2DDD" w:rsidRDefault="00146C1C" w:rsidP="009C2121">
      <w:pPr>
        <w:pStyle w:val="paragraph"/>
        <w:spacing w:before="0" w:beforeAutospacing="0" w:after="0" w:afterAutospacing="0"/>
        <w:ind w:left="720"/>
        <w:jc w:val="both"/>
        <w:textAlignment w:val="baseline"/>
        <w:rPr>
          <w:bCs/>
          <w:noProof/>
          <w:color w:val="000000" w:themeColor="text1"/>
          <w:u w:val="single"/>
        </w:rPr>
      </w:pPr>
      <w:r>
        <w:rPr>
          <w:noProof/>
          <w:color w:val="000000" w:themeColor="text1"/>
          <w:u w:val="single"/>
        </w:rPr>
        <w:t>Ulaganje C7.1. R1-I2 Uspostava gospodarstva temeljenog na vodiku (kroz Dolinu vodika Sjeverni Jadran)</w:t>
      </w:r>
    </w:p>
    <w:p w14:paraId="1CD2E3EA"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617E58B4" w14:textId="2A793308"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rPr>
        <w:t xml:space="preserve">Cilj je ulaganja povećati uvođenje proizvodnje i korištenje vodika iz obnovljivih izvora sufinanciranjem projekata vodika iz obnovljivih izvora u kontekstu projekta Dolina vodika Sjeverni Jadran i imenovanjem Hrvatske agencije za ugljikovodike koordinacijskim tijelom za vodik u Hrvatskoj. Hrvatska agencija za ugljikovodike donijet će Plan i program razvoja vodika kojim će analizirati najprikladnije primjene vodika u dekarbonizaciji hrvatskog gospodarstva. Ulaganjem se doprinosi i podupiranju prijevoza s nultom stopom emisija refitom (preradom na vodik) pet diesel lokomotiva i izgradnjom najmanje pet punionica za vodik za autobuse, vlakove i/ili pomorski promet. </w:t>
      </w:r>
    </w:p>
    <w:p w14:paraId="471DE348"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60A51E97" w14:textId="06A77E8B"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rPr>
        <w:t>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(C(2023) 6454 final).</w:t>
      </w:r>
    </w:p>
    <w:p w14:paraId="3993741A"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68D9DCD7" w14:textId="62AE5CA8"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31. kolovoza 2026.</w:t>
      </w:r>
    </w:p>
    <w:p w14:paraId="08FA0451" w14:textId="77777777" w:rsidR="00146C1C" w:rsidRPr="004E2DDD" w:rsidRDefault="00146C1C" w:rsidP="0001477B">
      <w:pPr>
        <w:pStyle w:val="paragraph"/>
        <w:spacing w:before="0" w:beforeAutospacing="0" w:after="0" w:afterAutospacing="0"/>
        <w:jc w:val="both"/>
        <w:textAlignment w:val="baseline"/>
        <w:rPr>
          <w:noProof/>
          <w:color w:val="000000" w:themeColor="text1"/>
        </w:rPr>
      </w:pPr>
    </w:p>
    <w:p w14:paraId="7A845397" w14:textId="2F26C1A8" w:rsidR="00146C1C" w:rsidRPr="004E2DDD" w:rsidRDefault="00146C1C" w:rsidP="009C2121">
      <w:pPr>
        <w:pStyle w:val="paragraph"/>
        <w:spacing w:before="0" w:beforeAutospacing="0" w:after="0" w:afterAutospacing="0"/>
        <w:ind w:left="720"/>
        <w:jc w:val="both"/>
        <w:textAlignment w:val="baseline"/>
        <w:rPr>
          <w:rStyle w:val="eop"/>
          <w:bCs/>
          <w:noProof/>
          <w:u w:val="single"/>
        </w:rPr>
      </w:pPr>
      <w:r>
        <w:rPr>
          <w:noProof/>
          <w:color w:val="000000" w:themeColor="text1"/>
          <w:u w:val="single"/>
        </w:rPr>
        <w:t>Ulaganje C7.1. R1-I3</w:t>
      </w:r>
      <w:r>
        <w:rPr>
          <w:noProof/>
          <w:u w:val="single"/>
        </w:rPr>
        <w:t xml:space="preserve"> – </w:t>
      </w:r>
      <w:r>
        <w:rPr>
          <w:noProof/>
          <w:color w:val="000000" w:themeColor="text1"/>
          <w:u w:val="single"/>
        </w:rPr>
        <w:t>Jačanje korištenja obnovljivih izvora energije u prometu i toplinarstvu</w:t>
      </w:r>
    </w:p>
    <w:p w14:paraId="4187C297" w14:textId="77777777" w:rsidR="00146C1C" w:rsidRPr="004E2DDD" w:rsidRDefault="00146C1C" w:rsidP="0001477B">
      <w:pPr>
        <w:pStyle w:val="paragraph"/>
        <w:spacing w:before="0" w:beforeAutospacing="0" w:after="0" w:afterAutospacing="0"/>
        <w:jc w:val="both"/>
        <w:textAlignment w:val="baseline"/>
        <w:rPr>
          <w:rStyle w:val="eop"/>
          <w:bCs/>
          <w:noProof/>
        </w:rPr>
      </w:pPr>
    </w:p>
    <w:p w14:paraId="1040E2B7" w14:textId="562581C8" w:rsidR="00146C1C" w:rsidRPr="004E2DDD" w:rsidRDefault="00146C1C" w:rsidP="0001477B">
      <w:pPr>
        <w:pStyle w:val="paragraph"/>
        <w:spacing w:before="0" w:beforeAutospacing="0" w:after="0" w:afterAutospacing="0"/>
        <w:jc w:val="both"/>
        <w:textAlignment w:val="baseline"/>
        <w:rPr>
          <w:rStyle w:val="eop"/>
          <w:bCs/>
          <w:noProof/>
        </w:rPr>
      </w:pPr>
      <w:r>
        <w:rPr>
          <w:noProof/>
        </w:rPr>
        <w:t xml:space="preserve">Cilj je ulaganja povećati upotrebu geotermalne energije dodatnim geotermalnim istraživanjima i bušotinama za potrebe centraliziranog grijanja te donošenjem Plana razvoja geotermalnog potencijala. </w:t>
      </w:r>
    </w:p>
    <w:p w14:paraId="24464160" w14:textId="77777777" w:rsidR="00146C1C" w:rsidRPr="004E2DDD" w:rsidRDefault="00146C1C" w:rsidP="0001477B">
      <w:pPr>
        <w:pStyle w:val="paragraph"/>
        <w:spacing w:before="0" w:beforeAutospacing="0" w:after="0" w:afterAutospacing="0"/>
        <w:jc w:val="both"/>
        <w:textAlignment w:val="baseline"/>
        <w:rPr>
          <w:rStyle w:val="eop"/>
          <w:bCs/>
          <w:noProof/>
        </w:rPr>
      </w:pPr>
    </w:p>
    <w:p w14:paraId="3646D0E0" w14:textId="77F0ACF2"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rPr>
        <w:t>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(C(2023) 6454 final).</w:t>
      </w:r>
    </w:p>
    <w:p w14:paraId="55C7E269" w14:textId="77777777" w:rsidR="00146C1C" w:rsidRPr="004E2DDD" w:rsidRDefault="00146C1C" w:rsidP="0001477B">
      <w:pPr>
        <w:pStyle w:val="paragraph"/>
        <w:spacing w:before="0" w:beforeAutospacing="0" w:after="0" w:afterAutospacing="0"/>
        <w:jc w:val="both"/>
        <w:textAlignment w:val="baseline"/>
        <w:rPr>
          <w:rStyle w:val="eop"/>
          <w:bCs/>
          <w:noProof/>
        </w:rPr>
      </w:pPr>
    </w:p>
    <w:p w14:paraId="7045C975" w14:textId="78C60A4E"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31. kolovoza 2026.</w:t>
      </w:r>
    </w:p>
    <w:p w14:paraId="404E7C40" w14:textId="77777777" w:rsidR="00146C1C" w:rsidRPr="004E2DDD" w:rsidRDefault="00146C1C" w:rsidP="0001477B">
      <w:pPr>
        <w:pStyle w:val="paragraph"/>
        <w:spacing w:before="0" w:beforeAutospacing="0" w:after="0" w:afterAutospacing="0"/>
        <w:jc w:val="both"/>
        <w:textAlignment w:val="baseline"/>
        <w:rPr>
          <w:noProof/>
          <w:color w:val="000000" w:themeColor="text1"/>
        </w:rPr>
      </w:pPr>
    </w:p>
    <w:p w14:paraId="1E0168B6" w14:textId="3988A4D4" w:rsidR="00146C1C" w:rsidRPr="004E2DDD" w:rsidRDefault="00146C1C" w:rsidP="009C2121">
      <w:pPr>
        <w:pStyle w:val="paragraph"/>
        <w:spacing w:before="0" w:beforeAutospacing="0" w:after="0" w:afterAutospacing="0"/>
        <w:ind w:left="720"/>
        <w:jc w:val="both"/>
        <w:textAlignment w:val="baseline"/>
        <w:rPr>
          <w:bCs/>
          <w:noProof/>
          <w:color w:val="000000" w:themeColor="text1"/>
          <w:u w:val="single"/>
        </w:rPr>
      </w:pPr>
      <w:r>
        <w:rPr>
          <w:noProof/>
          <w:color w:val="000000" w:themeColor="text1"/>
          <w:u w:val="single"/>
        </w:rPr>
        <w:t>Ulaganje C7.1. I1 – Proširena mjera: Nabava vozila na alternativni pogon za javni gradski i prigradski linijski promet</w:t>
      </w:r>
    </w:p>
    <w:p w14:paraId="371AD034"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1AB23CAD" w14:textId="60863A2F" w:rsidR="00146C1C" w:rsidRPr="004E2DDD" w:rsidRDefault="00146C1C" w:rsidP="0001477B">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Cilj je mjere proširenje ulaganja C1.4. R4-I1: Nabava vozila na alternativni pogon za javni gradski i prigradski linijski promet) u okviru komponente 1.4. (Razvoj konkurentnog, energetski održivog i učinkovitog prometnog sustava). Prošireni dio mjere povećat će broj nabavljenih autobusa na alternativni pogon (električni i vodik) za 103. Prošireni dio mjere također će uključivati razvoj vodikove energetske jedinice za napajanje električnih lokomotiva smještene u zasebnom vagonu (HERMES).</w:t>
      </w:r>
    </w:p>
    <w:p w14:paraId="42CE6DE6"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30. lipnja 2026.</w:t>
      </w:r>
    </w:p>
    <w:p w14:paraId="045ADB1D"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2C9490BF" w14:textId="021FD9A6" w:rsidR="00146C1C" w:rsidRPr="004E2DDD" w:rsidRDefault="00146C1C" w:rsidP="009C2121">
      <w:pPr>
        <w:pStyle w:val="paragraph"/>
        <w:spacing w:before="0" w:beforeAutospacing="0" w:after="0" w:afterAutospacing="0"/>
        <w:ind w:left="720"/>
        <w:jc w:val="both"/>
        <w:textAlignment w:val="baseline"/>
        <w:rPr>
          <w:bCs/>
          <w:noProof/>
          <w:color w:val="000000" w:themeColor="text1"/>
          <w:u w:val="single"/>
        </w:rPr>
      </w:pPr>
      <w:r>
        <w:rPr>
          <w:noProof/>
          <w:color w:val="000000" w:themeColor="text1"/>
          <w:u w:val="single"/>
        </w:rPr>
        <w:t>Ulaganje C7.1. I2 – Proširena mjera: Program sufinanciranja kupnje novih vozila na alternativna goriva i razvoja infrastrukture alternativnih goriva u cestovnom prometu</w:t>
      </w:r>
    </w:p>
    <w:p w14:paraId="5A81C57A"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3F81CE35" w14:textId="1BDA6CD9" w:rsidR="00146C1C" w:rsidRPr="004E2DDD" w:rsidRDefault="00146C1C" w:rsidP="0001477B">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Cilj je mjere proširenje ulaganja C1.4. R5-I3: Program sufinanciranja kupnje novih vozila na alternativna goriva i razvoja infrastrukture alternativnih goriva u cestovnom prometu u okviru komponente 1.4. (Razvoj konkurentnog, energetski održivog i učinkovitog prometnog sustava). Prošireni dio mjere sastoji se od izgradnje mreže električnih punionica za vozila na alternativni pogon. Proširenim dijelom mjere povećat će se i kapacitet punjenja svih 1300 predviđenih punionica s najmanje 20 kW na najmanje 50 kW. </w:t>
      </w:r>
    </w:p>
    <w:p w14:paraId="71D0AEE1"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30. lipnja 2026.</w:t>
      </w:r>
    </w:p>
    <w:p w14:paraId="6DD1CF98"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2515DCC0" w14:textId="77777777" w:rsidR="00146C1C" w:rsidRPr="004E2DDD" w:rsidRDefault="00146C1C" w:rsidP="0001477B">
      <w:pPr>
        <w:pStyle w:val="paragraph"/>
        <w:spacing w:before="0" w:beforeAutospacing="0" w:after="0" w:afterAutospacing="0"/>
        <w:jc w:val="both"/>
        <w:textAlignment w:val="baseline"/>
        <w:rPr>
          <w:rFonts w:ascii="Segoe UI" w:hAnsi="Segoe UI" w:cs="Segoe UI"/>
          <w:noProof/>
          <w:sz w:val="18"/>
          <w:szCs w:val="18"/>
        </w:rPr>
      </w:pPr>
    </w:p>
    <w:p w14:paraId="52C28632" w14:textId="77777777" w:rsidR="00146C1C" w:rsidRPr="004E2DDD" w:rsidRDefault="00146C1C" w:rsidP="0001477B">
      <w:pPr>
        <w:pStyle w:val="paragraph"/>
        <w:spacing w:before="0" w:beforeAutospacing="0" w:after="0" w:afterAutospacing="0"/>
        <w:jc w:val="both"/>
        <w:textAlignment w:val="baseline"/>
        <w:rPr>
          <w:rStyle w:val="normaltextrun"/>
          <w:b/>
          <w:bCs/>
          <w:noProof/>
          <w:highlight w:val="yellow"/>
          <w:u w:val="single"/>
        </w:rPr>
        <w:sectPr w:rsidR="00146C1C" w:rsidRPr="004E2DDD">
          <w:headerReference w:type="even" r:id="rId402"/>
          <w:headerReference w:type="default" r:id="rId403"/>
          <w:footerReference w:type="even" r:id="rId404"/>
          <w:footerReference w:type="default" r:id="rId405"/>
          <w:headerReference w:type="first" r:id="rId406"/>
          <w:footerReference w:type="first" r:id="rId407"/>
          <w:pgSz w:w="12240" w:h="15840"/>
          <w:pgMar w:top="1440" w:right="1440" w:bottom="1440" w:left="1440" w:header="708" w:footer="708" w:gutter="0"/>
          <w:cols w:space="708"/>
          <w:docGrid w:linePitch="360"/>
        </w:sectPr>
      </w:pPr>
    </w:p>
    <w:p w14:paraId="0BA2FAD8" w14:textId="77777777" w:rsidR="00146C1C" w:rsidRPr="0049337C" w:rsidRDefault="00146C1C" w:rsidP="0049337C">
      <w:pPr>
        <w:keepNext/>
        <w:tabs>
          <w:tab w:val="num" w:pos="284"/>
        </w:tabs>
        <w:spacing w:before="40" w:after="0"/>
        <w:jc w:val="both"/>
        <w:outlineLvl w:val="1"/>
        <w:rPr>
          <w:rFonts w:ascii="Times New Roman" w:eastAsia="SimSun" w:hAnsi="Times New Roman" w:cs="Times New Roman"/>
          <w:b/>
          <w:noProof/>
          <w:sz w:val="24"/>
          <w:szCs w:val="24"/>
          <w:u w:val="single"/>
        </w:rPr>
      </w:pPr>
      <w:r>
        <w:rPr>
          <w:rFonts w:ascii="Times New Roman" w:hAnsi="Times New Roman"/>
          <w:b/>
          <w:noProof/>
          <w:sz w:val="24"/>
        </w:rPr>
        <w:t xml:space="preserve">W.2. </w:t>
      </w:r>
      <w:r>
        <w:rPr>
          <w:rFonts w:ascii="Times New Roman" w:hAnsi="Times New Roman"/>
          <w:b/>
          <w:noProof/>
          <w:sz w:val="24"/>
          <w:u w:val="single"/>
        </w:rPr>
        <w:tab/>
      </w:r>
      <w:r>
        <w:rPr>
          <w:rFonts w:ascii="Times New Roman" w:hAnsi="Times New Roman"/>
          <w:b/>
          <w:noProof/>
          <w:sz w:val="24"/>
        </w:rPr>
        <w:t>Ključne etape, ciljne vrijednosti, pokazatelji i vremenski raspored za praćenje i provedbu programa bespovratne financijske potpore</w:t>
      </w:r>
      <w:r>
        <w:rPr>
          <w:rFonts w:ascii="Times New Roman" w:hAnsi="Times New Roman"/>
          <w:b/>
          <w:noProof/>
          <w:sz w:val="24"/>
          <w:u w:val="single"/>
        </w:rPr>
        <w:t> </w:t>
      </w:r>
    </w:p>
    <w:p w14:paraId="25065EF4" w14:textId="77777777" w:rsidR="00146C1C" w:rsidRPr="004E2DDD" w:rsidRDefault="00146C1C" w:rsidP="0001477B">
      <w:pPr>
        <w:pStyle w:val="paragraph"/>
        <w:spacing w:before="0" w:beforeAutospacing="0" w:after="0" w:afterAutospacing="0"/>
        <w:jc w:val="both"/>
        <w:textAlignment w:val="baseline"/>
        <w:rPr>
          <w:rFonts w:ascii="Segoe UI" w:hAnsi="Segoe UI" w:cs="Segoe UI"/>
          <w:noProof/>
          <w:sz w:val="18"/>
          <w:szCs w:val="18"/>
        </w:rPr>
      </w:pPr>
    </w:p>
    <w:tbl>
      <w:tblPr>
        <w:tblW w:w="14961" w:type="dxa"/>
        <w:jc w:val="center"/>
        <w:tblCellMar>
          <w:top w:w="28" w:type="dxa"/>
          <w:left w:w="28" w:type="dxa"/>
          <w:bottom w:w="28" w:type="dxa"/>
          <w:right w:w="28" w:type="dxa"/>
        </w:tblCellMar>
        <w:tblLook w:val="04A0" w:firstRow="1" w:lastRow="0" w:firstColumn="1" w:lastColumn="0" w:noHBand="0" w:noVBand="1"/>
      </w:tblPr>
      <w:tblGrid>
        <w:gridCol w:w="859"/>
        <w:gridCol w:w="993"/>
        <w:gridCol w:w="871"/>
        <w:gridCol w:w="2410"/>
        <w:gridCol w:w="2193"/>
        <w:gridCol w:w="917"/>
        <w:gridCol w:w="851"/>
        <w:gridCol w:w="709"/>
        <w:gridCol w:w="575"/>
        <w:gridCol w:w="850"/>
        <w:gridCol w:w="3754"/>
      </w:tblGrid>
      <w:tr w:rsidR="002E48FD" w:rsidRPr="004E2DDD" w14:paraId="062E8E3F" w14:textId="77777777" w:rsidTr="00CF6A27">
        <w:trPr>
          <w:tblHeader/>
          <w:jc w:val="center"/>
        </w:trPr>
        <w:tc>
          <w:tcPr>
            <w:tcW w:w="8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757369" w14:textId="535AF006"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D94289"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DA4EE0"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10A2D6"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1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18439119"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Calibri" w:hAnsi="Calibri"/>
                <w:noProof/>
              </w:rPr>
              <w:br/>
            </w:r>
            <w:r>
              <w:rPr>
                <w:rFonts w:ascii="Times New Roman" w:hAnsi="Times New Roman"/>
                <w:b/>
                <w:noProof/>
                <w:sz w:val="18"/>
              </w:rPr>
              <w:t>(za ključne etape)</w:t>
            </w:r>
          </w:p>
        </w:tc>
        <w:tc>
          <w:tcPr>
            <w:tcW w:w="2477"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73222164"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Calibri" w:hAnsi="Calibri"/>
                <w:noProof/>
              </w:rPr>
              <w:br/>
            </w:r>
            <w:r>
              <w:rPr>
                <w:rFonts w:ascii="Times New Roman" w:hAnsi="Times New Roman"/>
                <w:b/>
                <w:noProof/>
                <w:sz w:val="18"/>
              </w:rPr>
              <w:t>(za ciljne vrijednosti)</w:t>
            </w:r>
          </w:p>
        </w:tc>
        <w:tc>
          <w:tcPr>
            <w:tcW w:w="1425" w:type="dxa"/>
            <w:gridSpan w:val="2"/>
            <w:tcBorders>
              <w:top w:val="single" w:sz="4" w:space="0" w:color="auto"/>
              <w:left w:val="nil"/>
              <w:bottom w:val="single" w:sz="4" w:space="0" w:color="auto"/>
              <w:right w:val="single" w:sz="4" w:space="0" w:color="auto"/>
            </w:tcBorders>
            <w:shd w:val="clear" w:color="auto" w:fill="BDD7EE"/>
            <w:hideMark/>
          </w:tcPr>
          <w:p w14:paraId="7F67EF73"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75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5A0996"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2E48FD" w:rsidRPr="004E2DDD" w14:paraId="48C5093F" w14:textId="77777777" w:rsidTr="00CF6A27">
        <w:trPr>
          <w:tblHeader/>
          <w:jc w:val="center"/>
        </w:trPr>
        <w:tc>
          <w:tcPr>
            <w:tcW w:w="859" w:type="dxa"/>
            <w:vMerge/>
            <w:tcBorders>
              <w:top w:val="single" w:sz="4" w:space="0" w:color="auto"/>
              <w:left w:val="single" w:sz="4" w:space="0" w:color="auto"/>
              <w:bottom w:val="single" w:sz="4" w:space="0" w:color="auto"/>
              <w:right w:val="single" w:sz="4" w:space="0" w:color="auto"/>
            </w:tcBorders>
            <w:hideMark/>
          </w:tcPr>
          <w:p w14:paraId="4313B6B1"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665479CB"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auto"/>
              <w:right w:val="single" w:sz="4" w:space="0" w:color="auto"/>
            </w:tcBorders>
            <w:hideMark/>
          </w:tcPr>
          <w:p w14:paraId="51D14440"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2410" w:type="dxa"/>
            <w:vMerge/>
            <w:tcBorders>
              <w:top w:val="single" w:sz="4" w:space="0" w:color="auto"/>
              <w:left w:val="single" w:sz="4" w:space="0" w:color="auto"/>
              <w:bottom w:val="single" w:sz="4" w:space="0" w:color="auto"/>
              <w:right w:val="single" w:sz="4" w:space="0" w:color="auto"/>
            </w:tcBorders>
            <w:hideMark/>
          </w:tcPr>
          <w:p w14:paraId="64342D7B"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2193" w:type="dxa"/>
            <w:vMerge/>
            <w:tcBorders>
              <w:top w:val="single" w:sz="4" w:space="0" w:color="auto"/>
              <w:left w:val="single" w:sz="4" w:space="0" w:color="auto"/>
              <w:bottom w:val="single" w:sz="4" w:space="0" w:color="auto"/>
              <w:right w:val="single" w:sz="4" w:space="0" w:color="auto"/>
            </w:tcBorders>
            <w:hideMark/>
          </w:tcPr>
          <w:p w14:paraId="40C1A68B"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917" w:type="dxa"/>
            <w:tcBorders>
              <w:top w:val="nil"/>
              <w:left w:val="single" w:sz="4" w:space="0" w:color="auto"/>
              <w:bottom w:val="single" w:sz="4" w:space="0" w:color="auto"/>
              <w:right w:val="single" w:sz="4" w:space="0" w:color="auto"/>
            </w:tcBorders>
            <w:shd w:val="clear" w:color="auto" w:fill="BDD7EE"/>
            <w:hideMark/>
          </w:tcPr>
          <w:p w14:paraId="601EFAAF"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51" w:type="dxa"/>
            <w:tcBorders>
              <w:top w:val="nil"/>
              <w:left w:val="nil"/>
              <w:bottom w:val="single" w:sz="4" w:space="0" w:color="auto"/>
              <w:right w:val="single" w:sz="4" w:space="0" w:color="auto"/>
            </w:tcBorders>
            <w:shd w:val="clear" w:color="auto" w:fill="BDD7EE"/>
            <w:hideMark/>
          </w:tcPr>
          <w:p w14:paraId="1F8403C3"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709" w:type="dxa"/>
            <w:tcBorders>
              <w:top w:val="nil"/>
              <w:left w:val="nil"/>
              <w:bottom w:val="single" w:sz="4" w:space="0" w:color="auto"/>
              <w:right w:val="single" w:sz="4" w:space="0" w:color="auto"/>
            </w:tcBorders>
            <w:shd w:val="clear" w:color="auto" w:fill="BDD7EE"/>
            <w:hideMark/>
          </w:tcPr>
          <w:p w14:paraId="269110CE"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75" w:type="dxa"/>
            <w:tcBorders>
              <w:top w:val="nil"/>
              <w:left w:val="nil"/>
              <w:bottom w:val="single" w:sz="4" w:space="0" w:color="auto"/>
              <w:right w:val="single" w:sz="4" w:space="0" w:color="auto"/>
            </w:tcBorders>
            <w:shd w:val="clear" w:color="auto" w:fill="BDD7EE"/>
            <w:hideMark/>
          </w:tcPr>
          <w:p w14:paraId="263E74D2"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850" w:type="dxa"/>
            <w:tcBorders>
              <w:top w:val="nil"/>
              <w:left w:val="nil"/>
              <w:bottom w:val="single" w:sz="4" w:space="0" w:color="auto"/>
              <w:right w:val="single" w:sz="4" w:space="0" w:color="auto"/>
            </w:tcBorders>
            <w:shd w:val="clear" w:color="auto" w:fill="BDD7EE"/>
            <w:hideMark/>
          </w:tcPr>
          <w:p w14:paraId="451468CA"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754" w:type="dxa"/>
            <w:vMerge/>
            <w:tcBorders>
              <w:top w:val="single" w:sz="4" w:space="0" w:color="auto"/>
              <w:bottom w:val="single" w:sz="4" w:space="0" w:color="auto"/>
              <w:right w:val="single" w:sz="4" w:space="0" w:color="auto"/>
            </w:tcBorders>
            <w:hideMark/>
          </w:tcPr>
          <w:p w14:paraId="3B04F8AE" w14:textId="77777777" w:rsidR="00146C1C" w:rsidRPr="004E2DDD" w:rsidRDefault="00146C1C" w:rsidP="0001477B">
            <w:pPr>
              <w:spacing w:after="0" w:line="276" w:lineRule="auto"/>
              <w:rPr>
                <w:rFonts w:ascii="Times New Roman" w:eastAsia="Times New Roman" w:hAnsi="Times New Roman" w:cs="Times New Roman"/>
                <w:b/>
                <w:noProof/>
                <w:lang w:val="en-IE" w:eastAsia="en-GB"/>
              </w:rPr>
            </w:pPr>
          </w:p>
        </w:tc>
      </w:tr>
      <w:tr w:rsidR="003D68A4" w:rsidRPr="004E2DDD" w14:paraId="68CC1E7A" w14:textId="77777777" w:rsidTr="00CF6A2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4A008E27" w14:textId="5D1A7EB4" w:rsidR="00146C1C" w:rsidRPr="004E2DDD" w:rsidRDefault="008A6D26" w:rsidP="0001477B">
            <w:pPr>
              <w:spacing w:after="0" w:line="276" w:lineRule="auto"/>
              <w:jc w:val="center"/>
              <w:rPr>
                <w:rFonts w:eastAsia="Calibri" w:cstheme="minorHAnsi"/>
                <w:noProof/>
                <w:sz w:val="20"/>
                <w:szCs w:val="20"/>
              </w:rPr>
            </w:pPr>
            <w:r>
              <w:rPr>
                <w:noProof/>
                <w:sz w:val="20"/>
              </w:rPr>
              <w:t>406</w:t>
            </w:r>
          </w:p>
        </w:tc>
        <w:tc>
          <w:tcPr>
            <w:tcW w:w="993" w:type="dxa"/>
            <w:tcBorders>
              <w:top w:val="single" w:sz="4" w:space="0" w:color="auto"/>
              <w:left w:val="nil"/>
              <w:bottom w:val="single" w:sz="4" w:space="0" w:color="auto"/>
              <w:right w:val="single" w:sz="4" w:space="0" w:color="auto"/>
            </w:tcBorders>
            <w:shd w:val="clear" w:color="auto" w:fill="C6EFCE"/>
            <w:noWrap/>
          </w:tcPr>
          <w:p w14:paraId="125A46F6" w14:textId="1C317CC7" w:rsidR="00146C1C" w:rsidRPr="00B00BDB" w:rsidRDefault="00146C1C" w:rsidP="0001477B">
            <w:pPr>
              <w:spacing w:after="200" w:line="276" w:lineRule="auto"/>
              <w:jc w:val="center"/>
              <w:rPr>
                <w:rFonts w:eastAsia="Calibri" w:cstheme="minorHAnsi"/>
                <w:noProof/>
                <w:sz w:val="20"/>
                <w:szCs w:val="20"/>
              </w:rPr>
            </w:pPr>
            <w:r>
              <w:rPr>
                <w:noProof/>
                <w:color w:val="000000" w:themeColor="text1"/>
                <w:sz w:val="20"/>
              </w:rPr>
              <w:t>C7.1. R1</w:t>
            </w:r>
          </w:p>
        </w:tc>
        <w:tc>
          <w:tcPr>
            <w:tcW w:w="850" w:type="dxa"/>
            <w:tcBorders>
              <w:top w:val="single" w:sz="4" w:space="0" w:color="auto"/>
              <w:left w:val="nil"/>
              <w:bottom w:val="single" w:sz="4" w:space="0" w:color="auto"/>
              <w:right w:val="single" w:sz="4" w:space="0" w:color="auto"/>
            </w:tcBorders>
            <w:shd w:val="clear" w:color="auto" w:fill="C6EFCE"/>
            <w:noWrap/>
          </w:tcPr>
          <w:p w14:paraId="2C610836" w14:textId="77777777" w:rsidR="00146C1C" w:rsidRPr="004E2DDD" w:rsidRDefault="00146C1C" w:rsidP="0001477B">
            <w:pPr>
              <w:spacing w:after="200" w:line="276" w:lineRule="auto"/>
              <w:jc w:val="center"/>
              <w:rPr>
                <w:rFonts w:eastAsia="Calibri" w:cstheme="minorHAnsi"/>
                <w:noProof/>
                <w:sz w:val="20"/>
                <w:szCs w:val="20"/>
              </w:rPr>
            </w:pPr>
            <w:r>
              <w:rPr>
                <w:noProof/>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2184C5FA" w14:textId="6A4A7B91" w:rsidR="00146C1C" w:rsidRPr="004E2DDD" w:rsidRDefault="00146C1C" w:rsidP="0001477B">
            <w:pPr>
              <w:spacing w:after="200" w:line="276" w:lineRule="auto"/>
              <w:rPr>
                <w:rFonts w:eastAsia="Calibri" w:cstheme="minorHAnsi"/>
                <w:noProof/>
                <w:sz w:val="20"/>
                <w:szCs w:val="20"/>
              </w:rPr>
            </w:pPr>
            <w:r>
              <w:rPr>
                <w:noProof/>
                <w:sz w:val="20"/>
              </w:rPr>
              <w:t>Stupanje na snagu propisa o uvođenju novog sustava vlastite potrošnje</w:t>
            </w:r>
          </w:p>
        </w:tc>
        <w:tc>
          <w:tcPr>
            <w:tcW w:w="2193" w:type="dxa"/>
            <w:tcBorders>
              <w:top w:val="single" w:sz="4" w:space="0" w:color="auto"/>
              <w:left w:val="nil"/>
              <w:bottom w:val="single" w:sz="4" w:space="0" w:color="auto"/>
              <w:right w:val="single" w:sz="4" w:space="0" w:color="auto"/>
            </w:tcBorders>
            <w:shd w:val="clear" w:color="auto" w:fill="C6EFCE"/>
            <w:noWrap/>
          </w:tcPr>
          <w:p w14:paraId="7DABD0CC" w14:textId="5D98A2E1" w:rsidR="00146C1C" w:rsidRPr="004E2DDD" w:rsidRDefault="00146C1C" w:rsidP="0001477B">
            <w:pPr>
              <w:rPr>
                <w:rFonts w:eastAsia="Calibri" w:cstheme="minorHAnsi"/>
                <w:noProof/>
                <w:sz w:val="20"/>
                <w:szCs w:val="20"/>
              </w:rPr>
            </w:pPr>
            <w:r>
              <w:rPr>
                <w:noProof/>
                <w:color w:val="000000"/>
                <w:sz w:val="20"/>
              </w:rPr>
              <w:t>Odredba u pravnom aktu o uvođenju novog sustava vlastite potrošnje u kojoj se navodi njegovo stupanje na snagu</w:t>
            </w:r>
          </w:p>
        </w:tc>
        <w:tc>
          <w:tcPr>
            <w:tcW w:w="917" w:type="dxa"/>
            <w:tcBorders>
              <w:top w:val="single" w:sz="4" w:space="0" w:color="auto"/>
              <w:left w:val="nil"/>
              <w:bottom w:val="single" w:sz="4" w:space="0" w:color="auto"/>
              <w:right w:val="single" w:sz="4" w:space="0" w:color="auto"/>
            </w:tcBorders>
            <w:shd w:val="clear" w:color="auto" w:fill="C6EFCE"/>
            <w:noWrap/>
          </w:tcPr>
          <w:p w14:paraId="43761F2A" w14:textId="77777777" w:rsidR="00146C1C" w:rsidRPr="00BC0323" w:rsidRDefault="00146C1C" w:rsidP="0001477B">
            <w:pPr>
              <w:spacing w:after="200" w:line="276" w:lineRule="auto"/>
              <w:jc w:val="center"/>
              <w:rPr>
                <w:rFonts w:eastAsia="Calibri" w:cstheme="minorHAnsi"/>
                <w:noProof/>
                <w:sz w:val="20"/>
                <w:szCs w:val="20"/>
              </w:rPr>
            </w:pPr>
          </w:p>
        </w:tc>
        <w:tc>
          <w:tcPr>
            <w:tcW w:w="851" w:type="dxa"/>
            <w:tcBorders>
              <w:top w:val="single" w:sz="4" w:space="0" w:color="auto"/>
              <w:left w:val="nil"/>
              <w:bottom w:val="single" w:sz="4" w:space="0" w:color="auto"/>
              <w:right w:val="single" w:sz="4" w:space="0" w:color="auto"/>
            </w:tcBorders>
            <w:shd w:val="clear" w:color="auto" w:fill="C6EFCE"/>
            <w:noWrap/>
          </w:tcPr>
          <w:p w14:paraId="25966E3E" w14:textId="77777777" w:rsidR="00146C1C" w:rsidRPr="00BC0323" w:rsidRDefault="00146C1C" w:rsidP="0001477B">
            <w:pPr>
              <w:spacing w:after="200" w:line="276" w:lineRule="auto"/>
              <w:jc w:val="center"/>
              <w:rPr>
                <w:rFonts w:eastAsia="Calibri" w:cstheme="minorHAnsi"/>
                <w:noProof/>
                <w:sz w:val="20"/>
                <w:szCs w:val="20"/>
              </w:rPr>
            </w:pPr>
          </w:p>
        </w:tc>
        <w:tc>
          <w:tcPr>
            <w:tcW w:w="709" w:type="dxa"/>
            <w:tcBorders>
              <w:top w:val="single" w:sz="4" w:space="0" w:color="auto"/>
              <w:left w:val="nil"/>
              <w:bottom w:val="single" w:sz="4" w:space="0" w:color="auto"/>
              <w:right w:val="single" w:sz="4" w:space="0" w:color="auto"/>
            </w:tcBorders>
            <w:shd w:val="clear" w:color="auto" w:fill="C6EFCE"/>
            <w:noWrap/>
          </w:tcPr>
          <w:p w14:paraId="17100E27" w14:textId="77777777" w:rsidR="00146C1C" w:rsidRPr="00BC0323" w:rsidRDefault="00146C1C" w:rsidP="0001477B">
            <w:pPr>
              <w:spacing w:after="200" w:line="276" w:lineRule="auto"/>
              <w:jc w:val="center"/>
              <w:rPr>
                <w:rFonts w:eastAsia="Calibri" w:cstheme="minorHAnsi"/>
                <w:noProof/>
                <w:sz w:val="20"/>
                <w:szCs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5DFBA889" w14:textId="77777777" w:rsidR="00146C1C" w:rsidRPr="004E2DDD" w:rsidRDefault="00146C1C" w:rsidP="0001477B">
            <w:pPr>
              <w:spacing w:after="200" w:line="276" w:lineRule="auto"/>
              <w:jc w:val="center"/>
              <w:rPr>
                <w:rFonts w:eastAsia="Calibri" w:cstheme="minorHAnsi"/>
                <w:noProof/>
                <w:sz w:val="20"/>
                <w:szCs w:val="20"/>
              </w:rPr>
            </w:pPr>
            <w:r>
              <w:rPr>
                <w:noProof/>
                <w:sz w:val="20"/>
              </w:rPr>
              <w:t>1.</w:t>
            </w:r>
          </w:p>
        </w:tc>
        <w:tc>
          <w:tcPr>
            <w:tcW w:w="850" w:type="dxa"/>
            <w:tcBorders>
              <w:top w:val="single" w:sz="4" w:space="0" w:color="auto"/>
              <w:left w:val="nil"/>
              <w:bottom w:val="single" w:sz="4" w:space="0" w:color="auto"/>
              <w:right w:val="single" w:sz="4" w:space="0" w:color="auto"/>
            </w:tcBorders>
            <w:shd w:val="clear" w:color="auto" w:fill="C6EFCE"/>
            <w:noWrap/>
          </w:tcPr>
          <w:p w14:paraId="1A7D7CB8"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2025.</w:t>
            </w:r>
          </w:p>
        </w:tc>
        <w:tc>
          <w:tcPr>
            <w:tcW w:w="3754" w:type="dxa"/>
            <w:tcBorders>
              <w:top w:val="single" w:sz="4" w:space="0" w:color="auto"/>
              <w:left w:val="nil"/>
              <w:bottom w:val="single" w:sz="4" w:space="0" w:color="auto"/>
              <w:right w:val="single" w:sz="4" w:space="0" w:color="auto"/>
            </w:tcBorders>
            <w:shd w:val="clear" w:color="auto" w:fill="C6EFCE"/>
            <w:noWrap/>
          </w:tcPr>
          <w:p w14:paraId="5B26565D" w14:textId="3A64C294" w:rsidR="00146C1C" w:rsidRPr="004E2DDD" w:rsidRDefault="00146C1C" w:rsidP="0001477B">
            <w:pPr>
              <w:spacing w:after="200" w:line="276" w:lineRule="auto"/>
              <w:rPr>
                <w:rFonts w:eastAsia="Calibri" w:cstheme="minorHAnsi"/>
                <w:noProof/>
                <w:sz w:val="20"/>
                <w:szCs w:val="20"/>
              </w:rPr>
            </w:pPr>
            <w:r>
              <w:rPr>
                <w:noProof/>
                <w:sz w:val="20"/>
              </w:rPr>
              <w:t>Uspostavit će se novi sustav potrošnje vlastite energije proizvodnog postrojenja i samoopskrbe, a s njegovom primjenom počet će se 1. siječnja 2026. Novim sustavom potrošnje vlastite energije osigurat će se jednak tretman svih kupaca u pogledu pristupa distribucijskoj mreži i mrežarina. Novi sustav će redizajnirati način obračuna naknade za vlastitu proizvodnju električne energije poslane u mrežu; sve naknade i pristojbe, uključujući mrežne tarife, moraju odražavati stvarne troškove i biti razmjerne i nediskriminirajuće. Istovremeno, novi sustav će stvoriti poticaje za potrošače da postanu samopotrošači, i za korištenje vlastite potrošnje. Naknade i pristojbe neće se nametnuti za vlastitu proizvodnju električne energije koja ostaje u objektima potrošača vlastite energije.</w:t>
            </w:r>
          </w:p>
        </w:tc>
      </w:tr>
      <w:tr w:rsidR="003D68A4" w:rsidRPr="004E2DDD" w14:paraId="4147E6B6"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9BA0F59" w14:textId="06BB24EE" w:rsidR="00146C1C" w:rsidRPr="004E2DDD" w:rsidRDefault="00FF5504" w:rsidP="0001477B">
            <w:pPr>
              <w:spacing w:after="0" w:line="276" w:lineRule="auto"/>
              <w:jc w:val="center"/>
              <w:rPr>
                <w:rFonts w:eastAsia="Calibri" w:cstheme="minorHAnsi"/>
                <w:noProof/>
                <w:sz w:val="20"/>
                <w:szCs w:val="20"/>
              </w:rPr>
            </w:pPr>
            <w:r>
              <w:rPr>
                <w:noProof/>
                <w:sz w:val="20"/>
              </w:rPr>
              <w:t>51</w:t>
            </w:r>
          </w:p>
        </w:tc>
        <w:tc>
          <w:tcPr>
            <w:tcW w:w="993" w:type="dxa"/>
            <w:tcBorders>
              <w:top w:val="single" w:sz="4" w:space="0" w:color="auto"/>
              <w:left w:val="nil"/>
              <w:bottom w:val="single" w:sz="4" w:space="0" w:color="auto"/>
              <w:right w:val="single" w:sz="4" w:space="0" w:color="auto"/>
            </w:tcBorders>
            <w:shd w:val="clear" w:color="auto" w:fill="C6EFCE"/>
            <w:noWrap/>
          </w:tcPr>
          <w:p w14:paraId="71EBD226" w14:textId="5C0BBC76" w:rsidR="00146C1C" w:rsidRPr="00B00BDB" w:rsidRDefault="00146C1C" w:rsidP="0001477B">
            <w:pPr>
              <w:spacing w:after="200" w:line="276" w:lineRule="auto"/>
              <w:jc w:val="center"/>
              <w:rPr>
                <w:rFonts w:eastAsia="Calibri" w:cstheme="minorHAnsi"/>
                <w:noProof/>
                <w:sz w:val="20"/>
                <w:szCs w:val="20"/>
              </w:rPr>
            </w:pPr>
            <w:r>
              <w:rPr>
                <w:noProof/>
                <w:color w:val="000000" w:themeColor="text1"/>
                <w:sz w:val="20"/>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7EE9EFB7"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6F9E3FAE" w14:textId="77777777" w:rsidR="00146C1C" w:rsidRPr="004E2DDD" w:rsidRDefault="00146C1C" w:rsidP="0001477B">
            <w:pPr>
              <w:spacing w:after="200" w:line="276" w:lineRule="auto"/>
              <w:rPr>
                <w:rFonts w:eastAsia="Calibri" w:cstheme="minorHAnsi"/>
                <w:noProof/>
                <w:sz w:val="20"/>
                <w:szCs w:val="20"/>
              </w:rPr>
            </w:pPr>
            <w:r>
              <w:rPr>
                <w:rFonts w:ascii="Calibri" w:hAnsi="Calibri"/>
                <w:noProof/>
                <w:color w:val="000000"/>
                <w:sz w:val="20"/>
              </w:rPr>
              <w:t>Ugrađen novi kapacitet za proizvodnju vodika</w:t>
            </w:r>
          </w:p>
        </w:tc>
        <w:tc>
          <w:tcPr>
            <w:tcW w:w="2193" w:type="dxa"/>
            <w:tcBorders>
              <w:top w:val="single" w:sz="4" w:space="0" w:color="auto"/>
              <w:left w:val="nil"/>
              <w:bottom w:val="single" w:sz="4" w:space="0" w:color="auto"/>
              <w:right w:val="single" w:sz="4" w:space="0" w:color="auto"/>
            </w:tcBorders>
            <w:shd w:val="clear" w:color="auto" w:fill="C6EFCE"/>
            <w:noWrap/>
          </w:tcPr>
          <w:p w14:paraId="24FDEE53" w14:textId="77777777" w:rsidR="00146C1C" w:rsidRPr="004E2DDD" w:rsidRDefault="00146C1C" w:rsidP="0001477B">
            <w:pPr>
              <w:spacing w:after="200" w:line="276" w:lineRule="auto"/>
              <w:rPr>
                <w:rFonts w:eastAsia="Calibri" w:cstheme="minorHAnsi"/>
                <w:noProof/>
                <w:sz w:val="20"/>
                <w:szCs w:val="20"/>
              </w:rPr>
            </w:pPr>
            <w:r>
              <w:rPr>
                <w:rFonts w:ascii="Calibri" w:hAnsi="Calibri"/>
                <w:noProof/>
                <w:color w:val="000000"/>
                <w:sz w:val="20"/>
              </w:rPr>
              <w:t xml:space="preserve"> </w:t>
            </w:r>
          </w:p>
        </w:tc>
        <w:tc>
          <w:tcPr>
            <w:tcW w:w="917" w:type="dxa"/>
            <w:tcBorders>
              <w:top w:val="single" w:sz="4" w:space="0" w:color="auto"/>
              <w:left w:val="nil"/>
              <w:bottom w:val="single" w:sz="4" w:space="0" w:color="auto"/>
              <w:right w:val="single" w:sz="4" w:space="0" w:color="auto"/>
            </w:tcBorders>
            <w:shd w:val="clear" w:color="auto" w:fill="C6EFCE"/>
            <w:noWrap/>
          </w:tcPr>
          <w:p w14:paraId="3CACA039"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MW</w:t>
            </w:r>
          </w:p>
        </w:tc>
        <w:tc>
          <w:tcPr>
            <w:tcW w:w="851" w:type="dxa"/>
            <w:tcBorders>
              <w:top w:val="single" w:sz="4" w:space="0" w:color="auto"/>
              <w:left w:val="nil"/>
              <w:bottom w:val="single" w:sz="4" w:space="0" w:color="auto"/>
              <w:right w:val="single" w:sz="4" w:space="0" w:color="auto"/>
            </w:tcBorders>
            <w:shd w:val="clear" w:color="auto" w:fill="C6EFCE"/>
            <w:noWrap/>
          </w:tcPr>
          <w:p w14:paraId="458B7BC8"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13186FAA"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10</w:t>
            </w:r>
          </w:p>
        </w:tc>
        <w:tc>
          <w:tcPr>
            <w:tcW w:w="575" w:type="dxa"/>
            <w:tcBorders>
              <w:top w:val="single" w:sz="4" w:space="0" w:color="auto"/>
              <w:left w:val="nil"/>
              <w:bottom w:val="single" w:sz="4" w:space="0" w:color="auto"/>
              <w:right w:val="single" w:sz="4" w:space="0" w:color="auto"/>
            </w:tcBorders>
            <w:shd w:val="clear" w:color="auto" w:fill="C6EFCE"/>
            <w:noWrap/>
          </w:tcPr>
          <w:p w14:paraId="2B809597"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4.</w:t>
            </w:r>
          </w:p>
        </w:tc>
        <w:tc>
          <w:tcPr>
            <w:tcW w:w="850" w:type="dxa"/>
            <w:tcBorders>
              <w:top w:val="single" w:sz="4" w:space="0" w:color="auto"/>
              <w:left w:val="nil"/>
              <w:bottom w:val="single" w:sz="4" w:space="0" w:color="auto"/>
              <w:right w:val="single" w:sz="4" w:space="0" w:color="auto"/>
            </w:tcBorders>
            <w:shd w:val="clear" w:color="auto" w:fill="C6EFCE"/>
            <w:noWrap/>
          </w:tcPr>
          <w:p w14:paraId="7EF78A9B"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2025.</w:t>
            </w:r>
          </w:p>
        </w:tc>
        <w:tc>
          <w:tcPr>
            <w:tcW w:w="3754" w:type="dxa"/>
            <w:tcBorders>
              <w:top w:val="single" w:sz="4" w:space="0" w:color="auto"/>
              <w:left w:val="nil"/>
              <w:bottom w:val="single" w:sz="4" w:space="0" w:color="auto"/>
              <w:right w:val="single" w:sz="4" w:space="0" w:color="auto"/>
            </w:tcBorders>
            <w:shd w:val="clear" w:color="auto" w:fill="C6EFCE"/>
            <w:noWrap/>
          </w:tcPr>
          <w:p w14:paraId="798D6AD2" w14:textId="4AEA2630" w:rsidR="00146C1C" w:rsidRPr="004E2DDD" w:rsidRDefault="00146C1C" w:rsidP="0001477B">
            <w:pPr>
              <w:spacing w:after="200" w:line="276" w:lineRule="auto"/>
              <w:rPr>
                <w:rFonts w:eastAsia="Calibri"/>
                <w:noProof/>
                <w:sz w:val="20"/>
                <w:szCs w:val="20"/>
              </w:rPr>
            </w:pPr>
            <w:r>
              <w:rPr>
                <w:rFonts w:ascii="Calibri" w:hAnsi="Calibri"/>
                <w:noProof/>
                <w:color w:val="000000"/>
                <w:sz w:val="20"/>
              </w:rPr>
              <w:t xml:space="preserve">Izgrađeno je i u funkciji novo postrojenje u kojem je instalirano 10 MW kapaciteta za proizvodnju obnovljivog vodika elektrolizom. </w:t>
            </w:r>
            <w:r>
              <w:rPr>
                <w:rFonts w:ascii="Calibri" w:hAnsi="Calibri"/>
                <w:noProof/>
                <w:color w:val="000000"/>
                <w:sz w:val="20"/>
              </w:rPr>
              <w:br/>
              <w:t>Projekt mora biti u skladu s uvjetima iz Direktive o energiji iz obnovljivih izvora (EU) 2018/2001 i relevantnih delegiranih akata (EU) 2023/1185 i (EU) 2023/1184.</w:t>
            </w:r>
            <w:r>
              <w:rPr>
                <w:rFonts w:ascii="Calibri" w:hAnsi="Calibri"/>
                <w:noProof/>
                <w:color w:val="000000"/>
                <w:sz w:val="20"/>
              </w:rPr>
              <w:br/>
              <w:t xml:space="preserve">Posebno, izgradnja vodikova elektrolizatora za prometnu mrežu omogućuje proizvodnju i prijenos vodika iz 100 %-tno obnovljivih izvora.  </w:t>
            </w:r>
            <w:r>
              <w:rPr>
                <w:rFonts w:ascii="Calibri" w:hAnsi="Calibri"/>
                <w:noProof/>
                <w:color w:val="000000"/>
                <w:sz w:val="20"/>
              </w:rPr>
              <w:br/>
              <w:t>Ulaganje će biti u skladu sa sektorskim pravilima o proizvodnji zelenog vodika s električnom energijom iz mreže kako bi se osiguralo da se proizvodnjom zelenog vodika ne povećaju emisije CO2.</w:t>
            </w:r>
          </w:p>
        </w:tc>
      </w:tr>
      <w:tr w:rsidR="003D68A4" w:rsidRPr="004E2DDD" w14:paraId="21A4D34F"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E6AA7A9" w14:textId="37B14997" w:rsidR="00146C1C" w:rsidRPr="00D85183" w:rsidRDefault="00FF5504" w:rsidP="0001477B">
            <w:pPr>
              <w:spacing w:after="0" w:line="276" w:lineRule="auto"/>
              <w:jc w:val="center"/>
              <w:rPr>
                <w:noProof/>
              </w:rPr>
            </w:pPr>
            <w:r>
              <w:rPr>
                <w:noProof/>
                <w:sz w:val="20"/>
              </w:rPr>
              <w:t>52</w:t>
            </w:r>
          </w:p>
        </w:tc>
        <w:tc>
          <w:tcPr>
            <w:tcW w:w="993" w:type="dxa"/>
            <w:tcBorders>
              <w:top w:val="single" w:sz="4" w:space="0" w:color="auto"/>
              <w:left w:val="nil"/>
              <w:bottom w:val="single" w:sz="4" w:space="0" w:color="auto"/>
              <w:right w:val="single" w:sz="4" w:space="0" w:color="auto"/>
            </w:tcBorders>
            <w:shd w:val="clear" w:color="auto" w:fill="C6EFCE"/>
            <w:noWrap/>
          </w:tcPr>
          <w:p w14:paraId="5CAEEC8A" w14:textId="31B9A6AF" w:rsidR="00146C1C" w:rsidRPr="00B00BDB" w:rsidRDefault="00146C1C" w:rsidP="0001477B">
            <w:pPr>
              <w:spacing w:after="200" w:line="276" w:lineRule="auto"/>
              <w:jc w:val="center"/>
              <w:rPr>
                <w:rFonts w:eastAsia="Calibri" w:cstheme="minorHAnsi"/>
                <w:noProof/>
                <w:sz w:val="20"/>
                <w:szCs w:val="20"/>
              </w:rPr>
            </w:pPr>
            <w:r>
              <w:rPr>
                <w:noProof/>
                <w:color w:val="000000" w:themeColor="text1"/>
                <w:sz w:val="20"/>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3DB54492"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6E147817" w14:textId="77777777" w:rsidR="00146C1C" w:rsidRPr="004E2DDD" w:rsidRDefault="00146C1C" w:rsidP="0001477B">
            <w:pPr>
              <w:spacing w:after="200" w:line="276" w:lineRule="auto"/>
              <w:rPr>
                <w:rFonts w:eastAsia="Calibri" w:cstheme="minorHAnsi"/>
                <w:noProof/>
                <w:sz w:val="20"/>
                <w:szCs w:val="20"/>
              </w:rPr>
            </w:pPr>
            <w:r>
              <w:rPr>
                <w:rFonts w:ascii="Calibri" w:hAnsi="Calibri"/>
                <w:noProof/>
                <w:color w:val="000000"/>
                <w:sz w:val="20"/>
              </w:rPr>
              <w:t xml:space="preserve">Objavljen javni natječaj za dodatni kapacitet vodika </w:t>
            </w:r>
          </w:p>
        </w:tc>
        <w:tc>
          <w:tcPr>
            <w:tcW w:w="2193" w:type="dxa"/>
            <w:tcBorders>
              <w:top w:val="single" w:sz="4" w:space="0" w:color="auto"/>
              <w:left w:val="nil"/>
              <w:bottom w:val="single" w:sz="4" w:space="0" w:color="auto"/>
              <w:right w:val="single" w:sz="4" w:space="0" w:color="auto"/>
            </w:tcBorders>
            <w:shd w:val="clear" w:color="auto" w:fill="C6EFCE"/>
            <w:noWrap/>
          </w:tcPr>
          <w:p w14:paraId="22500F81" w14:textId="77777777" w:rsidR="00146C1C" w:rsidRPr="004E2DDD" w:rsidRDefault="00146C1C" w:rsidP="0001477B">
            <w:pPr>
              <w:spacing w:after="200" w:line="276" w:lineRule="auto"/>
              <w:rPr>
                <w:rFonts w:eastAsia="Calibri" w:cstheme="minorHAnsi"/>
                <w:noProof/>
                <w:sz w:val="20"/>
                <w:szCs w:val="20"/>
              </w:rPr>
            </w:pPr>
            <w:r>
              <w:rPr>
                <w:rFonts w:ascii="Calibri" w:hAnsi="Calibri"/>
                <w:noProof/>
                <w:color w:val="000000"/>
                <w:sz w:val="20"/>
              </w:rPr>
              <w:t> </w:t>
            </w:r>
          </w:p>
        </w:tc>
        <w:tc>
          <w:tcPr>
            <w:tcW w:w="917" w:type="dxa"/>
            <w:tcBorders>
              <w:top w:val="single" w:sz="4" w:space="0" w:color="auto"/>
              <w:left w:val="nil"/>
              <w:bottom w:val="single" w:sz="4" w:space="0" w:color="auto"/>
              <w:right w:val="single" w:sz="4" w:space="0" w:color="auto"/>
            </w:tcBorders>
            <w:shd w:val="clear" w:color="auto" w:fill="C6EFCE"/>
            <w:noWrap/>
          </w:tcPr>
          <w:p w14:paraId="746F9928"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 </w:t>
            </w:r>
          </w:p>
        </w:tc>
        <w:tc>
          <w:tcPr>
            <w:tcW w:w="851" w:type="dxa"/>
            <w:tcBorders>
              <w:top w:val="single" w:sz="4" w:space="0" w:color="auto"/>
              <w:left w:val="nil"/>
              <w:bottom w:val="single" w:sz="4" w:space="0" w:color="auto"/>
              <w:right w:val="single" w:sz="4" w:space="0" w:color="auto"/>
            </w:tcBorders>
            <w:shd w:val="clear" w:color="auto" w:fill="C6EFCE"/>
            <w:noWrap/>
          </w:tcPr>
          <w:p w14:paraId="785396CD"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 </w:t>
            </w:r>
          </w:p>
        </w:tc>
        <w:tc>
          <w:tcPr>
            <w:tcW w:w="709" w:type="dxa"/>
            <w:tcBorders>
              <w:top w:val="single" w:sz="4" w:space="0" w:color="auto"/>
              <w:left w:val="nil"/>
              <w:bottom w:val="single" w:sz="4" w:space="0" w:color="auto"/>
              <w:right w:val="single" w:sz="4" w:space="0" w:color="auto"/>
            </w:tcBorders>
            <w:shd w:val="clear" w:color="auto" w:fill="C6EFCE"/>
            <w:noWrap/>
          </w:tcPr>
          <w:p w14:paraId="39CD3FAB" w14:textId="13C7D47C" w:rsidR="00146C1C" w:rsidRPr="00BC0323" w:rsidRDefault="00146C1C" w:rsidP="0001477B">
            <w:pPr>
              <w:spacing w:after="200" w:line="276" w:lineRule="auto"/>
              <w:jc w:val="center"/>
              <w:rPr>
                <w:rFonts w:eastAsia="Calibri" w:cstheme="minorHAnsi"/>
                <w:noProof/>
                <w:sz w:val="20"/>
                <w:szCs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12104D14"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1669B675"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70897733" w14:textId="742F52BD"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Objavljen javni natječaj za izgradnju postrojenja u koje će se ugraditi 20 MW kapaciteta za proizvodnju energije iz obnovljivog vodika elektrolizom.</w:t>
            </w:r>
          </w:p>
          <w:p w14:paraId="64AED16B" w14:textId="77777777" w:rsidR="00146C1C" w:rsidRPr="004E2DDD" w:rsidRDefault="00146C1C" w:rsidP="0001477B">
            <w:pPr>
              <w:spacing w:after="200" w:line="276" w:lineRule="auto"/>
              <w:rPr>
                <w:rFonts w:eastAsia="Calibri" w:cstheme="minorHAnsi"/>
                <w:noProof/>
                <w:sz w:val="20"/>
                <w:szCs w:val="20"/>
              </w:rPr>
            </w:pPr>
            <w:r>
              <w:rPr>
                <w:rFonts w:ascii="Calibri" w:hAnsi="Calibri"/>
                <w:noProof/>
                <w:color w:val="000000"/>
                <w:sz w:val="20"/>
              </w:rPr>
              <w:t>Javni natječaj mora biti u skladu s uvjetima iz Direktive o energiji iz obnovljivih izvora (EU) 2018/2001 i relevantnih delegiranih akata (EU) 2023/1185 i (EU) 2023/1184.</w:t>
            </w:r>
          </w:p>
        </w:tc>
      </w:tr>
      <w:tr w:rsidR="003D68A4" w:rsidRPr="004E2DDD" w14:paraId="378C0B12"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4B4B4495" w14:textId="3B655C88" w:rsidR="00146C1C" w:rsidRPr="00D85183" w:rsidRDefault="00FF5504" w:rsidP="0001477B">
            <w:pPr>
              <w:spacing w:after="0" w:line="276" w:lineRule="auto"/>
              <w:jc w:val="center"/>
              <w:rPr>
                <w:noProof/>
              </w:rPr>
            </w:pPr>
            <w:r>
              <w:rPr>
                <w:noProof/>
                <w:sz w:val="20"/>
              </w:rPr>
              <w:t>53</w:t>
            </w:r>
          </w:p>
        </w:tc>
        <w:tc>
          <w:tcPr>
            <w:tcW w:w="993" w:type="dxa"/>
            <w:tcBorders>
              <w:top w:val="single" w:sz="4" w:space="0" w:color="auto"/>
              <w:left w:val="nil"/>
              <w:bottom w:val="single" w:sz="4" w:space="0" w:color="auto"/>
              <w:right w:val="single" w:sz="4" w:space="0" w:color="auto"/>
            </w:tcBorders>
            <w:shd w:val="clear" w:color="auto" w:fill="C6EFCE"/>
            <w:noWrap/>
          </w:tcPr>
          <w:p w14:paraId="2192DB87" w14:textId="37F68240" w:rsidR="00146C1C" w:rsidRPr="00B00BDB" w:rsidRDefault="00146C1C" w:rsidP="0001477B">
            <w:pPr>
              <w:spacing w:after="200" w:line="276" w:lineRule="auto"/>
              <w:jc w:val="center"/>
              <w:rPr>
                <w:noProof/>
                <w:color w:val="000000" w:themeColor="text1"/>
              </w:rPr>
            </w:pPr>
            <w:r>
              <w:rPr>
                <w:noProof/>
                <w:color w:val="000000" w:themeColor="text1"/>
                <w:sz w:val="20"/>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19FC83E4"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075C7E00" w14:textId="77777777"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Izgrađeno najmanje šest punionica vodika za automobile, autobuse i teška vozila</w:t>
            </w:r>
          </w:p>
        </w:tc>
        <w:tc>
          <w:tcPr>
            <w:tcW w:w="2193" w:type="dxa"/>
            <w:tcBorders>
              <w:top w:val="single" w:sz="4" w:space="0" w:color="auto"/>
              <w:left w:val="nil"/>
              <w:bottom w:val="single" w:sz="4" w:space="0" w:color="auto"/>
              <w:right w:val="single" w:sz="4" w:space="0" w:color="auto"/>
            </w:tcBorders>
            <w:shd w:val="clear" w:color="auto" w:fill="C6EFCE"/>
            <w:noWrap/>
          </w:tcPr>
          <w:p w14:paraId="025A7403" w14:textId="77777777"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 </w:t>
            </w:r>
          </w:p>
        </w:tc>
        <w:tc>
          <w:tcPr>
            <w:tcW w:w="917" w:type="dxa"/>
            <w:tcBorders>
              <w:top w:val="single" w:sz="4" w:space="0" w:color="auto"/>
              <w:left w:val="nil"/>
              <w:bottom w:val="single" w:sz="4" w:space="0" w:color="auto"/>
              <w:right w:val="single" w:sz="4" w:space="0" w:color="auto"/>
            </w:tcBorders>
            <w:shd w:val="clear" w:color="auto" w:fill="C6EFCE"/>
            <w:noWrap/>
          </w:tcPr>
          <w:p w14:paraId="6321386E"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0C7ECDA6"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77A4232E"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6</w:t>
            </w:r>
          </w:p>
        </w:tc>
        <w:tc>
          <w:tcPr>
            <w:tcW w:w="575" w:type="dxa"/>
            <w:tcBorders>
              <w:top w:val="single" w:sz="4" w:space="0" w:color="auto"/>
              <w:left w:val="nil"/>
              <w:bottom w:val="single" w:sz="4" w:space="0" w:color="auto"/>
              <w:right w:val="single" w:sz="4" w:space="0" w:color="auto"/>
            </w:tcBorders>
            <w:shd w:val="clear" w:color="auto" w:fill="C6EFCE"/>
            <w:noWrap/>
          </w:tcPr>
          <w:p w14:paraId="6EE69FA8"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2087EB4A"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195A4815" w14:textId="7AE7EF9C"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Do 2. tromjesečja 2026. izgrađeno je najmanje 6 punionica vodika za automobile, autobuse i teška vozila. Punionice će biti predviđene za barem 100 kg vodika, uz potencijal povećanja kapaciteta prema potrebi.</w:t>
            </w:r>
          </w:p>
        </w:tc>
      </w:tr>
      <w:tr w:rsidR="003D68A4" w:rsidRPr="004E2DDD" w14:paraId="66056C7C"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12918948" w14:textId="2079029F" w:rsidR="00146C1C" w:rsidRPr="00D85183" w:rsidRDefault="00C84207" w:rsidP="0001477B">
            <w:pPr>
              <w:spacing w:after="0" w:line="276" w:lineRule="auto"/>
              <w:jc w:val="center"/>
              <w:rPr>
                <w:rFonts w:cstheme="minorHAnsi"/>
                <w:noProof/>
                <w:sz w:val="20"/>
                <w:szCs w:val="20"/>
              </w:rPr>
            </w:pPr>
            <w:r>
              <w:rPr>
                <w:noProof/>
                <w:sz w:val="20"/>
              </w:rPr>
              <w:t>54</w:t>
            </w:r>
          </w:p>
        </w:tc>
        <w:tc>
          <w:tcPr>
            <w:tcW w:w="993" w:type="dxa"/>
            <w:tcBorders>
              <w:top w:val="single" w:sz="4" w:space="0" w:color="auto"/>
              <w:left w:val="nil"/>
              <w:bottom w:val="single" w:sz="4" w:space="0" w:color="auto"/>
              <w:right w:val="single" w:sz="4" w:space="0" w:color="auto"/>
            </w:tcBorders>
            <w:shd w:val="clear" w:color="auto" w:fill="C6EFCE"/>
            <w:noWrap/>
          </w:tcPr>
          <w:p w14:paraId="744C5D87" w14:textId="347A97E8" w:rsidR="00146C1C" w:rsidRPr="00B00BD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30AD0419"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7882F6E4" w14:textId="7828620E"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themeColor="text1"/>
                <w:sz w:val="20"/>
              </w:rPr>
              <w:t>Studije o geološkom skladištenju ugljika</w:t>
            </w:r>
          </w:p>
        </w:tc>
        <w:tc>
          <w:tcPr>
            <w:tcW w:w="2193" w:type="dxa"/>
            <w:tcBorders>
              <w:top w:val="single" w:sz="4" w:space="0" w:color="auto"/>
              <w:left w:val="nil"/>
              <w:bottom w:val="single" w:sz="4" w:space="0" w:color="auto"/>
              <w:right w:val="single" w:sz="4" w:space="0" w:color="auto"/>
            </w:tcBorders>
            <w:shd w:val="clear" w:color="auto" w:fill="C6EFCE"/>
            <w:noWrap/>
          </w:tcPr>
          <w:p w14:paraId="5346716D" w14:textId="748F61A9"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sz w:val="20"/>
              </w:rPr>
              <w:t>Objava tehničkih sažetaka studija o geološkom skladištenju ugljika od strane Ministarstva gospodarstva i održivog razvoja</w:t>
            </w:r>
          </w:p>
        </w:tc>
        <w:tc>
          <w:tcPr>
            <w:tcW w:w="917" w:type="dxa"/>
            <w:tcBorders>
              <w:top w:val="single" w:sz="4" w:space="0" w:color="auto"/>
              <w:left w:val="nil"/>
              <w:bottom w:val="single" w:sz="4" w:space="0" w:color="auto"/>
              <w:right w:val="single" w:sz="4" w:space="0" w:color="auto"/>
            </w:tcBorders>
            <w:shd w:val="clear" w:color="auto" w:fill="C6EFCE"/>
            <w:noWrap/>
          </w:tcPr>
          <w:p w14:paraId="507A5251" w14:textId="77777777" w:rsidR="00146C1C" w:rsidRPr="00BC0323" w:rsidRDefault="00146C1C" w:rsidP="0001477B">
            <w:pPr>
              <w:spacing w:after="200" w:line="276" w:lineRule="auto"/>
              <w:jc w:val="center"/>
              <w:rPr>
                <w:rFonts w:ascii="Calibri" w:eastAsia="Calibri" w:hAnsi="Calibri" w:cs="Arial"/>
                <w:noProof/>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C6EFCE"/>
            <w:noWrap/>
          </w:tcPr>
          <w:p w14:paraId="7FB4C098" w14:textId="77777777" w:rsidR="00146C1C" w:rsidRPr="00BC0323" w:rsidRDefault="00146C1C" w:rsidP="0001477B">
            <w:pPr>
              <w:spacing w:after="200" w:line="276" w:lineRule="auto"/>
              <w:jc w:val="center"/>
              <w:rPr>
                <w:rFonts w:ascii="Calibri" w:eastAsia="Calibri" w:hAnsi="Calibri" w:cs="Arial"/>
                <w:noProof/>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C6EFCE"/>
            <w:noWrap/>
          </w:tcPr>
          <w:p w14:paraId="544D78E2" w14:textId="77777777" w:rsidR="00146C1C" w:rsidRPr="00BC0323" w:rsidRDefault="00146C1C" w:rsidP="0001477B">
            <w:pPr>
              <w:spacing w:after="200" w:line="276" w:lineRule="auto"/>
              <w:jc w:val="center"/>
              <w:rPr>
                <w:rFonts w:ascii="Calibri" w:eastAsia="Calibri" w:hAnsi="Calibri" w:cs="Arial"/>
                <w:noProof/>
                <w:color w:val="000000"/>
                <w:sz w:val="20"/>
                <w:szCs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3B236512"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57E93DC0"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29F2E344" w14:textId="3BA2800A" w:rsidR="00146C1C" w:rsidRPr="003034C0"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Objava niza tehničkih sažetaka studija u kojima se razmatra potencijal za geološko skladištenje CO2 u Hrvatskoj (na kopnu i na moru). Studije uključuju stratešku</w:t>
            </w:r>
            <w:r>
              <w:rPr>
                <w:noProof/>
                <w:sz w:val="20"/>
              </w:rPr>
              <w:t xml:space="preserve"> </w:t>
            </w:r>
            <w:r>
              <w:rPr>
                <w:rFonts w:ascii="Calibri" w:hAnsi="Calibri"/>
                <w:noProof/>
                <w:color w:val="000000"/>
                <w:sz w:val="20"/>
              </w:rPr>
              <w:t>procjenu utjecaja na okoliš za razvoj trajnog gospodarenja ugljikovim dioksidom u geološkim strukturama na kopnu i moru, studije vezane uz prostorno planiranje, atlas geoloških struktura pogodnih za trajno odlaganje ugljikova dioksida te integriranu</w:t>
            </w:r>
            <w:r>
              <w:rPr>
                <w:noProof/>
                <w:sz w:val="20"/>
              </w:rPr>
              <w:t xml:space="preserve"> </w:t>
            </w:r>
            <w:r>
              <w:rPr>
                <w:rFonts w:ascii="Calibri" w:hAnsi="Calibri"/>
                <w:noProof/>
                <w:color w:val="000000"/>
                <w:sz w:val="20"/>
              </w:rPr>
              <w:t xml:space="preserve">studiju isplativosti trajnog odlaganja ugljikova dioksida na lokaciji Bockovci. </w:t>
            </w:r>
          </w:p>
        </w:tc>
      </w:tr>
      <w:tr w:rsidR="003D68A4" w:rsidRPr="004E2DDD" w14:paraId="3684065B"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91FC781" w14:textId="4A99AE36" w:rsidR="00146C1C" w:rsidRPr="00D85183" w:rsidRDefault="00F45239" w:rsidP="0001477B">
            <w:pPr>
              <w:spacing w:after="0" w:line="276" w:lineRule="auto"/>
              <w:jc w:val="center"/>
              <w:rPr>
                <w:rFonts w:cstheme="minorHAnsi"/>
                <w:noProof/>
                <w:sz w:val="20"/>
                <w:szCs w:val="20"/>
              </w:rPr>
            </w:pPr>
            <w:r>
              <w:rPr>
                <w:noProof/>
                <w:sz w:val="20"/>
              </w:rPr>
              <w:t>407</w:t>
            </w:r>
          </w:p>
        </w:tc>
        <w:tc>
          <w:tcPr>
            <w:tcW w:w="993" w:type="dxa"/>
            <w:tcBorders>
              <w:top w:val="single" w:sz="4" w:space="0" w:color="auto"/>
              <w:left w:val="nil"/>
              <w:bottom w:val="single" w:sz="4" w:space="0" w:color="auto"/>
              <w:right w:val="single" w:sz="4" w:space="0" w:color="auto"/>
            </w:tcBorders>
            <w:shd w:val="clear" w:color="auto" w:fill="C6EFCE"/>
            <w:noWrap/>
          </w:tcPr>
          <w:p w14:paraId="5335A6BC" w14:textId="6A1D7C7C" w:rsidR="00146C1C" w:rsidRPr="00B00BD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4C4A5256" w14:textId="77777777" w:rsidR="00146C1C" w:rsidRPr="004E2DDD" w:rsidRDefault="00146C1C" w:rsidP="0001477B">
            <w:pPr>
              <w:spacing w:after="200" w:line="276" w:lineRule="auto"/>
              <w:jc w:val="center"/>
              <w:rPr>
                <w:rFonts w:eastAsia="Calibri" w:cstheme="minorHAnsi"/>
                <w:noProof/>
                <w:sz w:val="20"/>
                <w:szCs w:val="20"/>
              </w:rPr>
            </w:pPr>
            <w:r>
              <w:rPr>
                <w:noProof/>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5A45977D" w14:textId="77777777" w:rsidR="00146C1C" w:rsidRPr="004E2DDD" w:rsidRDefault="00146C1C" w:rsidP="0001477B">
            <w:pPr>
              <w:spacing w:after="200" w:line="276" w:lineRule="auto"/>
              <w:rPr>
                <w:rFonts w:eastAsia="Calibri" w:cstheme="minorHAnsi"/>
                <w:noProof/>
                <w:sz w:val="20"/>
                <w:szCs w:val="20"/>
              </w:rPr>
            </w:pPr>
            <w:r>
              <w:rPr>
                <w:noProof/>
                <w:sz w:val="20"/>
              </w:rPr>
              <w:t>Koordinacijsko tijelo za vodik</w:t>
            </w:r>
          </w:p>
        </w:tc>
        <w:tc>
          <w:tcPr>
            <w:tcW w:w="2193" w:type="dxa"/>
            <w:tcBorders>
              <w:top w:val="single" w:sz="4" w:space="0" w:color="auto"/>
              <w:left w:val="nil"/>
              <w:bottom w:val="single" w:sz="4" w:space="0" w:color="auto"/>
              <w:right w:val="single" w:sz="4" w:space="0" w:color="auto"/>
            </w:tcBorders>
            <w:shd w:val="clear" w:color="auto" w:fill="C6EFCE"/>
            <w:noWrap/>
          </w:tcPr>
          <w:p w14:paraId="3AD185FB" w14:textId="6416CBFC" w:rsidR="00146C1C" w:rsidRPr="004E2DDD" w:rsidRDefault="00146C1C" w:rsidP="0001477B">
            <w:pPr>
              <w:spacing w:after="200" w:line="276" w:lineRule="auto"/>
              <w:rPr>
                <w:rFonts w:eastAsia="Calibri" w:cstheme="minorHAnsi"/>
                <w:noProof/>
                <w:sz w:val="20"/>
                <w:szCs w:val="20"/>
              </w:rPr>
            </w:pPr>
            <w:r>
              <w:rPr>
                <w:noProof/>
                <w:sz w:val="20"/>
              </w:rPr>
              <w:t>Odredba u pravnom aktu u kojoj se navodi njegovo stupanje na snagu</w:t>
            </w:r>
          </w:p>
        </w:tc>
        <w:tc>
          <w:tcPr>
            <w:tcW w:w="917" w:type="dxa"/>
            <w:tcBorders>
              <w:top w:val="single" w:sz="4" w:space="0" w:color="auto"/>
              <w:left w:val="nil"/>
              <w:bottom w:val="single" w:sz="4" w:space="0" w:color="auto"/>
              <w:right w:val="single" w:sz="4" w:space="0" w:color="auto"/>
            </w:tcBorders>
            <w:shd w:val="clear" w:color="auto" w:fill="C6EFCE"/>
            <w:noWrap/>
          </w:tcPr>
          <w:p w14:paraId="130DB36C" w14:textId="77777777" w:rsidR="00146C1C" w:rsidRPr="00BC0323" w:rsidRDefault="00146C1C" w:rsidP="0001477B">
            <w:pPr>
              <w:spacing w:after="200" w:line="276" w:lineRule="auto"/>
              <w:jc w:val="center"/>
              <w:rPr>
                <w:rFonts w:ascii="Calibri" w:eastAsia="Calibri" w:hAnsi="Calibri" w:cs="Arial"/>
                <w:noProof/>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C6EFCE"/>
            <w:noWrap/>
          </w:tcPr>
          <w:p w14:paraId="0FA8E36B" w14:textId="77777777" w:rsidR="00146C1C" w:rsidRPr="00BC0323" w:rsidRDefault="00146C1C" w:rsidP="0001477B">
            <w:pPr>
              <w:spacing w:after="200" w:line="276" w:lineRule="auto"/>
              <w:jc w:val="center"/>
              <w:rPr>
                <w:rFonts w:ascii="Calibri" w:eastAsia="Calibri" w:hAnsi="Calibri" w:cs="Arial"/>
                <w:noProof/>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C6EFCE"/>
            <w:noWrap/>
          </w:tcPr>
          <w:p w14:paraId="5D2947A7" w14:textId="77777777" w:rsidR="00146C1C" w:rsidRPr="00BC0323" w:rsidRDefault="00146C1C" w:rsidP="0001477B">
            <w:pPr>
              <w:spacing w:after="200" w:line="276" w:lineRule="auto"/>
              <w:jc w:val="center"/>
              <w:rPr>
                <w:rFonts w:ascii="Calibri" w:eastAsia="Calibri" w:hAnsi="Calibri" w:cs="Arial"/>
                <w:noProof/>
                <w:color w:val="000000"/>
                <w:sz w:val="20"/>
                <w:szCs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13AEABF6" w14:textId="77777777" w:rsidR="00146C1C" w:rsidRPr="004E2DDD" w:rsidRDefault="00146C1C" w:rsidP="0001477B">
            <w:pPr>
              <w:spacing w:after="200" w:line="276" w:lineRule="auto"/>
              <w:jc w:val="center"/>
              <w:rPr>
                <w:rFonts w:eastAsia="Calibri" w:cstheme="minorHAnsi"/>
                <w:noProof/>
                <w:sz w:val="20"/>
                <w:szCs w:val="20"/>
              </w:rPr>
            </w:pPr>
            <w:r>
              <w:rPr>
                <w:noProof/>
                <w:sz w:val="20"/>
              </w:rPr>
              <w:t>1.</w:t>
            </w:r>
          </w:p>
        </w:tc>
        <w:tc>
          <w:tcPr>
            <w:tcW w:w="850" w:type="dxa"/>
            <w:tcBorders>
              <w:top w:val="single" w:sz="4" w:space="0" w:color="auto"/>
              <w:left w:val="nil"/>
              <w:bottom w:val="single" w:sz="4" w:space="0" w:color="auto"/>
              <w:right w:val="single" w:sz="4" w:space="0" w:color="auto"/>
            </w:tcBorders>
            <w:shd w:val="clear" w:color="auto" w:fill="C6EFCE"/>
            <w:noWrap/>
          </w:tcPr>
          <w:p w14:paraId="2F07AB20"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2024.</w:t>
            </w:r>
          </w:p>
        </w:tc>
        <w:tc>
          <w:tcPr>
            <w:tcW w:w="3754" w:type="dxa"/>
            <w:tcBorders>
              <w:top w:val="single" w:sz="4" w:space="0" w:color="auto"/>
              <w:left w:val="nil"/>
              <w:bottom w:val="single" w:sz="4" w:space="0" w:color="auto"/>
              <w:right w:val="single" w:sz="4" w:space="0" w:color="auto"/>
            </w:tcBorders>
            <w:shd w:val="clear" w:color="auto" w:fill="C6EFCE"/>
            <w:noWrap/>
          </w:tcPr>
          <w:p w14:paraId="543CAB4A" w14:textId="5F182D8F" w:rsidR="00146C1C" w:rsidRPr="003034C0" w:rsidRDefault="00146C1C" w:rsidP="0001477B">
            <w:pPr>
              <w:spacing w:after="200" w:line="276" w:lineRule="auto"/>
              <w:rPr>
                <w:rFonts w:eastAsia="Calibri" w:cstheme="minorHAnsi"/>
                <w:noProof/>
                <w:sz w:val="20"/>
                <w:szCs w:val="20"/>
              </w:rPr>
            </w:pPr>
            <w:r>
              <w:rPr>
                <w:noProof/>
                <w:sz w:val="20"/>
              </w:rPr>
              <w:t>Stupa na snagu pravni akt kojim se Hrvatska agencija za ugljikovodike imenuje koordinacijskim tijelom za vodik u Republici Hrvatskoj.</w:t>
            </w:r>
          </w:p>
        </w:tc>
      </w:tr>
      <w:tr w:rsidR="003D68A4" w:rsidRPr="004E2DDD" w14:paraId="1185A3DB"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1F4AE0C" w14:textId="608C91B8" w:rsidR="00146C1C" w:rsidRPr="00D85183" w:rsidRDefault="00F45239" w:rsidP="0001477B">
            <w:pPr>
              <w:spacing w:after="0" w:line="276" w:lineRule="auto"/>
              <w:jc w:val="center"/>
              <w:rPr>
                <w:noProof/>
                <w:color w:val="000000"/>
                <w:sz w:val="20"/>
                <w:szCs w:val="20"/>
                <w:shd w:val="clear" w:color="auto" w:fill="FFFF00"/>
              </w:rPr>
            </w:pPr>
            <w:r>
              <w:rPr>
                <w:noProof/>
                <w:sz w:val="20"/>
              </w:rPr>
              <w:t>408</w:t>
            </w:r>
          </w:p>
        </w:tc>
        <w:tc>
          <w:tcPr>
            <w:tcW w:w="993" w:type="dxa"/>
            <w:tcBorders>
              <w:top w:val="single" w:sz="4" w:space="0" w:color="auto"/>
              <w:left w:val="nil"/>
              <w:bottom w:val="single" w:sz="4" w:space="0" w:color="auto"/>
              <w:right w:val="single" w:sz="4" w:space="0" w:color="auto"/>
            </w:tcBorders>
            <w:shd w:val="clear" w:color="auto" w:fill="C6EFCE"/>
            <w:noWrap/>
          </w:tcPr>
          <w:p w14:paraId="22C5C5CC" w14:textId="2428FAC7" w:rsidR="00146C1C" w:rsidRPr="00B00BDB" w:rsidRDefault="00AB7E9A" w:rsidP="0001477B">
            <w:pPr>
              <w:spacing w:after="200" w:line="276" w:lineRule="auto"/>
              <w:jc w:val="center"/>
              <w:rPr>
                <w:rFonts w:cstheme="minorHAnsi"/>
                <w:noProof/>
                <w:color w:val="000000" w:themeColor="text1"/>
                <w:sz w:val="20"/>
                <w:szCs w:val="20"/>
              </w:rPr>
            </w:pPr>
            <w:r>
              <w:rPr>
                <w:noProof/>
                <w:color w:val="000000"/>
                <w:sz w:val="20"/>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1841E8DF" w14:textId="77777777" w:rsidR="00146C1C" w:rsidRPr="002B6AB5" w:rsidRDefault="00146C1C" w:rsidP="0001477B">
            <w:pPr>
              <w:spacing w:after="200" w:line="276" w:lineRule="auto"/>
              <w:jc w:val="center"/>
              <w:rPr>
                <w:rFonts w:eastAsia="Calibri" w:cstheme="minorHAnsi"/>
                <w:noProof/>
                <w:sz w:val="20"/>
                <w:szCs w:val="20"/>
              </w:rPr>
            </w:pPr>
            <w:r>
              <w:rPr>
                <w:noProof/>
                <w:color w:val="000000"/>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338F819D" w14:textId="77777777" w:rsidR="00146C1C" w:rsidRPr="002B6AB5" w:rsidRDefault="00146C1C" w:rsidP="0001477B">
            <w:pPr>
              <w:spacing w:after="200" w:line="276" w:lineRule="auto"/>
              <w:rPr>
                <w:rFonts w:eastAsia="Calibri" w:cstheme="minorHAnsi"/>
                <w:noProof/>
                <w:sz w:val="20"/>
                <w:szCs w:val="20"/>
              </w:rPr>
            </w:pPr>
            <w:r>
              <w:rPr>
                <w:noProof/>
                <w:color w:val="000000"/>
                <w:sz w:val="20"/>
              </w:rPr>
              <w:t>Plan i program razvoja vodika</w:t>
            </w:r>
          </w:p>
        </w:tc>
        <w:tc>
          <w:tcPr>
            <w:tcW w:w="2193" w:type="dxa"/>
            <w:tcBorders>
              <w:top w:val="single" w:sz="4" w:space="0" w:color="auto"/>
              <w:left w:val="nil"/>
              <w:bottom w:val="single" w:sz="4" w:space="0" w:color="auto"/>
              <w:right w:val="single" w:sz="4" w:space="0" w:color="auto"/>
            </w:tcBorders>
            <w:shd w:val="clear" w:color="auto" w:fill="C6EFCE"/>
            <w:noWrap/>
          </w:tcPr>
          <w:p w14:paraId="236C2C45" w14:textId="77777777" w:rsidR="00146C1C" w:rsidRPr="002B6AB5" w:rsidRDefault="00146C1C" w:rsidP="0001477B">
            <w:pPr>
              <w:spacing w:after="200" w:line="276" w:lineRule="auto"/>
              <w:rPr>
                <w:rFonts w:eastAsia="Calibri" w:cstheme="minorHAnsi"/>
                <w:noProof/>
                <w:sz w:val="20"/>
                <w:szCs w:val="20"/>
              </w:rPr>
            </w:pPr>
            <w:r>
              <w:rPr>
                <w:noProof/>
                <w:color w:val="000000"/>
                <w:sz w:val="20"/>
              </w:rPr>
              <w:t>Hrvatska agencija za ugljikovodike donijela Plan i program razvoja vodika</w:t>
            </w:r>
          </w:p>
        </w:tc>
        <w:tc>
          <w:tcPr>
            <w:tcW w:w="917" w:type="dxa"/>
            <w:tcBorders>
              <w:top w:val="single" w:sz="4" w:space="0" w:color="auto"/>
              <w:left w:val="nil"/>
              <w:bottom w:val="single" w:sz="4" w:space="0" w:color="auto"/>
              <w:right w:val="single" w:sz="4" w:space="0" w:color="auto"/>
            </w:tcBorders>
            <w:shd w:val="clear" w:color="auto" w:fill="C6EFCE"/>
            <w:noWrap/>
          </w:tcPr>
          <w:p w14:paraId="07EB0A71" w14:textId="77777777" w:rsidR="00146C1C" w:rsidRPr="002B6AB5" w:rsidRDefault="00146C1C" w:rsidP="0001477B">
            <w:pPr>
              <w:spacing w:after="200" w:line="276" w:lineRule="auto"/>
              <w:jc w:val="center"/>
              <w:rPr>
                <w:rFonts w:ascii="Calibri" w:eastAsia="Calibri" w:hAnsi="Calibri" w:cs="Arial"/>
                <w:noProof/>
                <w:color w:val="000000"/>
                <w:sz w:val="20"/>
                <w:szCs w:val="20"/>
              </w:rPr>
            </w:pPr>
            <w:r>
              <w:rPr>
                <w:noProof/>
                <w:color w:val="000000"/>
                <w:sz w:val="20"/>
              </w:rPr>
              <w:t> </w:t>
            </w:r>
          </w:p>
        </w:tc>
        <w:tc>
          <w:tcPr>
            <w:tcW w:w="851" w:type="dxa"/>
            <w:tcBorders>
              <w:top w:val="single" w:sz="4" w:space="0" w:color="auto"/>
              <w:left w:val="nil"/>
              <w:bottom w:val="single" w:sz="4" w:space="0" w:color="auto"/>
              <w:right w:val="single" w:sz="4" w:space="0" w:color="auto"/>
            </w:tcBorders>
            <w:shd w:val="clear" w:color="auto" w:fill="C6EFCE"/>
            <w:noWrap/>
          </w:tcPr>
          <w:p w14:paraId="5EFC4D71" w14:textId="77777777" w:rsidR="00146C1C" w:rsidRPr="002B6AB5" w:rsidRDefault="00146C1C" w:rsidP="0001477B">
            <w:pPr>
              <w:spacing w:after="200" w:line="276" w:lineRule="auto"/>
              <w:jc w:val="center"/>
              <w:rPr>
                <w:rFonts w:ascii="Calibri" w:eastAsia="Calibri" w:hAnsi="Calibri" w:cs="Arial"/>
                <w:noProof/>
                <w:color w:val="000000"/>
                <w:sz w:val="20"/>
                <w:szCs w:val="20"/>
              </w:rPr>
            </w:pPr>
            <w:r>
              <w:rPr>
                <w:noProof/>
                <w:color w:val="000000"/>
                <w:sz w:val="20"/>
              </w:rPr>
              <w:t> </w:t>
            </w:r>
          </w:p>
        </w:tc>
        <w:tc>
          <w:tcPr>
            <w:tcW w:w="709" w:type="dxa"/>
            <w:tcBorders>
              <w:top w:val="single" w:sz="4" w:space="0" w:color="auto"/>
              <w:left w:val="nil"/>
              <w:bottom w:val="single" w:sz="4" w:space="0" w:color="auto"/>
              <w:right w:val="single" w:sz="4" w:space="0" w:color="auto"/>
            </w:tcBorders>
            <w:shd w:val="clear" w:color="auto" w:fill="C6EFCE"/>
            <w:noWrap/>
          </w:tcPr>
          <w:p w14:paraId="1033D154" w14:textId="77777777" w:rsidR="00146C1C" w:rsidRPr="002B6AB5" w:rsidRDefault="00146C1C" w:rsidP="0001477B">
            <w:pPr>
              <w:spacing w:after="200" w:line="276" w:lineRule="auto"/>
              <w:jc w:val="center"/>
              <w:rPr>
                <w:rFonts w:ascii="Calibri" w:eastAsia="Calibri" w:hAnsi="Calibri" w:cs="Arial"/>
                <w:noProof/>
                <w:color w:val="000000"/>
                <w:sz w:val="20"/>
                <w:szCs w:val="20"/>
              </w:rPr>
            </w:pPr>
            <w:r>
              <w:rPr>
                <w:noProof/>
                <w:color w:val="000000"/>
                <w:sz w:val="20"/>
              </w:rPr>
              <w:t> </w:t>
            </w:r>
          </w:p>
        </w:tc>
        <w:tc>
          <w:tcPr>
            <w:tcW w:w="575" w:type="dxa"/>
            <w:tcBorders>
              <w:top w:val="single" w:sz="4" w:space="0" w:color="auto"/>
              <w:left w:val="nil"/>
              <w:bottom w:val="single" w:sz="4" w:space="0" w:color="auto"/>
              <w:right w:val="single" w:sz="4" w:space="0" w:color="auto"/>
            </w:tcBorders>
            <w:shd w:val="clear" w:color="auto" w:fill="C6EFCE"/>
            <w:noWrap/>
          </w:tcPr>
          <w:p w14:paraId="2EF23EDC" w14:textId="77777777" w:rsidR="00146C1C" w:rsidRPr="002B6AB5" w:rsidRDefault="00146C1C" w:rsidP="0001477B">
            <w:pPr>
              <w:spacing w:after="200" w:line="276" w:lineRule="auto"/>
              <w:jc w:val="center"/>
              <w:rPr>
                <w:rFonts w:eastAsia="Calibri" w:cstheme="minorHAnsi"/>
                <w:noProof/>
                <w:sz w:val="20"/>
                <w:szCs w:val="20"/>
              </w:rPr>
            </w:pPr>
            <w:r>
              <w:rPr>
                <w:noProof/>
                <w:color w:val="000000"/>
                <w:sz w:val="20"/>
              </w:rPr>
              <w:t>1.</w:t>
            </w:r>
          </w:p>
        </w:tc>
        <w:tc>
          <w:tcPr>
            <w:tcW w:w="850" w:type="dxa"/>
            <w:tcBorders>
              <w:top w:val="single" w:sz="4" w:space="0" w:color="auto"/>
              <w:left w:val="nil"/>
              <w:bottom w:val="single" w:sz="4" w:space="0" w:color="auto"/>
              <w:right w:val="single" w:sz="4" w:space="0" w:color="auto"/>
            </w:tcBorders>
            <w:shd w:val="clear" w:color="auto" w:fill="C6EFCE"/>
            <w:noWrap/>
          </w:tcPr>
          <w:p w14:paraId="1E62525E" w14:textId="77777777" w:rsidR="00146C1C" w:rsidRPr="002B6AB5" w:rsidRDefault="00146C1C" w:rsidP="0001477B">
            <w:pPr>
              <w:spacing w:after="200" w:line="276" w:lineRule="auto"/>
              <w:jc w:val="center"/>
              <w:rPr>
                <w:rFonts w:eastAsia="Calibri" w:cstheme="minorHAnsi"/>
                <w:noProof/>
                <w:sz w:val="20"/>
                <w:szCs w:val="20"/>
              </w:rPr>
            </w:pPr>
            <w:r>
              <w:rPr>
                <w:noProof/>
                <w:color w:val="000000"/>
                <w:sz w:val="20"/>
              </w:rPr>
              <w:t>2025.</w:t>
            </w:r>
          </w:p>
        </w:tc>
        <w:tc>
          <w:tcPr>
            <w:tcW w:w="3754" w:type="dxa"/>
            <w:tcBorders>
              <w:top w:val="single" w:sz="4" w:space="0" w:color="auto"/>
              <w:left w:val="nil"/>
              <w:bottom w:val="single" w:sz="4" w:space="0" w:color="auto"/>
              <w:right w:val="single" w:sz="4" w:space="0" w:color="auto"/>
            </w:tcBorders>
            <w:shd w:val="clear" w:color="auto" w:fill="C6EFCE"/>
            <w:noWrap/>
          </w:tcPr>
          <w:p w14:paraId="3CFEAED3" w14:textId="269FE3F2" w:rsidR="00146C1C" w:rsidRPr="002B6AB5" w:rsidRDefault="00482668" w:rsidP="0001477B">
            <w:pPr>
              <w:spacing w:after="200" w:line="276" w:lineRule="auto"/>
              <w:rPr>
                <w:rFonts w:eastAsia="Calibri" w:cstheme="minorHAnsi"/>
                <w:noProof/>
                <w:sz w:val="20"/>
                <w:szCs w:val="20"/>
              </w:rPr>
            </w:pPr>
            <w:r>
              <w:rPr>
                <w:noProof/>
                <w:color w:val="000000"/>
                <w:sz w:val="20"/>
              </w:rPr>
              <w:t>Planom i programom razvoja vodika analizirat će se najprikladnije primjene vodika u dekarbonizaciji hrvatskog gospodarstva, s naglaskom na primjeni vodika za dekarbonizaciju sektora koje nije jednostavno dekarbonizirati, kao što su industrija (procesi na visokim temperaturama), teška vozila, pomorski i željeznički promet prije uzimanja u obzir drugih sektora, bez narušavanja funkcioniranja unutarnjeg tržišta. Plan i program razvoja vodika bit će jedan od temelja za sve buduće propise o prijevozu i skladištenju vodika.</w:t>
            </w:r>
          </w:p>
        </w:tc>
      </w:tr>
      <w:tr w:rsidR="003D68A4" w:rsidRPr="004E2DDD" w14:paraId="10420476"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55191C23" w14:textId="3D4E6E09" w:rsidR="00146C1C" w:rsidRPr="00D85183" w:rsidRDefault="00CB6DFF" w:rsidP="0001477B">
            <w:pPr>
              <w:spacing w:after="0" w:line="276" w:lineRule="auto"/>
              <w:jc w:val="center"/>
              <w:rPr>
                <w:noProof/>
              </w:rPr>
            </w:pPr>
            <w:r>
              <w:rPr>
                <w:noProof/>
                <w:sz w:val="20"/>
              </w:rPr>
              <w:t>409</w:t>
            </w:r>
          </w:p>
        </w:tc>
        <w:tc>
          <w:tcPr>
            <w:tcW w:w="993" w:type="dxa"/>
            <w:tcBorders>
              <w:top w:val="single" w:sz="4" w:space="0" w:color="auto"/>
              <w:left w:val="nil"/>
              <w:bottom w:val="single" w:sz="4" w:space="0" w:color="auto"/>
              <w:right w:val="single" w:sz="4" w:space="0" w:color="auto"/>
            </w:tcBorders>
            <w:shd w:val="clear" w:color="auto" w:fill="C6EFCE"/>
            <w:noWrap/>
          </w:tcPr>
          <w:p w14:paraId="3F5949F3" w14:textId="7654F880" w:rsidR="00146C1C" w:rsidRPr="00B00BDB" w:rsidRDefault="00146C1C" w:rsidP="0001477B">
            <w:pPr>
              <w:spacing w:after="200" w:line="276" w:lineRule="auto"/>
              <w:jc w:val="center"/>
              <w:rPr>
                <w:noProof/>
                <w:color w:val="000000" w:themeColor="text1"/>
              </w:rPr>
            </w:pPr>
            <w:r>
              <w:rPr>
                <w:noProof/>
                <w:color w:val="000000" w:themeColor="text1"/>
                <w:sz w:val="20"/>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5F76C3F2"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noProof/>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6A47FE7E" w14:textId="77777777" w:rsidR="00146C1C" w:rsidRPr="004E2DDD" w:rsidRDefault="00146C1C" w:rsidP="0001477B">
            <w:pPr>
              <w:spacing w:after="200" w:line="276" w:lineRule="auto"/>
              <w:rPr>
                <w:rFonts w:ascii="Calibri" w:eastAsia="Calibri" w:hAnsi="Calibri" w:cs="Arial"/>
                <w:noProof/>
                <w:color w:val="000000"/>
                <w:sz w:val="20"/>
                <w:szCs w:val="20"/>
              </w:rPr>
            </w:pPr>
            <w:r>
              <w:rPr>
                <w:noProof/>
                <w:sz w:val="20"/>
              </w:rPr>
              <w:t>Sufinanciranje projekata vodika iz obnovljivih izvora u kontekstu projekta Dolina vodika Sjeverni Jadran</w:t>
            </w:r>
          </w:p>
        </w:tc>
        <w:tc>
          <w:tcPr>
            <w:tcW w:w="2193" w:type="dxa"/>
            <w:tcBorders>
              <w:top w:val="single" w:sz="4" w:space="0" w:color="auto"/>
              <w:left w:val="nil"/>
              <w:bottom w:val="single" w:sz="4" w:space="0" w:color="auto"/>
              <w:right w:val="single" w:sz="4" w:space="0" w:color="auto"/>
            </w:tcBorders>
            <w:shd w:val="clear" w:color="auto" w:fill="C6EFCE"/>
            <w:noWrap/>
          </w:tcPr>
          <w:p w14:paraId="66FB10F9" w14:textId="77777777" w:rsidR="00146C1C" w:rsidRPr="00BC0323" w:rsidRDefault="00146C1C" w:rsidP="0001477B">
            <w:pPr>
              <w:spacing w:after="200" w:line="276" w:lineRule="auto"/>
              <w:rPr>
                <w:rFonts w:ascii="Calibri" w:eastAsia="Calibri" w:hAnsi="Calibri" w:cs="Arial"/>
                <w:noProof/>
                <w:color w:val="000000"/>
                <w:sz w:val="20"/>
                <w:szCs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48C6FB32"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149F85BB"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46DA253C"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1</w:t>
            </w:r>
          </w:p>
        </w:tc>
        <w:tc>
          <w:tcPr>
            <w:tcW w:w="575" w:type="dxa"/>
            <w:tcBorders>
              <w:top w:val="single" w:sz="4" w:space="0" w:color="auto"/>
              <w:left w:val="nil"/>
              <w:bottom w:val="single" w:sz="4" w:space="0" w:color="auto"/>
              <w:right w:val="single" w:sz="4" w:space="0" w:color="auto"/>
            </w:tcBorders>
            <w:shd w:val="clear" w:color="auto" w:fill="C6EFCE"/>
            <w:noWrap/>
          </w:tcPr>
          <w:p w14:paraId="39D34185"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7885532B"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2DD4A03E" w14:textId="3D989E77" w:rsidR="00146C1C" w:rsidRPr="004E2DDD" w:rsidRDefault="00146C1C" w:rsidP="0001477B">
            <w:pPr>
              <w:spacing w:after="200" w:line="276" w:lineRule="auto"/>
              <w:rPr>
                <w:rFonts w:eastAsia="Calibri" w:cstheme="minorHAnsi"/>
                <w:noProof/>
                <w:sz w:val="20"/>
                <w:szCs w:val="20"/>
              </w:rPr>
            </w:pPr>
            <w:r>
              <w:rPr>
                <w:noProof/>
                <w:sz w:val="20"/>
              </w:rPr>
              <w:t>Na temelju javnog poziva za financiranje projekata vodika iz obnovljivih izvora u Republici Hrvatskoj u kontekstu projekta Dolina vodika Sjeverni Jadran u iznosu od 13 500 000 EUR mora biti dovršen najmanje jedan projekt.</w:t>
            </w:r>
          </w:p>
          <w:p w14:paraId="51143BAC" w14:textId="77777777"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Projekti moraju biti u skladu s uvjetima iz Direktive o energiji iz obnovljivih izvora (EU) 2018/2001 i relevantnih delegiranih akata (EU) 2023/1185 i (EU) 2023/1184.</w:t>
            </w:r>
          </w:p>
        </w:tc>
      </w:tr>
      <w:tr w:rsidR="003D68A4" w:rsidRPr="004E2DDD" w14:paraId="16DEFE92"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4FB1E793" w14:textId="3DFB8E21" w:rsidR="00146C1C" w:rsidRPr="00D85183" w:rsidRDefault="00CB6DFF" w:rsidP="0001477B">
            <w:pPr>
              <w:spacing w:after="0" w:line="276" w:lineRule="auto"/>
              <w:jc w:val="center"/>
              <w:rPr>
                <w:noProof/>
              </w:rPr>
            </w:pPr>
            <w:r>
              <w:rPr>
                <w:noProof/>
                <w:sz w:val="20"/>
              </w:rPr>
              <w:t>410</w:t>
            </w:r>
          </w:p>
        </w:tc>
        <w:tc>
          <w:tcPr>
            <w:tcW w:w="993" w:type="dxa"/>
            <w:tcBorders>
              <w:top w:val="single" w:sz="4" w:space="0" w:color="auto"/>
              <w:left w:val="nil"/>
              <w:bottom w:val="single" w:sz="4" w:space="0" w:color="auto"/>
              <w:right w:val="single" w:sz="4" w:space="0" w:color="auto"/>
            </w:tcBorders>
            <w:shd w:val="clear" w:color="auto" w:fill="C6EFCE"/>
            <w:noWrap/>
          </w:tcPr>
          <w:p w14:paraId="770DE1E5" w14:textId="663F32CC" w:rsidR="00146C1C" w:rsidRPr="00B00BDB" w:rsidRDefault="00146C1C" w:rsidP="0001477B">
            <w:pPr>
              <w:spacing w:after="200" w:line="276" w:lineRule="auto"/>
              <w:jc w:val="center"/>
              <w:rPr>
                <w:noProof/>
                <w:color w:val="000000" w:themeColor="text1"/>
              </w:rPr>
            </w:pPr>
            <w:r>
              <w:rPr>
                <w:noProof/>
                <w:color w:val="000000" w:themeColor="text1"/>
                <w:sz w:val="20"/>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6A9FF2D1"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noProof/>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15333A08" w14:textId="77777777" w:rsidR="00146C1C" w:rsidRPr="004E2DDD" w:rsidRDefault="00146C1C" w:rsidP="0001477B">
            <w:pPr>
              <w:spacing w:after="200" w:line="276" w:lineRule="auto"/>
              <w:rPr>
                <w:rFonts w:ascii="Calibri" w:eastAsia="Calibri" w:hAnsi="Calibri" w:cs="Arial"/>
                <w:noProof/>
                <w:color w:val="000000"/>
                <w:sz w:val="20"/>
                <w:szCs w:val="20"/>
              </w:rPr>
            </w:pPr>
            <w:r>
              <w:rPr>
                <w:noProof/>
                <w:sz w:val="20"/>
              </w:rPr>
              <w:t>Adaptacija pet dizelskih lokomotiva za pogon na vodik</w:t>
            </w:r>
          </w:p>
        </w:tc>
        <w:tc>
          <w:tcPr>
            <w:tcW w:w="2193" w:type="dxa"/>
            <w:tcBorders>
              <w:top w:val="single" w:sz="4" w:space="0" w:color="auto"/>
              <w:left w:val="nil"/>
              <w:bottom w:val="single" w:sz="4" w:space="0" w:color="auto"/>
              <w:right w:val="single" w:sz="4" w:space="0" w:color="auto"/>
            </w:tcBorders>
            <w:shd w:val="clear" w:color="auto" w:fill="C6EFCE"/>
            <w:noWrap/>
          </w:tcPr>
          <w:p w14:paraId="69461347" w14:textId="77777777" w:rsidR="00146C1C" w:rsidRPr="00BC0323" w:rsidRDefault="00146C1C" w:rsidP="0001477B">
            <w:pPr>
              <w:spacing w:after="200" w:line="276" w:lineRule="auto"/>
              <w:rPr>
                <w:rFonts w:ascii="Calibri" w:eastAsia="Calibri" w:hAnsi="Calibri" w:cs="Arial"/>
                <w:noProof/>
                <w:color w:val="000000"/>
                <w:sz w:val="20"/>
                <w:szCs w:val="20"/>
                <w:lang w:val="fr-BE"/>
              </w:rPr>
            </w:pPr>
          </w:p>
        </w:tc>
        <w:tc>
          <w:tcPr>
            <w:tcW w:w="917" w:type="dxa"/>
            <w:tcBorders>
              <w:top w:val="single" w:sz="4" w:space="0" w:color="auto"/>
              <w:left w:val="nil"/>
              <w:bottom w:val="single" w:sz="4" w:space="0" w:color="auto"/>
              <w:right w:val="single" w:sz="4" w:space="0" w:color="auto"/>
            </w:tcBorders>
            <w:shd w:val="clear" w:color="auto" w:fill="C6EFCE"/>
            <w:noWrap/>
          </w:tcPr>
          <w:p w14:paraId="405E8AD9"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06016A92"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7F621E4E"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5.</w:t>
            </w:r>
          </w:p>
        </w:tc>
        <w:tc>
          <w:tcPr>
            <w:tcW w:w="575" w:type="dxa"/>
            <w:tcBorders>
              <w:top w:val="single" w:sz="4" w:space="0" w:color="auto"/>
              <w:left w:val="nil"/>
              <w:bottom w:val="single" w:sz="4" w:space="0" w:color="auto"/>
              <w:right w:val="single" w:sz="4" w:space="0" w:color="auto"/>
            </w:tcBorders>
            <w:shd w:val="clear" w:color="auto" w:fill="C6EFCE"/>
            <w:noWrap/>
          </w:tcPr>
          <w:p w14:paraId="72318A2C"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718EB34A"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0A812116" w14:textId="7366C53F" w:rsidR="00146C1C" w:rsidRPr="004E2DDD" w:rsidRDefault="00146C1C" w:rsidP="0001477B">
            <w:pPr>
              <w:spacing w:after="200" w:line="276" w:lineRule="auto"/>
              <w:rPr>
                <w:rFonts w:ascii="Calibri" w:eastAsia="Calibri" w:hAnsi="Calibri" w:cs="Arial"/>
                <w:noProof/>
                <w:color w:val="000000"/>
                <w:sz w:val="20"/>
                <w:szCs w:val="20"/>
              </w:rPr>
            </w:pPr>
            <w:r>
              <w:rPr>
                <w:noProof/>
                <w:sz w:val="20"/>
              </w:rPr>
              <w:t xml:space="preserve">Najmanje pet dizelskih lokomotiva adaptirat će se za pogon na vodik. </w:t>
            </w:r>
          </w:p>
        </w:tc>
      </w:tr>
      <w:tr w:rsidR="003D68A4" w:rsidRPr="004E2DDD" w14:paraId="6874E296"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3D8D5A6" w14:textId="67355B6F" w:rsidR="00146C1C" w:rsidRPr="00D85183" w:rsidRDefault="00CB6DFF" w:rsidP="0001477B">
            <w:pPr>
              <w:spacing w:after="0" w:line="276" w:lineRule="auto"/>
              <w:jc w:val="center"/>
              <w:rPr>
                <w:noProof/>
              </w:rPr>
            </w:pPr>
            <w:r>
              <w:rPr>
                <w:noProof/>
                <w:sz w:val="20"/>
              </w:rPr>
              <w:t>411</w:t>
            </w:r>
          </w:p>
        </w:tc>
        <w:tc>
          <w:tcPr>
            <w:tcW w:w="993" w:type="dxa"/>
            <w:tcBorders>
              <w:top w:val="single" w:sz="4" w:space="0" w:color="auto"/>
              <w:left w:val="nil"/>
              <w:bottom w:val="single" w:sz="4" w:space="0" w:color="auto"/>
              <w:right w:val="single" w:sz="4" w:space="0" w:color="auto"/>
            </w:tcBorders>
            <w:shd w:val="clear" w:color="auto" w:fill="C6EFCE"/>
            <w:noWrap/>
          </w:tcPr>
          <w:p w14:paraId="3088F408" w14:textId="2B7AE4C4" w:rsidR="00146C1C" w:rsidRPr="00B00BDB" w:rsidRDefault="00146C1C" w:rsidP="0001477B">
            <w:pPr>
              <w:spacing w:after="200" w:line="276" w:lineRule="auto"/>
              <w:jc w:val="center"/>
              <w:rPr>
                <w:noProof/>
                <w:color w:val="000000" w:themeColor="text1"/>
              </w:rPr>
            </w:pPr>
            <w:r>
              <w:rPr>
                <w:noProof/>
                <w:color w:val="000000" w:themeColor="text1"/>
                <w:sz w:val="20"/>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1106AFA0"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noProof/>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488C4300" w14:textId="77777777" w:rsidR="00146C1C" w:rsidRPr="004E2DDD" w:rsidRDefault="00146C1C" w:rsidP="0001477B">
            <w:pPr>
              <w:spacing w:after="200" w:line="276" w:lineRule="auto"/>
              <w:rPr>
                <w:rFonts w:ascii="Calibri" w:eastAsia="Calibri" w:hAnsi="Calibri" w:cs="Arial"/>
                <w:noProof/>
                <w:color w:val="000000"/>
                <w:sz w:val="20"/>
                <w:szCs w:val="20"/>
              </w:rPr>
            </w:pPr>
            <w:r>
              <w:rPr>
                <w:noProof/>
                <w:sz w:val="20"/>
              </w:rPr>
              <w:t>Punionice vodika</w:t>
            </w:r>
          </w:p>
        </w:tc>
        <w:tc>
          <w:tcPr>
            <w:tcW w:w="2193" w:type="dxa"/>
            <w:tcBorders>
              <w:top w:val="single" w:sz="4" w:space="0" w:color="auto"/>
              <w:left w:val="nil"/>
              <w:bottom w:val="single" w:sz="4" w:space="0" w:color="auto"/>
              <w:right w:val="single" w:sz="4" w:space="0" w:color="auto"/>
            </w:tcBorders>
            <w:shd w:val="clear" w:color="auto" w:fill="C6EFCE"/>
            <w:noWrap/>
          </w:tcPr>
          <w:p w14:paraId="47F3217B" w14:textId="77777777" w:rsidR="00146C1C" w:rsidRPr="004E2DDD" w:rsidRDefault="00146C1C" w:rsidP="0001477B">
            <w:pPr>
              <w:spacing w:after="200" w:line="276" w:lineRule="auto"/>
              <w:rPr>
                <w:rFonts w:ascii="Calibri" w:eastAsia="Calibri" w:hAnsi="Calibri" w:cs="Arial"/>
                <w:noProof/>
                <w:color w:val="000000"/>
                <w:sz w:val="20"/>
                <w:szCs w:val="20"/>
                <w:lang w:val="en-IE"/>
              </w:rPr>
            </w:pPr>
          </w:p>
        </w:tc>
        <w:tc>
          <w:tcPr>
            <w:tcW w:w="917" w:type="dxa"/>
            <w:tcBorders>
              <w:top w:val="single" w:sz="4" w:space="0" w:color="auto"/>
              <w:left w:val="nil"/>
              <w:bottom w:val="single" w:sz="4" w:space="0" w:color="auto"/>
              <w:right w:val="single" w:sz="4" w:space="0" w:color="auto"/>
            </w:tcBorders>
            <w:shd w:val="clear" w:color="auto" w:fill="C6EFCE"/>
            <w:noWrap/>
          </w:tcPr>
          <w:p w14:paraId="5558344A"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33DAD519"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6D2DEE3B"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5.</w:t>
            </w:r>
          </w:p>
        </w:tc>
        <w:tc>
          <w:tcPr>
            <w:tcW w:w="575" w:type="dxa"/>
            <w:tcBorders>
              <w:top w:val="single" w:sz="4" w:space="0" w:color="auto"/>
              <w:left w:val="nil"/>
              <w:bottom w:val="single" w:sz="4" w:space="0" w:color="auto"/>
              <w:right w:val="single" w:sz="4" w:space="0" w:color="auto"/>
            </w:tcBorders>
            <w:shd w:val="clear" w:color="auto" w:fill="C6EFCE"/>
            <w:noWrap/>
          </w:tcPr>
          <w:p w14:paraId="16193895"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609C7C60"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6E5C5D51" w14:textId="77777777"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Izgradit će se najmanje pet punionica vodika za autobuse, vlakove i/ili plovila za pomorski promet.</w:t>
            </w:r>
          </w:p>
        </w:tc>
      </w:tr>
      <w:tr w:rsidR="003D68A4" w:rsidRPr="004E2DDD" w14:paraId="037D71C5"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67257F90" w14:textId="67618D5C" w:rsidR="00146C1C" w:rsidRPr="00D85183" w:rsidRDefault="00CB6DFF" w:rsidP="0001477B">
            <w:pPr>
              <w:spacing w:after="0" w:line="276" w:lineRule="auto"/>
              <w:jc w:val="center"/>
              <w:rPr>
                <w:noProof/>
              </w:rPr>
            </w:pPr>
            <w:r>
              <w:rPr>
                <w:noProof/>
                <w:sz w:val="20"/>
              </w:rPr>
              <w:t>412</w:t>
            </w:r>
          </w:p>
        </w:tc>
        <w:tc>
          <w:tcPr>
            <w:tcW w:w="993" w:type="dxa"/>
            <w:tcBorders>
              <w:top w:val="single" w:sz="4" w:space="0" w:color="auto"/>
              <w:left w:val="nil"/>
              <w:bottom w:val="single" w:sz="4" w:space="0" w:color="auto"/>
              <w:right w:val="single" w:sz="4" w:space="0" w:color="auto"/>
            </w:tcBorders>
            <w:shd w:val="clear" w:color="auto" w:fill="C6EFCE"/>
            <w:noWrap/>
          </w:tcPr>
          <w:p w14:paraId="249BA6CF" w14:textId="37199744" w:rsidR="00146C1C" w:rsidRPr="00B00BDB" w:rsidRDefault="00146C1C" w:rsidP="0001477B">
            <w:pPr>
              <w:spacing w:after="200" w:line="276" w:lineRule="auto"/>
              <w:jc w:val="center"/>
              <w:rPr>
                <w:noProof/>
                <w:color w:val="000000" w:themeColor="text1"/>
              </w:rPr>
            </w:pPr>
            <w:r>
              <w:rPr>
                <w:noProof/>
                <w:color w:val="000000" w:themeColor="text1"/>
                <w:sz w:val="20"/>
              </w:rPr>
              <w:t>C7.1. R1-I3</w:t>
            </w:r>
          </w:p>
        </w:tc>
        <w:tc>
          <w:tcPr>
            <w:tcW w:w="850" w:type="dxa"/>
            <w:tcBorders>
              <w:top w:val="single" w:sz="4" w:space="0" w:color="auto"/>
              <w:left w:val="nil"/>
              <w:bottom w:val="single" w:sz="4" w:space="0" w:color="auto"/>
              <w:right w:val="single" w:sz="4" w:space="0" w:color="auto"/>
            </w:tcBorders>
            <w:shd w:val="clear" w:color="auto" w:fill="C6EFCE"/>
            <w:noWrap/>
          </w:tcPr>
          <w:p w14:paraId="025B1178"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noProof/>
                <w:sz w:val="20"/>
              </w:rPr>
              <w:t>Ključna etapa</w:t>
            </w:r>
          </w:p>
        </w:tc>
        <w:tc>
          <w:tcPr>
            <w:tcW w:w="2410" w:type="dxa"/>
            <w:tcBorders>
              <w:top w:val="single" w:sz="4" w:space="0" w:color="auto"/>
              <w:left w:val="nil"/>
              <w:bottom w:val="single" w:sz="4" w:space="0" w:color="auto"/>
              <w:right w:val="single" w:sz="4" w:space="0" w:color="auto"/>
            </w:tcBorders>
            <w:shd w:val="clear" w:color="auto" w:fill="C6EFCE"/>
            <w:noWrap/>
          </w:tcPr>
          <w:p w14:paraId="7AB9D9E5" w14:textId="77777777" w:rsidR="00146C1C" w:rsidRPr="004E2DDD" w:rsidRDefault="00146C1C" w:rsidP="0001477B">
            <w:pPr>
              <w:spacing w:after="200" w:line="276" w:lineRule="auto"/>
              <w:rPr>
                <w:rFonts w:ascii="Calibri" w:eastAsia="Calibri" w:hAnsi="Calibri" w:cs="Arial"/>
                <w:noProof/>
                <w:color w:val="000000"/>
                <w:sz w:val="20"/>
                <w:szCs w:val="20"/>
              </w:rPr>
            </w:pPr>
            <w:r>
              <w:rPr>
                <w:noProof/>
                <w:sz w:val="20"/>
              </w:rPr>
              <w:t>Plan razvoja geotermalnog potencijala</w:t>
            </w:r>
          </w:p>
        </w:tc>
        <w:tc>
          <w:tcPr>
            <w:tcW w:w="2193" w:type="dxa"/>
            <w:tcBorders>
              <w:top w:val="single" w:sz="4" w:space="0" w:color="auto"/>
              <w:left w:val="nil"/>
              <w:bottom w:val="single" w:sz="4" w:space="0" w:color="auto"/>
              <w:right w:val="single" w:sz="4" w:space="0" w:color="auto"/>
            </w:tcBorders>
            <w:shd w:val="clear" w:color="auto" w:fill="C6EFCE"/>
            <w:noWrap/>
          </w:tcPr>
          <w:p w14:paraId="46E913F7" w14:textId="77777777" w:rsidR="00146C1C" w:rsidRPr="004E2DDD" w:rsidRDefault="00146C1C" w:rsidP="0001477B">
            <w:pPr>
              <w:spacing w:after="200" w:line="276" w:lineRule="auto"/>
              <w:rPr>
                <w:rFonts w:ascii="Calibri" w:eastAsia="Calibri" w:hAnsi="Calibri" w:cs="Arial"/>
                <w:noProof/>
                <w:color w:val="000000"/>
                <w:sz w:val="20"/>
                <w:szCs w:val="20"/>
              </w:rPr>
            </w:pPr>
            <w:r>
              <w:rPr>
                <w:noProof/>
                <w:sz w:val="20"/>
              </w:rPr>
              <w:t>Ministarstvo gospodarstva i održivog razvoja donijelo i objavilo Plan razvoja geotermalnog potencijala</w:t>
            </w:r>
          </w:p>
        </w:tc>
        <w:tc>
          <w:tcPr>
            <w:tcW w:w="917" w:type="dxa"/>
            <w:tcBorders>
              <w:top w:val="single" w:sz="4" w:space="0" w:color="auto"/>
              <w:left w:val="nil"/>
              <w:bottom w:val="single" w:sz="4" w:space="0" w:color="auto"/>
              <w:right w:val="single" w:sz="4" w:space="0" w:color="auto"/>
            </w:tcBorders>
            <w:shd w:val="clear" w:color="auto" w:fill="C6EFCE"/>
            <w:noWrap/>
          </w:tcPr>
          <w:p w14:paraId="76AFB92D" w14:textId="77777777" w:rsidR="00146C1C" w:rsidRPr="004E2DDD" w:rsidRDefault="00146C1C" w:rsidP="0001477B">
            <w:pPr>
              <w:spacing w:after="200" w:line="276" w:lineRule="auto"/>
              <w:jc w:val="center"/>
              <w:rPr>
                <w:rFonts w:ascii="Calibri" w:eastAsia="Calibri" w:hAnsi="Calibri" w:cs="Arial"/>
                <w:noProof/>
                <w:color w:val="000000"/>
                <w:sz w:val="20"/>
                <w:szCs w:val="20"/>
                <w:lang w:val="en-IE"/>
              </w:rPr>
            </w:pPr>
          </w:p>
        </w:tc>
        <w:tc>
          <w:tcPr>
            <w:tcW w:w="851" w:type="dxa"/>
            <w:tcBorders>
              <w:top w:val="single" w:sz="4" w:space="0" w:color="auto"/>
              <w:left w:val="nil"/>
              <w:bottom w:val="single" w:sz="4" w:space="0" w:color="auto"/>
              <w:right w:val="single" w:sz="4" w:space="0" w:color="auto"/>
            </w:tcBorders>
            <w:shd w:val="clear" w:color="auto" w:fill="C6EFCE"/>
            <w:noWrap/>
          </w:tcPr>
          <w:p w14:paraId="4E5FFA5E" w14:textId="77777777" w:rsidR="00146C1C" w:rsidRPr="004E2DDD" w:rsidRDefault="00146C1C" w:rsidP="0001477B">
            <w:pPr>
              <w:spacing w:after="200" w:line="276" w:lineRule="auto"/>
              <w:jc w:val="center"/>
              <w:rPr>
                <w:rFonts w:ascii="Calibri" w:eastAsia="Calibri" w:hAnsi="Calibri" w:cs="Arial"/>
                <w:noProof/>
                <w:color w:val="000000"/>
                <w:sz w:val="20"/>
                <w:szCs w:val="20"/>
                <w:lang w:val="en-IE"/>
              </w:rPr>
            </w:pPr>
          </w:p>
        </w:tc>
        <w:tc>
          <w:tcPr>
            <w:tcW w:w="709" w:type="dxa"/>
            <w:tcBorders>
              <w:top w:val="single" w:sz="4" w:space="0" w:color="auto"/>
              <w:left w:val="nil"/>
              <w:bottom w:val="single" w:sz="4" w:space="0" w:color="auto"/>
              <w:right w:val="single" w:sz="4" w:space="0" w:color="auto"/>
            </w:tcBorders>
            <w:shd w:val="clear" w:color="auto" w:fill="C6EFCE"/>
            <w:noWrap/>
          </w:tcPr>
          <w:p w14:paraId="5314CE46" w14:textId="77777777" w:rsidR="00146C1C" w:rsidRPr="004E2DDD" w:rsidRDefault="00146C1C" w:rsidP="0001477B">
            <w:pPr>
              <w:spacing w:after="200" w:line="276" w:lineRule="auto"/>
              <w:jc w:val="center"/>
              <w:rPr>
                <w:rFonts w:ascii="Calibri" w:eastAsia="Calibri" w:hAnsi="Calibri" w:cs="Arial"/>
                <w:noProof/>
                <w:color w:val="000000"/>
                <w:sz w:val="20"/>
                <w:szCs w:val="20"/>
                <w:lang w:val="en-IE"/>
              </w:rPr>
            </w:pPr>
          </w:p>
        </w:tc>
        <w:tc>
          <w:tcPr>
            <w:tcW w:w="575" w:type="dxa"/>
            <w:tcBorders>
              <w:top w:val="single" w:sz="4" w:space="0" w:color="auto"/>
              <w:left w:val="nil"/>
              <w:bottom w:val="single" w:sz="4" w:space="0" w:color="auto"/>
              <w:right w:val="single" w:sz="4" w:space="0" w:color="auto"/>
            </w:tcBorders>
            <w:shd w:val="clear" w:color="auto" w:fill="C6EFCE"/>
            <w:noWrap/>
          </w:tcPr>
          <w:p w14:paraId="603A435F"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1.</w:t>
            </w:r>
          </w:p>
        </w:tc>
        <w:tc>
          <w:tcPr>
            <w:tcW w:w="850" w:type="dxa"/>
            <w:tcBorders>
              <w:top w:val="single" w:sz="4" w:space="0" w:color="auto"/>
              <w:left w:val="nil"/>
              <w:bottom w:val="single" w:sz="4" w:space="0" w:color="auto"/>
              <w:right w:val="single" w:sz="4" w:space="0" w:color="auto"/>
            </w:tcBorders>
            <w:shd w:val="clear" w:color="auto" w:fill="C6EFCE"/>
            <w:noWrap/>
          </w:tcPr>
          <w:p w14:paraId="36377B97"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2024.</w:t>
            </w:r>
          </w:p>
        </w:tc>
        <w:tc>
          <w:tcPr>
            <w:tcW w:w="3754" w:type="dxa"/>
            <w:tcBorders>
              <w:top w:val="single" w:sz="4" w:space="0" w:color="auto"/>
              <w:left w:val="nil"/>
              <w:bottom w:val="single" w:sz="4" w:space="0" w:color="auto"/>
              <w:right w:val="single" w:sz="4" w:space="0" w:color="auto"/>
            </w:tcBorders>
            <w:shd w:val="clear" w:color="auto" w:fill="C6EFCE"/>
            <w:noWrap/>
          </w:tcPr>
          <w:p w14:paraId="098D0ECD" w14:textId="745D2CEC" w:rsidR="00146C1C" w:rsidRPr="004E2DDD" w:rsidRDefault="00146C1C" w:rsidP="0001477B">
            <w:pPr>
              <w:spacing w:after="200" w:line="276" w:lineRule="auto"/>
              <w:rPr>
                <w:rFonts w:ascii="Calibri" w:eastAsia="Calibri" w:hAnsi="Calibri" w:cs="Arial"/>
                <w:noProof/>
                <w:color w:val="000000"/>
                <w:sz w:val="20"/>
                <w:szCs w:val="20"/>
              </w:rPr>
            </w:pPr>
            <w:r>
              <w:rPr>
                <w:noProof/>
                <w:sz w:val="20"/>
              </w:rPr>
              <w:t>Donijet će se i objaviti plan razvoja geotermalnog potencijala. Planom će se odrediti područja u Republici Hrvatskoj na kojima se očekuje istraživanje, razvoj i iskorištavanje geotermalnog potencijala.</w:t>
            </w:r>
          </w:p>
        </w:tc>
      </w:tr>
      <w:tr w:rsidR="003D68A4" w:rsidRPr="004E2DDD" w14:paraId="3D5B4149"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E8234E1" w14:textId="0691F409" w:rsidR="00146C1C" w:rsidRPr="00D85183" w:rsidRDefault="00CB6DFF" w:rsidP="0001477B">
            <w:pPr>
              <w:spacing w:after="0" w:line="276" w:lineRule="auto"/>
              <w:jc w:val="center"/>
              <w:rPr>
                <w:noProof/>
              </w:rPr>
            </w:pPr>
            <w:r>
              <w:rPr>
                <w:noProof/>
                <w:sz w:val="20"/>
              </w:rPr>
              <w:t>413</w:t>
            </w:r>
          </w:p>
        </w:tc>
        <w:tc>
          <w:tcPr>
            <w:tcW w:w="993" w:type="dxa"/>
            <w:tcBorders>
              <w:top w:val="single" w:sz="4" w:space="0" w:color="auto"/>
              <w:left w:val="nil"/>
              <w:bottom w:val="single" w:sz="4" w:space="0" w:color="auto"/>
              <w:right w:val="single" w:sz="4" w:space="0" w:color="auto"/>
            </w:tcBorders>
            <w:shd w:val="clear" w:color="auto" w:fill="C6EFCE"/>
            <w:noWrap/>
          </w:tcPr>
          <w:p w14:paraId="6433A348" w14:textId="2B7E1A7A" w:rsidR="00146C1C" w:rsidRPr="00B00BDB" w:rsidRDefault="00146C1C" w:rsidP="0001477B">
            <w:pPr>
              <w:spacing w:after="200" w:line="276" w:lineRule="auto"/>
              <w:jc w:val="center"/>
              <w:rPr>
                <w:noProof/>
                <w:color w:val="000000" w:themeColor="text1"/>
              </w:rPr>
            </w:pPr>
            <w:r>
              <w:rPr>
                <w:noProof/>
                <w:color w:val="000000" w:themeColor="text1"/>
                <w:sz w:val="20"/>
              </w:rPr>
              <w:t>C7.1. R1-I3</w:t>
            </w:r>
          </w:p>
        </w:tc>
        <w:tc>
          <w:tcPr>
            <w:tcW w:w="850" w:type="dxa"/>
            <w:tcBorders>
              <w:top w:val="single" w:sz="4" w:space="0" w:color="auto"/>
              <w:left w:val="nil"/>
              <w:bottom w:val="single" w:sz="4" w:space="0" w:color="auto"/>
              <w:right w:val="single" w:sz="4" w:space="0" w:color="auto"/>
            </w:tcBorders>
            <w:shd w:val="clear" w:color="auto" w:fill="C6EFCE"/>
            <w:noWrap/>
          </w:tcPr>
          <w:p w14:paraId="2C0BF1A0"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noProof/>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61415340" w14:textId="77777777"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Provedeno geotermalno bušenje</w:t>
            </w:r>
          </w:p>
        </w:tc>
        <w:tc>
          <w:tcPr>
            <w:tcW w:w="2193" w:type="dxa"/>
            <w:tcBorders>
              <w:top w:val="single" w:sz="4" w:space="0" w:color="auto"/>
              <w:left w:val="nil"/>
              <w:bottom w:val="single" w:sz="4" w:space="0" w:color="auto"/>
              <w:right w:val="single" w:sz="4" w:space="0" w:color="auto"/>
            </w:tcBorders>
            <w:shd w:val="clear" w:color="auto" w:fill="C6EFCE"/>
            <w:noWrap/>
          </w:tcPr>
          <w:p w14:paraId="2223AD12" w14:textId="77777777" w:rsidR="00146C1C" w:rsidRPr="004E2DDD" w:rsidRDefault="00146C1C" w:rsidP="0001477B">
            <w:pPr>
              <w:spacing w:after="200" w:line="276" w:lineRule="auto"/>
              <w:rPr>
                <w:rFonts w:ascii="Calibri" w:eastAsia="Calibri" w:hAnsi="Calibri" w:cs="Arial"/>
                <w:noProof/>
                <w:color w:val="000000"/>
                <w:sz w:val="20"/>
                <w:szCs w:val="20"/>
                <w:lang w:val="en-IE"/>
              </w:rPr>
            </w:pPr>
          </w:p>
        </w:tc>
        <w:tc>
          <w:tcPr>
            <w:tcW w:w="917" w:type="dxa"/>
            <w:tcBorders>
              <w:top w:val="single" w:sz="4" w:space="0" w:color="auto"/>
              <w:left w:val="nil"/>
              <w:bottom w:val="single" w:sz="4" w:space="0" w:color="auto"/>
              <w:right w:val="single" w:sz="4" w:space="0" w:color="auto"/>
            </w:tcBorders>
            <w:shd w:val="clear" w:color="auto" w:fill="C6EFCE"/>
            <w:noWrap/>
          </w:tcPr>
          <w:p w14:paraId="4DB357D1"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rFonts w:ascii="Calibri" w:hAnsi="Calibri"/>
                <w:noProof/>
                <w:color w:val="000000"/>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743CC351"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5A1DE4D3"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w:t>
            </w:r>
          </w:p>
        </w:tc>
        <w:tc>
          <w:tcPr>
            <w:tcW w:w="575" w:type="dxa"/>
            <w:tcBorders>
              <w:top w:val="single" w:sz="4" w:space="0" w:color="auto"/>
              <w:left w:val="nil"/>
              <w:bottom w:val="single" w:sz="4" w:space="0" w:color="auto"/>
              <w:right w:val="single" w:sz="4" w:space="0" w:color="auto"/>
            </w:tcBorders>
            <w:shd w:val="clear" w:color="auto" w:fill="C6EFCE"/>
            <w:noWrap/>
          </w:tcPr>
          <w:p w14:paraId="47E049CB"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027BD41B" w14:textId="77777777" w:rsidR="00146C1C" w:rsidRPr="004E2DDD" w:rsidRDefault="00146C1C" w:rsidP="0001477B">
            <w:pPr>
              <w:spacing w:after="200" w:line="276" w:lineRule="auto"/>
              <w:jc w:val="center"/>
              <w:rPr>
                <w:rFonts w:ascii="Calibri" w:eastAsia="Calibri" w:hAnsi="Calibri" w:cs="Arial"/>
                <w:noProof/>
                <w:color w:val="000000"/>
                <w:sz w:val="20"/>
                <w:szCs w:val="20"/>
              </w:rPr>
            </w:pPr>
            <w:r>
              <w:rPr>
                <w:noProof/>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6384BDBD" w14:textId="35915392"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Provest će se bušenje dviju geotermalnih bušotina za istraživanje na odabranoj lokaciji. </w:t>
            </w:r>
          </w:p>
          <w:p w14:paraId="766FE2C3" w14:textId="68F03665" w:rsidR="00146C1C" w:rsidRPr="004E2DDD" w:rsidRDefault="00146C1C" w:rsidP="0001477B">
            <w:pPr>
              <w:spacing w:after="200" w:line="276" w:lineRule="auto"/>
              <w:rPr>
                <w:rFonts w:ascii="Calibri" w:eastAsia="Calibri" w:hAnsi="Calibri" w:cs="Arial"/>
                <w:noProof/>
                <w:color w:val="000000"/>
                <w:sz w:val="20"/>
                <w:szCs w:val="20"/>
              </w:rPr>
            </w:pPr>
            <w:r>
              <w:rPr>
                <w:rFonts w:ascii="Calibri" w:hAnsi="Calibri"/>
                <w:noProof/>
                <w:color w:val="000000"/>
                <w:sz w:val="20"/>
              </w:rPr>
              <w:t xml:space="preserve">Sve aktivnosti u skladu su sa zahtjevima vodnog zakonodavstva EU-a kako je preuzeto u hrvatsko pravo. </w:t>
            </w:r>
            <w:r>
              <w:rPr>
                <w:rFonts w:ascii="Calibri" w:hAnsi="Calibri"/>
                <w:noProof/>
                <w:color w:val="000000"/>
                <w:sz w:val="20"/>
              </w:rPr>
              <w:br/>
              <w:t>Izrada bušotina ne uključuje istraživanje ni crpljenje nafte ili plina. U te se svrhe neće nabavljati ni koristiti oprema.</w:t>
            </w:r>
            <w:r>
              <w:rPr>
                <w:rFonts w:ascii="Calibri" w:hAnsi="Calibri"/>
                <w:noProof/>
                <w:color w:val="000000"/>
                <w:sz w:val="20"/>
              </w:rPr>
              <w:br/>
              <w:t xml:space="preserve">Osigurat će se da ispuštanje metana bude svedeno na najmanju moguću mjeru i da ostane znatno ispod praga od 20 000 tona CO2eq/godišnje (za što projekt mora proći pregled i detaljnu analizu kako bi se ublažile klimatske promjene, prema tehničkim smjernicama Europske komisije za pripremu infrastrukture za klimatske promjene u razdoblju 2021.–2027. (2021/C 373/01). Također se osigurava da geotermalno bušenje nema štetan utjecaj u smislu nestašice vode i smanjenja kvalitete vode. </w:t>
            </w:r>
            <w:r>
              <w:rPr>
                <w:rFonts w:ascii="Calibri" w:hAnsi="Calibri"/>
                <w:noProof/>
                <w:color w:val="000000"/>
                <w:sz w:val="20"/>
              </w:rPr>
              <w:br/>
              <w:t>Mjerom se ne predviđaju potpore centralnim toplinskim sustavima u kojima se koriste fosilni izvori energije ni ulaganja u postrojenja obuhvaćena područjem primjene EU-ova sustava za trgovanje emisijama (ETS).</w:t>
            </w:r>
          </w:p>
        </w:tc>
      </w:tr>
      <w:tr w:rsidR="003D68A4" w:rsidRPr="004E2DDD" w14:paraId="6FC55A16"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0E45D77" w14:textId="15877F8B" w:rsidR="00146C1C" w:rsidRPr="00D85183" w:rsidRDefault="00CB6DFF" w:rsidP="0001477B">
            <w:pPr>
              <w:spacing w:after="0" w:line="276" w:lineRule="auto"/>
              <w:jc w:val="center"/>
              <w:rPr>
                <w:noProof/>
                <w:sz w:val="20"/>
                <w:szCs w:val="20"/>
              </w:rPr>
            </w:pPr>
            <w:r>
              <w:rPr>
                <w:noProof/>
                <w:sz w:val="20"/>
              </w:rPr>
              <w:t>414</w:t>
            </w:r>
          </w:p>
        </w:tc>
        <w:tc>
          <w:tcPr>
            <w:tcW w:w="993" w:type="dxa"/>
            <w:tcBorders>
              <w:top w:val="single" w:sz="4" w:space="0" w:color="auto"/>
              <w:left w:val="nil"/>
              <w:bottom w:val="single" w:sz="4" w:space="0" w:color="auto"/>
              <w:right w:val="single" w:sz="4" w:space="0" w:color="auto"/>
            </w:tcBorders>
            <w:shd w:val="clear" w:color="auto" w:fill="C6EFCE"/>
            <w:noWrap/>
          </w:tcPr>
          <w:p w14:paraId="03E2972B" w14:textId="16C03CB2" w:rsidR="00146C1C" w:rsidRPr="00B00BDB" w:rsidRDefault="00146C1C" w:rsidP="0001477B">
            <w:pPr>
              <w:spacing w:after="200" w:line="276" w:lineRule="auto"/>
              <w:jc w:val="center"/>
              <w:rPr>
                <w:rFonts w:ascii="Times New Roman" w:eastAsia="Calibri" w:hAnsi="Times New Roman" w:cs="Times New Roman"/>
                <w:noProof/>
                <w:sz w:val="20"/>
                <w:szCs w:val="20"/>
              </w:rPr>
            </w:pPr>
            <w:r>
              <w:rPr>
                <w:noProof/>
                <w:color w:val="000000" w:themeColor="text1"/>
              </w:rPr>
              <w:t>C7.1 I1</w:t>
            </w:r>
          </w:p>
        </w:tc>
        <w:tc>
          <w:tcPr>
            <w:tcW w:w="850" w:type="dxa"/>
            <w:tcBorders>
              <w:top w:val="single" w:sz="4" w:space="0" w:color="auto"/>
              <w:left w:val="nil"/>
              <w:bottom w:val="single" w:sz="4" w:space="0" w:color="auto"/>
              <w:right w:val="single" w:sz="4" w:space="0" w:color="auto"/>
            </w:tcBorders>
            <w:shd w:val="clear" w:color="auto" w:fill="C6EFCE"/>
            <w:noWrap/>
          </w:tcPr>
          <w:p w14:paraId="26CE06B1" w14:textId="77777777" w:rsidR="00146C1C" w:rsidRPr="006A14EA" w:rsidRDefault="00146C1C" w:rsidP="0001477B">
            <w:pPr>
              <w:spacing w:after="200" w:line="276" w:lineRule="auto"/>
              <w:jc w:val="center"/>
              <w:rPr>
                <w:rFonts w:eastAsiaTheme="minorEastAsia"/>
                <w:noProof/>
                <w:sz w:val="20"/>
                <w:szCs w:val="20"/>
              </w:rPr>
            </w:pPr>
            <w:r>
              <w:rPr>
                <w:noProof/>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48E3855F" w14:textId="77777777" w:rsidR="00146C1C" w:rsidRPr="004E2DDD" w:rsidRDefault="00146C1C"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Nabavljena i puštena u rad 103 autobusa na alternativni pogon (električna energija i vodik) </w:t>
            </w:r>
          </w:p>
        </w:tc>
        <w:tc>
          <w:tcPr>
            <w:tcW w:w="2193" w:type="dxa"/>
            <w:tcBorders>
              <w:top w:val="single" w:sz="4" w:space="0" w:color="auto"/>
              <w:left w:val="nil"/>
              <w:bottom w:val="single" w:sz="4" w:space="0" w:color="auto"/>
              <w:right w:val="single" w:sz="4" w:space="0" w:color="auto"/>
            </w:tcBorders>
            <w:shd w:val="clear" w:color="auto" w:fill="C6EFCE"/>
            <w:noWrap/>
          </w:tcPr>
          <w:p w14:paraId="5B807BE1" w14:textId="77777777" w:rsidR="00146C1C" w:rsidRPr="004E2DDD" w:rsidRDefault="00146C1C"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 </w:t>
            </w:r>
          </w:p>
        </w:tc>
        <w:tc>
          <w:tcPr>
            <w:tcW w:w="917" w:type="dxa"/>
            <w:tcBorders>
              <w:top w:val="single" w:sz="4" w:space="0" w:color="auto"/>
              <w:left w:val="nil"/>
              <w:bottom w:val="single" w:sz="4" w:space="0" w:color="auto"/>
              <w:right w:val="single" w:sz="4" w:space="0" w:color="auto"/>
            </w:tcBorders>
            <w:shd w:val="clear" w:color="auto" w:fill="C6EFCE"/>
            <w:noWrap/>
          </w:tcPr>
          <w:p w14:paraId="6B1D55EE"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5F767A94"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5F4967FD"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103</w:t>
            </w:r>
          </w:p>
        </w:tc>
        <w:tc>
          <w:tcPr>
            <w:tcW w:w="575" w:type="dxa"/>
            <w:tcBorders>
              <w:top w:val="single" w:sz="4" w:space="0" w:color="auto"/>
              <w:left w:val="nil"/>
              <w:bottom w:val="single" w:sz="4" w:space="0" w:color="auto"/>
              <w:right w:val="single" w:sz="4" w:space="0" w:color="auto"/>
            </w:tcBorders>
            <w:shd w:val="clear" w:color="auto" w:fill="C6EFCE"/>
            <w:noWrap/>
          </w:tcPr>
          <w:p w14:paraId="1E274827"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6407C194"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189A3A90" w14:textId="77777777" w:rsidR="00146C1C" w:rsidRPr="004E2DDD" w:rsidRDefault="00146C1C"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 xml:space="preserve">Ulaganjem će se modernizirati vozni park autobusa kako bi se poboljšala kvaliteta pružanja usluga javnog prijevoza nabavom i puštanjem u rad dodatna 103 nova vozila na alternativni pogon (električna energija ili vodik) radi promicanja korištenja vozila s nultom stopom emisija, čime će se smanjiti emisije CO2 iz postojećih voznih parkova. </w:t>
            </w:r>
          </w:p>
        </w:tc>
      </w:tr>
      <w:tr w:rsidR="003D68A4" w:rsidRPr="004E2DDD" w14:paraId="5055BD74"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11DEB8B" w14:textId="53C4C35B" w:rsidR="00146C1C" w:rsidRPr="00D85183" w:rsidRDefault="00CB6DFF" w:rsidP="0001477B">
            <w:pPr>
              <w:spacing w:after="0" w:line="276" w:lineRule="auto"/>
              <w:jc w:val="center"/>
              <w:rPr>
                <w:noProof/>
                <w:sz w:val="20"/>
                <w:szCs w:val="20"/>
              </w:rPr>
            </w:pPr>
            <w:r>
              <w:rPr>
                <w:noProof/>
                <w:sz w:val="20"/>
              </w:rPr>
              <w:t>415</w:t>
            </w:r>
          </w:p>
        </w:tc>
        <w:tc>
          <w:tcPr>
            <w:tcW w:w="993" w:type="dxa"/>
            <w:tcBorders>
              <w:top w:val="single" w:sz="4" w:space="0" w:color="auto"/>
              <w:left w:val="nil"/>
              <w:bottom w:val="single" w:sz="4" w:space="0" w:color="auto"/>
              <w:right w:val="single" w:sz="4" w:space="0" w:color="auto"/>
            </w:tcBorders>
            <w:shd w:val="clear" w:color="auto" w:fill="C6EFCE"/>
            <w:noWrap/>
          </w:tcPr>
          <w:p w14:paraId="73E1D62F" w14:textId="48F6BD2B" w:rsidR="00146C1C" w:rsidRPr="00B00BDB" w:rsidRDefault="00146C1C" w:rsidP="0001477B">
            <w:pPr>
              <w:spacing w:after="200" w:line="276" w:lineRule="auto"/>
              <w:jc w:val="center"/>
              <w:rPr>
                <w:noProof/>
                <w:color w:val="000000" w:themeColor="text1"/>
              </w:rPr>
            </w:pPr>
            <w:r>
              <w:rPr>
                <w:noProof/>
                <w:color w:val="000000" w:themeColor="text1"/>
              </w:rPr>
              <w:t>C7.1 I1</w:t>
            </w:r>
          </w:p>
        </w:tc>
        <w:tc>
          <w:tcPr>
            <w:tcW w:w="850" w:type="dxa"/>
            <w:tcBorders>
              <w:top w:val="single" w:sz="4" w:space="0" w:color="auto"/>
              <w:left w:val="nil"/>
              <w:bottom w:val="single" w:sz="4" w:space="0" w:color="auto"/>
              <w:right w:val="single" w:sz="4" w:space="0" w:color="auto"/>
            </w:tcBorders>
            <w:shd w:val="clear" w:color="auto" w:fill="C6EFCE"/>
            <w:noWrap/>
          </w:tcPr>
          <w:p w14:paraId="39E2CD1A" w14:textId="77777777" w:rsidR="00146C1C" w:rsidRPr="006A14EA" w:rsidRDefault="00146C1C" w:rsidP="0001477B">
            <w:pPr>
              <w:spacing w:after="200" w:line="276" w:lineRule="auto"/>
              <w:jc w:val="center"/>
              <w:rPr>
                <w:rFonts w:eastAsiaTheme="minorEastAsia"/>
                <w:noProof/>
                <w:sz w:val="20"/>
                <w:szCs w:val="20"/>
              </w:rPr>
            </w:pPr>
            <w:r>
              <w:rPr>
                <w:noProof/>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4CE31F68" w14:textId="77777777" w:rsidR="00146C1C" w:rsidRPr="004E2DDD" w:rsidRDefault="00146C1C" w:rsidP="0001477B">
            <w:pPr>
              <w:spacing w:after="200" w:line="276" w:lineRule="auto"/>
              <w:rPr>
                <w:rFonts w:eastAsia="Calibri" w:cstheme="minorHAnsi"/>
                <w:noProof/>
                <w:sz w:val="20"/>
                <w:szCs w:val="20"/>
              </w:rPr>
            </w:pPr>
            <w:r>
              <w:rPr>
                <w:noProof/>
                <w:sz w:val="20"/>
              </w:rPr>
              <w:t>Jedna vodikova energetska jedinica za napajanje električnih lokomotiva smještena u zasebnom vagonu (HERMES).</w:t>
            </w:r>
          </w:p>
        </w:tc>
        <w:tc>
          <w:tcPr>
            <w:tcW w:w="2193" w:type="dxa"/>
            <w:tcBorders>
              <w:top w:val="single" w:sz="4" w:space="0" w:color="auto"/>
              <w:left w:val="nil"/>
              <w:bottom w:val="single" w:sz="4" w:space="0" w:color="auto"/>
              <w:right w:val="single" w:sz="4" w:space="0" w:color="auto"/>
            </w:tcBorders>
            <w:shd w:val="clear" w:color="auto" w:fill="C6EFCE"/>
            <w:noWrap/>
          </w:tcPr>
          <w:p w14:paraId="4038C521" w14:textId="77777777" w:rsidR="00146C1C" w:rsidRPr="00BC0323" w:rsidRDefault="00146C1C" w:rsidP="0001477B">
            <w:pPr>
              <w:spacing w:after="200" w:line="276" w:lineRule="auto"/>
              <w:rPr>
                <w:rFonts w:eastAsia="Calibri" w:cstheme="minorHAnsi"/>
                <w:noProof/>
                <w:sz w:val="20"/>
                <w:szCs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5CEF4F7D"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63C959B5"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3E8352CA"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1</w:t>
            </w:r>
          </w:p>
        </w:tc>
        <w:tc>
          <w:tcPr>
            <w:tcW w:w="575" w:type="dxa"/>
            <w:tcBorders>
              <w:top w:val="single" w:sz="4" w:space="0" w:color="auto"/>
              <w:left w:val="nil"/>
              <w:bottom w:val="single" w:sz="4" w:space="0" w:color="auto"/>
              <w:right w:val="single" w:sz="4" w:space="0" w:color="auto"/>
            </w:tcBorders>
            <w:shd w:val="clear" w:color="auto" w:fill="C6EFCE"/>
            <w:noWrap/>
          </w:tcPr>
          <w:p w14:paraId="4F0BE7A6"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16C2A419"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441E0FED" w14:textId="400122FA" w:rsidR="00146C1C" w:rsidRPr="004E2DDD" w:rsidRDefault="00146C1C" w:rsidP="0001477B">
            <w:pPr>
              <w:spacing w:after="200" w:line="276" w:lineRule="auto"/>
              <w:rPr>
                <w:rFonts w:eastAsia="Calibri" w:cstheme="minorHAnsi"/>
                <w:noProof/>
                <w:sz w:val="20"/>
                <w:szCs w:val="20"/>
              </w:rPr>
            </w:pPr>
            <w:r>
              <w:rPr>
                <w:noProof/>
                <w:sz w:val="20"/>
              </w:rPr>
              <w:t>Dovršit će se jedna vodikova energetska jedinica za napajanje električnih lokomotiva smještena u zasebnom vagonu (HERMES). HERMES će biti samostalan sustav za proizvodnju energije ćeljezničkom voznom parku i zamijenit će električnu energiju koju inače isporučuje naponski vod nad željezničkom infrastrukturom.</w:t>
            </w:r>
          </w:p>
        </w:tc>
      </w:tr>
      <w:tr w:rsidR="003D68A4" w:rsidRPr="004E2DDD" w14:paraId="69EBC6AF" w14:textId="77777777" w:rsidTr="007035D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451FA7D" w14:textId="1C66F6B6" w:rsidR="00146C1C" w:rsidRPr="00D85183" w:rsidRDefault="009C14E4" w:rsidP="0001477B">
            <w:pPr>
              <w:spacing w:after="0" w:line="276" w:lineRule="auto"/>
              <w:jc w:val="center"/>
              <w:rPr>
                <w:noProof/>
                <w:sz w:val="20"/>
                <w:szCs w:val="20"/>
              </w:rPr>
            </w:pPr>
            <w:r>
              <w:rPr>
                <w:noProof/>
                <w:sz w:val="20"/>
              </w:rPr>
              <w:t>125</w:t>
            </w:r>
          </w:p>
        </w:tc>
        <w:tc>
          <w:tcPr>
            <w:tcW w:w="993" w:type="dxa"/>
            <w:tcBorders>
              <w:top w:val="single" w:sz="4" w:space="0" w:color="auto"/>
              <w:left w:val="nil"/>
              <w:bottom w:val="single" w:sz="4" w:space="0" w:color="auto"/>
              <w:right w:val="single" w:sz="4" w:space="0" w:color="auto"/>
            </w:tcBorders>
            <w:shd w:val="clear" w:color="auto" w:fill="C6EFCE"/>
            <w:noWrap/>
          </w:tcPr>
          <w:p w14:paraId="58033DBD" w14:textId="410F192B" w:rsidR="00146C1C" w:rsidRPr="00B00BDB" w:rsidRDefault="00146C1C" w:rsidP="0001477B">
            <w:pPr>
              <w:spacing w:after="200" w:line="276" w:lineRule="auto"/>
              <w:jc w:val="center"/>
              <w:rPr>
                <w:noProof/>
                <w:color w:val="000000" w:themeColor="text1"/>
              </w:rPr>
            </w:pPr>
            <w:r>
              <w:rPr>
                <w:noProof/>
                <w:color w:val="000000" w:themeColor="text1"/>
              </w:rPr>
              <w:t>C7.1 I2</w:t>
            </w:r>
          </w:p>
        </w:tc>
        <w:tc>
          <w:tcPr>
            <w:tcW w:w="850" w:type="dxa"/>
            <w:tcBorders>
              <w:top w:val="single" w:sz="4" w:space="0" w:color="auto"/>
              <w:left w:val="nil"/>
              <w:bottom w:val="single" w:sz="4" w:space="0" w:color="auto"/>
              <w:right w:val="single" w:sz="4" w:space="0" w:color="auto"/>
            </w:tcBorders>
            <w:shd w:val="clear" w:color="auto" w:fill="C6EFCE"/>
            <w:noWrap/>
          </w:tcPr>
          <w:p w14:paraId="0F645B92" w14:textId="77777777" w:rsidR="00146C1C" w:rsidRPr="006A14EA" w:rsidRDefault="00146C1C" w:rsidP="0001477B">
            <w:pPr>
              <w:spacing w:after="200" w:line="276" w:lineRule="auto"/>
              <w:jc w:val="center"/>
              <w:rPr>
                <w:rFonts w:eastAsiaTheme="minorEastAsia"/>
                <w:noProof/>
                <w:sz w:val="20"/>
                <w:szCs w:val="20"/>
              </w:rPr>
            </w:pPr>
            <w:r>
              <w:rPr>
                <w:noProof/>
                <w:sz w:val="20"/>
              </w:rPr>
              <w:t>Ciljna vrijednost</w:t>
            </w:r>
          </w:p>
        </w:tc>
        <w:tc>
          <w:tcPr>
            <w:tcW w:w="2410" w:type="dxa"/>
            <w:tcBorders>
              <w:top w:val="single" w:sz="4" w:space="0" w:color="auto"/>
              <w:left w:val="nil"/>
              <w:bottom w:val="single" w:sz="4" w:space="0" w:color="auto"/>
              <w:right w:val="single" w:sz="4" w:space="0" w:color="auto"/>
            </w:tcBorders>
            <w:shd w:val="clear" w:color="auto" w:fill="C6EFCE"/>
            <w:noWrap/>
          </w:tcPr>
          <w:p w14:paraId="1819B6B3" w14:textId="77777777" w:rsidR="00146C1C" w:rsidRPr="004E2DDD" w:rsidRDefault="00146C1C"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Sufinancirana izgradnja 1 300 brzih električnih punionica</w:t>
            </w:r>
          </w:p>
        </w:tc>
        <w:tc>
          <w:tcPr>
            <w:tcW w:w="2193" w:type="dxa"/>
            <w:tcBorders>
              <w:top w:val="single" w:sz="4" w:space="0" w:color="auto"/>
              <w:left w:val="nil"/>
              <w:bottom w:val="single" w:sz="4" w:space="0" w:color="auto"/>
              <w:right w:val="single" w:sz="4" w:space="0" w:color="auto"/>
            </w:tcBorders>
            <w:shd w:val="clear" w:color="auto" w:fill="C6EFCE"/>
            <w:noWrap/>
          </w:tcPr>
          <w:p w14:paraId="2D82AF85" w14:textId="77777777" w:rsidR="00146C1C" w:rsidRPr="004E2DDD" w:rsidRDefault="00146C1C" w:rsidP="0001477B">
            <w:pPr>
              <w:spacing w:after="200" w:line="276" w:lineRule="auto"/>
              <w:rPr>
                <w:rFonts w:ascii="Times New Roman" w:eastAsia="Calibri" w:hAnsi="Times New Roman" w:cs="Times New Roman"/>
                <w:noProof/>
                <w:sz w:val="20"/>
                <w:szCs w:val="20"/>
                <w:lang w:val="en-IE"/>
              </w:rPr>
            </w:pPr>
          </w:p>
        </w:tc>
        <w:tc>
          <w:tcPr>
            <w:tcW w:w="917" w:type="dxa"/>
            <w:tcBorders>
              <w:top w:val="single" w:sz="4" w:space="0" w:color="auto"/>
              <w:left w:val="nil"/>
              <w:bottom w:val="single" w:sz="4" w:space="0" w:color="auto"/>
              <w:right w:val="single" w:sz="4" w:space="0" w:color="auto"/>
            </w:tcBorders>
            <w:shd w:val="clear" w:color="auto" w:fill="C6EFCE"/>
            <w:noWrap/>
          </w:tcPr>
          <w:p w14:paraId="09944787"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1888C117"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0</w:t>
            </w:r>
          </w:p>
        </w:tc>
        <w:tc>
          <w:tcPr>
            <w:tcW w:w="709" w:type="dxa"/>
            <w:tcBorders>
              <w:top w:val="single" w:sz="4" w:space="0" w:color="auto"/>
              <w:left w:val="nil"/>
              <w:bottom w:val="single" w:sz="4" w:space="0" w:color="auto"/>
              <w:right w:val="single" w:sz="4" w:space="0" w:color="auto"/>
            </w:tcBorders>
            <w:shd w:val="clear" w:color="auto" w:fill="C6EFCE"/>
            <w:noWrap/>
          </w:tcPr>
          <w:p w14:paraId="516447ED"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1 300</w:t>
            </w:r>
          </w:p>
        </w:tc>
        <w:tc>
          <w:tcPr>
            <w:tcW w:w="575" w:type="dxa"/>
            <w:tcBorders>
              <w:top w:val="single" w:sz="4" w:space="0" w:color="auto"/>
              <w:left w:val="nil"/>
              <w:bottom w:val="single" w:sz="4" w:space="0" w:color="auto"/>
              <w:right w:val="single" w:sz="4" w:space="0" w:color="auto"/>
            </w:tcBorders>
            <w:shd w:val="clear" w:color="auto" w:fill="C6EFCE"/>
            <w:noWrap/>
          </w:tcPr>
          <w:p w14:paraId="0F282E43"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w:t>
            </w:r>
          </w:p>
        </w:tc>
        <w:tc>
          <w:tcPr>
            <w:tcW w:w="850" w:type="dxa"/>
            <w:tcBorders>
              <w:top w:val="single" w:sz="4" w:space="0" w:color="auto"/>
              <w:left w:val="nil"/>
              <w:bottom w:val="single" w:sz="4" w:space="0" w:color="auto"/>
              <w:right w:val="single" w:sz="4" w:space="0" w:color="auto"/>
            </w:tcBorders>
            <w:shd w:val="clear" w:color="auto" w:fill="C6EFCE"/>
            <w:noWrap/>
          </w:tcPr>
          <w:p w14:paraId="138367AE" w14:textId="77777777" w:rsidR="00146C1C" w:rsidRPr="004E2DDD" w:rsidRDefault="00146C1C" w:rsidP="0001477B">
            <w:pPr>
              <w:spacing w:after="200" w:line="276" w:lineRule="auto"/>
              <w:jc w:val="center"/>
              <w:rPr>
                <w:rFonts w:ascii="Times New Roman" w:eastAsia="Calibri" w:hAnsi="Times New Roman" w:cs="Times New Roman"/>
                <w:noProof/>
                <w:sz w:val="20"/>
                <w:szCs w:val="20"/>
              </w:rPr>
            </w:pPr>
            <w:r>
              <w:rPr>
                <w:rFonts w:ascii="Calibri" w:hAnsi="Calibri"/>
                <w:noProof/>
                <w:color w:val="000000"/>
                <w:sz w:val="20"/>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332D3F8D" w14:textId="77777777" w:rsidR="00146C1C" w:rsidRPr="004E2DDD" w:rsidRDefault="00146C1C" w:rsidP="0001477B">
            <w:pPr>
              <w:spacing w:after="200" w:line="276" w:lineRule="auto"/>
              <w:rPr>
                <w:rFonts w:ascii="Times New Roman" w:eastAsia="Calibri" w:hAnsi="Times New Roman" w:cs="Times New Roman"/>
                <w:noProof/>
                <w:sz w:val="20"/>
                <w:szCs w:val="20"/>
              </w:rPr>
            </w:pPr>
            <w:r>
              <w:rPr>
                <w:rFonts w:ascii="Calibri" w:hAnsi="Calibri"/>
                <w:noProof/>
                <w:color w:val="000000"/>
                <w:sz w:val="20"/>
              </w:rPr>
              <w:t>Nakon objave i provedbe odluke o odabiru sufinancirat će se i izgraditi 1300 punionica s najmanjim kapacitetom punjenja od 50 kW.</w:t>
            </w:r>
          </w:p>
        </w:tc>
      </w:tr>
    </w:tbl>
    <w:p w14:paraId="153205D6" w14:textId="77777777" w:rsidR="00146C1C" w:rsidRPr="004E2DDD" w:rsidRDefault="00146C1C" w:rsidP="0001477B">
      <w:pPr>
        <w:pStyle w:val="paragraph"/>
        <w:spacing w:before="0" w:beforeAutospacing="0" w:after="0" w:afterAutospacing="0"/>
        <w:jc w:val="both"/>
        <w:textAlignment w:val="baseline"/>
        <w:rPr>
          <w:rFonts w:ascii="Segoe UI" w:hAnsi="Segoe UI" w:cs="Segoe UI"/>
          <w:noProof/>
          <w:sz w:val="18"/>
          <w:szCs w:val="18"/>
        </w:rPr>
      </w:pPr>
    </w:p>
    <w:p w14:paraId="3B16A98D" w14:textId="77777777" w:rsidR="00146C1C" w:rsidRPr="004E2DDD" w:rsidRDefault="00146C1C">
      <w:pPr>
        <w:rPr>
          <w:noProof/>
          <w:lang w:val="en-IE"/>
        </w:rPr>
        <w:sectPr w:rsidR="00146C1C" w:rsidRPr="004E2DDD" w:rsidSect="0001477B">
          <w:headerReference w:type="even" r:id="rId408"/>
          <w:headerReference w:type="default" r:id="rId409"/>
          <w:footerReference w:type="even" r:id="rId410"/>
          <w:footerReference w:type="default" r:id="rId411"/>
          <w:headerReference w:type="first" r:id="rId412"/>
          <w:footerReference w:type="first" r:id="rId413"/>
          <w:pgSz w:w="15840" w:h="12240" w:orient="landscape"/>
          <w:pgMar w:top="1440" w:right="1440" w:bottom="1440" w:left="1440" w:header="708" w:footer="708" w:gutter="0"/>
          <w:cols w:space="708"/>
          <w:docGrid w:linePitch="360"/>
        </w:sectPr>
      </w:pPr>
    </w:p>
    <w:p w14:paraId="36368EA2" w14:textId="38CFB8F3" w:rsidR="00146C1C" w:rsidRPr="004E2DDD" w:rsidRDefault="009C2121" w:rsidP="009C2121">
      <w:pPr>
        <w:pStyle w:val="paragraph"/>
        <w:spacing w:before="0" w:beforeAutospacing="0" w:after="0" w:afterAutospacing="0"/>
        <w:ind w:firstLine="851"/>
        <w:jc w:val="both"/>
        <w:textAlignment w:val="baseline"/>
        <w:rPr>
          <w:rFonts w:ascii="Segoe UI" w:hAnsi="Segoe UI" w:cs="Segoe UI"/>
          <w:noProof/>
          <w:sz w:val="18"/>
          <w:szCs w:val="18"/>
        </w:rPr>
      </w:pPr>
      <w:r>
        <w:rPr>
          <w:rStyle w:val="normaltextrun"/>
          <w:b/>
          <w:noProof/>
        </w:rPr>
        <w:t xml:space="preserve">W.3. </w:t>
      </w:r>
      <w:r>
        <w:rPr>
          <w:rStyle w:val="tabchar"/>
          <w:rFonts w:ascii="Calibri" w:hAnsi="Calibri"/>
          <w:noProof/>
        </w:rPr>
        <w:tab/>
      </w:r>
      <w:r>
        <w:rPr>
          <w:rStyle w:val="normaltextrun"/>
          <w:b/>
          <w:noProof/>
        </w:rPr>
        <w:t>Opis reformi i ulaganja za zajam </w:t>
      </w:r>
      <w:r>
        <w:rPr>
          <w:rStyle w:val="eop"/>
          <w:noProof/>
        </w:rPr>
        <w:t> </w:t>
      </w:r>
    </w:p>
    <w:p w14:paraId="502C9D72" w14:textId="77777777" w:rsidR="00546EEB" w:rsidRDefault="00546EEB" w:rsidP="00546EEB">
      <w:pPr>
        <w:pStyle w:val="paragraph"/>
        <w:spacing w:before="0" w:beforeAutospacing="0" w:after="0" w:afterAutospacing="0"/>
        <w:jc w:val="both"/>
        <w:textAlignment w:val="baseline"/>
        <w:rPr>
          <w:bCs/>
          <w:noProof/>
          <w:color w:val="000000" w:themeColor="text1"/>
        </w:rPr>
      </w:pPr>
    </w:p>
    <w:p w14:paraId="5AA0EDFD" w14:textId="77777777" w:rsidR="00546EEB" w:rsidRPr="004E2DDD" w:rsidRDefault="00146C1C" w:rsidP="00546EEB">
      <w:pPr>
        <w:pStyle w:val="paragraph"/>
        <w:spacing w:before="0" w:beforeAutospacing="0" w:after="0" w:afterAutospacing="0"/>
        <w:ind w:left="720"/>
        <w:jc w:val="both"/>
        <w:textAlignment w:val="baseline"/>
        <w:rPr>
          <w:rStyle w:val="eop"/>
          <w:bCs/>
          <w:noProof/>
          <w:u w:val="single"/>
        </w:rPr>
      </w:pPr>
      <w:r>
        <w:rPr>
          <w:noProof/>
          <w:color w:val="000000" w:themeColor="text1"/>
          <w:u w:val="single"/>
        </w:rPr>
        <w:t>Ulaganje C7.1. R1-I4</w:t>
      </w:r>
      <w:r>
        <w:rPr>
          <w:noProof/>
          <w:u w:val="single"/>
        </w:rPr>
        <w:t xml:space="preserve"> – </w:t>
      </w:r>
      <w:r>
        <w:rPr>
          <w:noProof/>
          <w:color w:val="000000" w:themeColor="text1"/>
          <w:u w:val="single"/>
        </w:rPr>
        <w:t>Jačanje korištenja obnovljivih izvora energije u prometu i toplinarstvu</w:t>
      </w:r>
    </w:p>
    <w:p w14:paraId="6AD6D900" w14:textId="77777777" w:rsidR="00546EEB" w:rsidRPr="004E2DDD" w:rsidRDefault="00546EEB" w:rsidP="00546EEB">
      <w:pPr>
        <w:pStyle w:val="paragraph"/>
        <w:spacing w:before="0" w:beforeAutospacing="0" w:after="0" w:afterAutospacing="0"/>
        <w:jc w:val="both"/>
        <w:textAlignment w:val="baseline"/>
        <w:rPr>
          <w:rStyle w:val="eop"/>
          <w:bCs/>
          <w:noProof/>
        </w:rPr>
      </w:pPr>
    </w:p>
    <w:p w14:paraId="4F4FC9E3" w14:textId="77777777" w:rsidR="00546EEB" w:rsidRPr="004E2DDD" w:rsidRDefault="00546EEB" w:rsidP="00546EEB">
      <w:pPr>
        <w:pStyle w:val="paragraph"/>
        <w:spacing w:before="0" w:beforeAutospacing="0" w:after="0" w:afterAutospacing="0"/>
        <w:jc w:val="both"/>
        <w:textAlignment w:val="baseline"/>
        <w:rPr>
          <w:rStyle w:val="eop"/>
          <w:bCs/>
          <w:noProof/>
        </w:rPr>
      </w:pPr>
      <w:r>
        <w:rPr>
          <w:noProof/>
        </w:rPr>
        <w:t>Cilj je ulaganja povećati upotrebu biometana proizvodnjom održivog biometana te uspostavom pravnog okvira koji omogućuje proizvodnju bioplina. Ulaganjem će se doprinijeti i podupiranju prijevoza s nultom stopom emisija izgradnjom nove infrastrukture za punjenje električnih autobusa.</w:t>
      </w:r>
    </w:p>
    <w:p w14:paraId="4300F117" w14:textId="77777777" w:rsidR="00546EEB" w:rsidRPr="004E2DDD" w:rsidRDefault="00546EEB" w:rsidP="00546EEB">
      <w:pPr>
        <w:pStyle w:val="paragraph"/>
        <w:spacing w:before="0" w:beforeAutospacing="0" w:after="0" w:afterAutospacing="0"/>
        <w:jc w:val="both"/>
        <w:textAlignment w:val="baseline"/>
        <w:rPr>
          <w:rStyle w:val="eop"/>
          <w:bCs/>
          <w:noProof/>
        </w:rPr>
      </w:pPr>
    </w:p>
    <w:p w14:paraId="162DE137" w14:textId="77777777" w:rsidR="00546EEB" w:rsidRPr="004E2DDD" w:rsidRDefault="00546EEB" w:rsidP="00546EEB">
      <w:pPr>
        <w:pStyle w:val="paragraph"/>
        <w:spacing w:before="0" w:beforeAutospacing="0" w:after="0" w:afterAutospacing="0"/>
        <w:jc w:val="both"/>
        <w:textAlignment w:val="baseline"/>
        <w:rPr>
          <w:bCs/>
          <w:noProof/>
          <w:color w:val="000000" w:themeColor="text1"/>
        </w:rPr>
      </w:pPr>
      <w:r>
        <w:rPr>
          <w:noProof/>
        </w:rPr>
        <w:t>Očekuje se da ta mjera ne nanosi bitnu štetu okolišnim ciljevima u smislu članka 17. Uredbe (EU) 2020/852, uzimajući u obzir opis mjere i korake ublažavanja utvrđene u planu za oporavak i otpornost u skladu s Tehničkim smjernicama za primjenu načela nenanošenja bitne štete (C(2023) 6454 final).</w:t>
      </w:r>
    </w:p>
    <w:p w14:paraId="7925B6FF" w14:textId="77777777" w:rsidR="00546EEB" w:rsidRPr="004E2DDD" w:rsidRDefault="00546EEB" w:rsidP="00546EEB">
      <w:pPr>
        <w:pStyle w:val="paragraph"/>
        <w:spacing w:before="0" w:beforeAutospacing="0" w:after="0" w:afterAutospacing="0"/>
        <w:jc w:val="both"/>
        <w:textAlignment w:val="baseline"/>
        <w:rPr>
          <w:rStyle w:val="eop"/>
          <w:bCs/>
          <w:noProof/>
        </w:rPr>
      </w:pPr>
    </w:p>
    <w:p w14:paraId="36EA416F" w14:textId="77777777" w:rsidR="00546EEB" w:rsidRPr="004E2DDD" w:rsidRDefault="00546EEB" w:rsidP="00546EE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31. kolovoza 2026.</w:t>
      </w:r>
    </w:p>
    <w:p w14:paraId="0B6DE4B9" w14:textId="77777777" w:rsidR="00546EEB" w:rsidRDefault="00546EEB" w:rsidP="009C2121">
      <w:pPr>
        <w:pStyle w:val="paragraph"/>
        <w:spacing w:before="0" w:beforeAutospacing="0" w:after="0" w:afterAutospacing="0"/>
        <w:ind w:left="720"/>
        <w:jc w:val="both"/>
        <w:textAlignment w:val="baseline"/>
        <w:rPr>
          <w:bCs/>
          <w:noProof/>
          <w:color w:val="000000" w:themeColor="text1"/>
          <w:u w:val="single"/>
        </w:rPr>
      </w:pPr>
    </w:p>
    <w:p w14:paraId="198F2C11" w14:textId="18A1E94E" w:rsidR="00146C1C" w:rsidRPr="00945BCC" w:rsidRDefault="00146C1C" w:rsidP="009C2121">
      <w:pPr>
        <w:pStyle w:val="paragraph"/>
        <w:spacing w:before="0" w:beforeAutospacing="0" w:after="0" w:afterAutospacing="0"/>
        <w:ind w:left="720"/>
        <w:jc w:val="both"/>
        <w:textAlignment w:val="baseline"/>
        <w:rPr>
          <w:rStyle w:val="eop"/>
          <w:bCs/>
          <w:noProof/>
          <w:u w:val="single"/>
        </w:rPr>
      </w:pPr>
      <w:r>
        <w:rPr>
          <w:noProof/>
          <w:color w:val="000000" w:themeColor="text1"/>
          <w:u w:val="single"/>
        </w:rPr>
        <w:t>Ulaganje C7.1. R1-I4 – Biorafinerija za proizvodnju naprednih biogoriva Sisak (preneseno ulaganje C1.2. R1-I4</w:t>
      </w:r>
      <w:r>
        <w:rPr>
          <w:noProof/>
          <w:u w:val="single"/>
        </w:rPr>
        <w:t xml:space="preserve"> iz već donesene Provedbene odluke Vijeća)</w:t>
      </w:r>
    </w:p>
    <w:p w14:paraId="249A3EA7" w14:textId="77777777" w:rsidR="00146C1C" w:rsidRPr="004E2DDD" w:rsidRDefault="00146C1C" w:rsidP="0001477B">
      <w:pPr>
        <w:pStyle w:val="paragraph"/>
        <w:spacing w:before="0" w:beforeAutospacing="0" w:after="0" w:afterAutospacing="0"/>
        <w:jc w:val="both"/>
        <w:textAlignment w:val="baseline"/>
        <w:rPr>
          <w:rStyle w:val="eop"/>
          <w:bCs/>
          <w:noProof/>
        </w:rPr>
      </w:pPr>
    </w:p>
    <w:p w14:paraId="4C62422B" w14:textId="37263A7E" w:rsidR="00146C1C" w:rsidRPr="004E2DDD" w:rsidRDefault="00146C1C"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Cilj je ulaganja povećati udio energije iz obnovljivih izvora u prometu i poduprijeti dekarbonizaciju prometnog sektora stvaranjem proizvodnog kapaciteta za napredni bioetanol.</w:t>
      </w:r>
    </w:p>
    <w:p w14:paraId="7091399E" w14:textId="5B57973B" w:rsidR="00146C1C" w:rsidRPr="004E2DDD" w:rsidRDefault="00146C1C"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Ulaganje, koje provodi naftna kompanija INA d.d., sastoji se od izgradnje i puštanja u rad pogona biorafinerije s godišnjim proizvodnim kapacitetom od 55 000 tona naprednog bioetanola.</w:t>
      </w:r>
      <w:r w:rsidR="00552A4C">
        <w:rPr>
          <w:rStyle w:val="FootnoteReference"/>
          <w:rFonts w:ascii="Times New Roman" w:eastAsia="Calibri" w:hAnsi="Times New Roman" w:cs="Times New Roman"/>
          <w:noProof/>
          <w:sz w:val="24"/>
          <w:lang w:val="en-IE"/>
        </w:rPr>
        <w:footnoteReference w:id="32"/>
      </w:r>
      <w:r>
        <w:rPr>
          <w:rFonts w:ascii="Times New Roman" w:hAnsi="Times New Roman"/>
          <w:noProof/>
          <w:sz w:val="24"/>
        </w:rPr>
        <w:t xml:space="preserve"> </w:t>
      </w:r>
    </w:p>
    <w:p w14:paraId="0E5C65FA" w14:textId="58365732" w:rsidR="00146C1C" w:rsidRPr="004E2DDD" w:rsidRDefault="00146C1C" w:rsidP="0001477B">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Očekuje se da ta mjera ne nanosi bitnu štetu okolišnim ciljevima u smislu članka 17. Uredbe (EU) 2020/852, uzimajući u obzir opis mjere i korake ublažavanja utvrđene u planu za oporavak i otpornost u skladu s Tehničkim smjernicama o primjeni načela nenanošenja bitne štete (C(2023) 6454 final).</w:t>
      </w:r>
    </w:p>
    <w:p w14:paraId="09C0D9CD"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30. lipnja 2026.</w:t>
      </w:r>
    </w:p>
    <w:p w14:paraId="467046DE" w14:textId="77777777" w:rsidR="00146C1C" w:rsidRPr="004E2DDD" w:rsidRDefault="00146C1C" w:rsidP="0001477B">
      <w:pPr>
        <w:pStyle w:val="paragraph"/>
        <w:spacing w:before="0" w:beforeAutospacing="0" w:after="0" w:afterAutospacing="0"/>
        <w:jc w:val="both"/>
        <w:textAlignment w:val="baseline"/>
        <w:rPr>
          <w:rStyle w:val="eop"/>
          <w:bCs/>
          <w:noProof/>
        </w:rPr>
      </w:pPr>
    </w:p>
    <w:p w14:paraId="5C5B91BB" w14:textId="034A679A" w:rsidR="00146C1C" w:rsidRPr="004E2DDD" w:rsidRDefault="00146C1C" w:rsidP="009C2121">
      <w:pPr>
        <w:pStyle w:val="paragraph"/>
        <w:spacing w:before="0" w:beforeAutospacing="0" w:after="0" w:afterAutospacing="0"/>
        <w:ind w:left="720"/>
        <w:jc w:val="both"/>
        <w:textAlignment w:val="baseline"/>
        <w:rPr>
          <w:bCs/>
          <w:noProof/>
          <w:color w:val="000000" w:themeColor="text1"/>
          <w:u w:val="single"/>
        </w:rPr>
      </w:pPr>
      <w:r>
        <w:rPr>
          <w:noProof/>
          <w:color w:val="000000" w:themeColor="text1"/>
          <w:u w:val="single"/>
        </w:rPr>
        <w:t>Ulaganje C7.1. R1-I6</w:t>
      </w:r>
      <w:r>
        <w:rPr>
          <w:noProof/>
          <w:u w:val="single"/>
        </w:rPr>
        <w:t xml:space="preserve"> – </w:t>
      </w:r>
      <w:r>
        <w:rPr>
          <w:noProof/>
          <w:color w:val="000000" w:themeColor="text1"/>
          <w:u w:val="single"/>
        </w:rPr>
        <w:t>Jačanje prijenosnih i distribucijskih kapaciteta elektroenergetskog sustava</w:t>
      </w:r>
    </w:p>
    <w:p w14:paraId="3FF2A008"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59F2185D" w14:textId="382B77A2" w:rsidR="00146C1C" w:rsidRPr="004E2DDD" w:rsidRDefault="00146C1C" w:rsidP="0001477B">
      <w:pPr>
        <w:pStyle w:val="paragraph"/>
        <w:spacing w:before="0" w:beforeAutospacing="0" w:after="0" w:afterAutospacing="0"/>
        <w:jc w:val="both"/>
        <w:textAlignment w:val="baseline"/>
        <w:rPr>
          <w:rFonts w:eastAsia="Calibri"/>
          <w:noProof/>
        </w:rPr>
      </w:pPr>
      <w:r>
        <w:rPr>
          <w:noProof/>
        </w:rPr>
        <w:t>Cilj je ulaganja poduprijeti elektrifikaciju i dekarbonizaciju energetskog sektora nadogradnjom i digitalizacijom hrvatske prijenosne i distribucijske elektroenergetske mreže, s naglaskom na osiguravanju bolje povezanosti mreže jug-sjever. Cilj je osigurati da se električna energija proizvedena iz obnovljivih izvora na jugu Hrvatske, gdje postoji najveći potencijal za proizvodnju energije iz obnovljivih izvora, može dovesti u druge dijelove zemlje. Ulaganje uključuje sljedeće aktivnosti:</w:t>
      </w:r>
    </w:p>
    <w:p w14:paraId="379D903C" w14:textId="72515EA3" w:rsidR="00146C1C" w:rsidRPr="004E2DDD" w:rsidRDefault="00146C1C" w:rsidP="00146C1C">
      <w:pPr>
        <w:pStyle w:val="paragraph"/>
        <w:numPr>
          <w:ilvl w:val="0"/>
          <w:numId w:val="9"/>
        </w:numPr>
        <w:spacing w:before="0" w:beforeAutospacing="0" w:after="0" w:afterAutospacing="0"/>
        <w:jc w:val="both"/>
        <w:textAlignment w:val="baseline"/>
        <w:rPr>
          <w:rFonts w:eastAsia="Calibri"/>
          <w:noProof/>
        </w:rPr>
      </w:pPr>
      <w:r>
        <w:rPr>
          <w:noProof/>
        </w:rPr>
        <w:t>zamjenu starih transformatora novima;</w:t>
      </w:r>
    </w:p>
    <w:p w14:paraId="32B32F94" w14:textId="77777777" w:rsidR="00146C1C" w:rsidRPr="004E2DDD" w:rsidRDefault="00146C1C" w:rsidP="00146C1C">
      <w:pPr>
        <w:pStyle w:val="paragraph"/>
        <w:numPr>
          <w:ilvl w:val="0"/>
          <w:numId w:val="9"/>
        </w:numPr>
        <w:spacing w:before="0" w:beforeAutospacing="0" w:after="0" w:afterAutospacing="0"/>
        <w:jc w:val="both"/>
        <w:textAlignment w:val="baseline"/>
        <w:rPr>
          <w:rFonts w:eastAsia="Calibri"/>
          <w:noProof/>
        </w:rPr>
      </w:pPr>
      <w:r>
        <w:rPr>
          <w:noProof/>
        </w:rPr>
        <w:t>rekonstrukcije postrojenja.</w:t>
      </w:r>
    </w:p>
    <w:p w14:paraId="1F351C2E" w14:textId="77777777" w:rsidR="00146C1C" w:rsidRPr="004E2DDD" w:rsidRDefault="00146C1C" w:rsidP="0001477B">
      <w:pPr>
        <w:pStyle w:val="paragraph"/>
        <w:spacing w:before="0" w:beforeAutospacing="0" w:after="0" w:afterAutospacing="0"/>
        <w:jc w:val="both"/>
        <w:textAlignment w:val="baseline"/>
        <w:rPr>
          <w:rFonts w:eastAsia="Calibri"/>
          <w:noProof/>
        </w:rPr>
      </w:pPr>
    </w:p>
    <w:p w14:paraId="5386DB44" w14:textId="7A26D8E5"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31. kolovoza 2026.</w:t>
      </w:r>
    </w:p>
    <w:p w14:paraId="04B34E8D" w14:textId="77777777" w:rsidR="00230C52" w:rsidRPr="004E2DDD" w:rsidRDefault="00230C52" w:rsidP="0001477B">
      <w:pPr>
        <w:pStyle w:val="paragraph"/>
        <w:spacing w:before="0" w:beforeAutospacing="0" w:after="0" w:afterAutospacing="0"/>
        <w:jc w:val="both"/>
        <w:textAlignment w:val="baseline"/>
        <w:rPr>
          <w:bCs/>
          <w:noProof/>
          <w:color w:val="000000" w:themeColor="text1"/>
        </w:rPr>
      </w:pPr>
    </w:p>
    <w:p w14:paraId="66036CE2" w14:textId="59A93C34" w:rsidR="00146C1C" w:rsidRPr="004E2DDD" w:rsidRDefault="00146C1C" w:rsidP="009C2121">
      <w:pPr>
        <w:pStyle w:val="paragraph"/>
        <w:spacing w:before="0" w:beforeAutospacing="0" w:after="0" w:afterAutospacing="0"/>
        <w:ind w:left="720"/>
        <w:jc w:val="both"/>
        <w:textAlignment w:val="baseline"/>
        <w:rPr>
          <w:rStyle w:val="eop"/>
          <w:bCs/>
          <w:noProof/>
          <w:u w:val="single"/>
        </w:rPr>
      </w:pPr>
      <w:r>
        <w:rPr>
          <w:noProof/>
          <w:color w:val="000000" w:themeColor="text1"/>
          <w:u w:val="single"/>
        </w:rPr>
        <w:t>Ulaganje C7.1. I3 – Povećanje kapaciteta LNG terminala na otoku Krku te jačanje plinske infrastrukture</w:t>
      </w:r>
    </w:p>
    <w:p w14:paraId="2C750F11" w14:textId="77777777" w:rsidR="00146C1C" w:rsidRPr="004E2DDD" w:rsidRDefault="00146C1C" w:rsidP="0001477B">
      <w:pPr>
        <w:pStyle w:val="paragraph"/>
        <w:spacing w:before="0" w:beforeAutospacing="0" w:after="0" w:afterAutospacing="0"/>
        <w:jc w:val="both"/>
        <w:textAlignment w:val="baseline"/>
        <w:rPr>
          <w:rStyle w:val="eop"/>
          <w:bCs/>
          <w:noProof/>
        </w:rPr>
      </w:pPr>
    </w:p>
    <w:p w14:paraId="21CFC769" w14:textId="616A9711" w:rsidR="00146C1C" w:rsidRPr="004E2DDD" w:rsidRDefault="00146C1C" w:rsidP="0001477B">
      <w:pPr>
        <w:pStyle w:val="paragraph"/>
        <w:spacing w:before="0" w:beforeAutospacing="0" w:after="0" w:afterAutospacing="0"/>
        <w:jc w:val="both"/>
        <w:textAlignment w:val="baseline"/>
        <w:rPr>
          <w:rFonts w:cstheme="minorHAnsi"/>
          <w:noProof/>
          <w:color w:val="000000"/>
        </w:rPr>
      </w:pPr>
      <w:r>
        <w:rPr>
          <w:noProof/>
        </w:rPr>
        <w:t>Cilj je ulaganja poboljšati diversifikaciju opskrbe plinom u Uniji i povećati sigurnost opskrbe plinom država članica koje graniče s Hrvatskom povećanjem kapaciteta LNG terminala na otoku Krku na 700 000 m³ na sat (m³/h). Ulaganje uključuje i izgradnju plinovoda Zlobin–Bosiljevo, izgradnju plinovoda Bosiljevo–Sisak–Kozarac čime bi se povećao kapacitet prijenosa plina prema Mađarskoj na 400 000 m³/h te izgradnju dionice Lučko–Zabok interkonekcije Hrvatska–Slovenija čime bi se povećao kapaciteta prijenosa plina prema Sloveniji na 170 000 m³/h.</w:t>
      </w:r>
      <w:r>
        <w:rPr>
          <w:noProof/>
          <w:color w:val="000000"/>
        </w:rPr>
        <w:t xml:space="preserve"> </w:t>
      </w:r>
    </w:p>
    <w:p w14:paraId="3B21BE84"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p>
    <w:p w14:paraId="482F6340" w14:textId="77777777" w:rsidR="00146C1C" w:rsidRPr="004E2DDD"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31. kolovoza 2026.</w:t>
      </w:r>
    </w:p>
    <w:p w14:paraId="5CFF62B1" w14:textId="77777777" w:rsidR="00146C1C" w:rsidRPr="004E2DDD" w:rsidRDefault="00146C1C" w:rsidP="0001477B">
      <w:pPr>
        <w:pStyle w:val="paragraph"/>
        <w:spacing w:before="0" w:beforeAutospacing="0" w:after="0" w:afterAutospacing="0"/>
        <w:jc w:val="both"/>
        <w:textAlignment w:val="baseline"/>
        <w:rPr>
          <w:rStyle w:val="eop"/>
          <w:bCs/>
          <w:noProof/>
        </w:rPr>
      </w:pPr>
    </w:p>
    <w:p w14:paraId="4C7A1557" w14:textId="77777777" w:rsidR="00146C1C" w:rsidRPr="004E2DDD" w:rsidRDefault="00146C1C" w:rsidP="0001477B">
      <w:pPr>
        <w:pStyle w:val="paragraph"/>
        <w:spacing w:before="0" w:beforeAutospacing="0" w:after="0" w:afterAutospacing="0"/>
        <w:jc w:val="both"/>
        <w:textAlignment w:val="baseline"/>
        <w:rPr>
          <w:rFonts w:ascii="Segoe UI" w:hAnsi="Segoe UI" w:cs="Segoe UI"/>
          <w:noProof/>
          <w:sz w:val="18"/>
          <w:szCs w:val="18"/>
        </w:rPr>
      </w:pPr>
    </w:p>
    <w:p w14:paraId="029179CF" w14:textId="77777777" w:rsidR="00146C1C" w:rsidRPr="004E2DDD" w:rsidRDefault="00146C1C" w:rsidP="0001477B">
      <w:pPr>
        <w:pStyle w:val="paragraph"/>
        <w:spacing w:before="0" w:beforeAutospacing="0" w:after="0" w:afterAutospacing="0"/>
        <w:jc w:val="both"/>
        <w:textAlignment w:val="baseline"/>
        <w:rPr>
          <w:rStyle w:val="normaltextrun"/>
          <w:b/>
          <w:bCs/>
          <w:noProof/>
        </w:rPr>
        <w:sectPr w:rsidR="00146C1C" w:rsidRPr="004E2DDD" w:rsidSect="0001477B">
          <w:headerReference w:type="even" r:id="rId414"/>
          <w:headerReference w:type="default" r:id="rId415"/>
          <w:footerReference w:type="even" r:id="rId416"/>
          <w:footerReference w:type="default" r:id="rId417"/>
          <w:headerReference w:type="first" r:id="rId418"/>
          <w:footerReference w:type="first" r:id="rId419"/>
          <w:pgSz w:w="12240" w:h="15840"/>
          <w:pgMar w:top="1440" w:right="1440" w:bottom="1440" w:left="1440" w:header="708" w:footer="708" w:gutter="0"/>
          <w:cols w:space="708"/>
          <w:docGrid w:linePitch="360"/>
        </w:sectPr>
      </w:pPr>
    </w:p>
    <w:p w14:paraId="21FAAD74" w14:textId="07B416F5" w:rsidR="00146C1C" w:rsidRPr="004E2DDD" w:rsidRDefault="009C2121" w:rsidP="0001477B">
      <w:pPr>
        <w:pStyle w:val="paragraph"/>
        <w:spacing w:before="0" w:beforeAutospacing="0" w:after="0" w:afterAutospacing="0"/>
        <w:jc w:val="both"/>
        <w:textAlignment w:val="baseline"/>
        <w:rPr>
          <w:rFonts w:ascii="Segoe UI" w:hAnsi="Segoe UI" w:cs="Segoe UI"/>
          <w:noProof/>
          <w:sz w:val="18"/>
          <w:szCs w:val="18"/>
        </w:rPr>
      </w:pPr>
      <w:r>
        <w:rPr>
          <w:rStyle w:val="normaltextrun"/>
          <w:b/>
          <w:noProof/>
        </w:rPr>
        <w:t xml:space="preserve">W.4.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p w14:paraId="401F7C0A" w14:textId="77777777" w:rsidR="00146C1C" w:rsidRPr="004E2DDD" w:rsidRDefault="00146C1C" w:rsidP="0001477B">
      <w:pPr>
        <w:pStyle w:val="paragraph"/>
        <w:spacing w:before="0" w:beforeAutospacing="0" w:after="0" w:afterAutospacing="0"/>
        <w:jc w:val="both"/>
        <w:textAlignment w:val="baseline"/>
        <w:rPr>
          <w:rStyle w:val="eop"/>
          <w:noProof/>
          <w:color w:val="4F81BD"/>
        </w:rPr>
      </w:pPr>
    </w:p>
    <w:tbl>
      <w:tblPr>
        <w:tblW w:w="15060" w:type="dxa"/>
        <w:jc w:val="center"/>
        <w:tblCellMar>
          <w:top w:w="28" w:type="dxa"/>
          <w:left w:w="28" w:type="dxa"/>
          <w:bottom w:w="28" w:type="dxa"/>
          <w:right w:w="28" w:type="dxa"/>
        </w:tblCellMar>
        <w:tblLook w:val="04A0" w:firstRow="1" w:lastRow="0" w:firstColumn="1" w:lastColumn="0" w:noHBand="0" w:noVBand="1"/>
      </w:tblPr>
      <w:tblGrid>
        <w:gridCol w:w="711"/>
        <w:gridCol w:w="852"/>
        <w:gridCol w:w="871"/>
        <w:gridCol w:w="2552"/>
        <w:gridCol w:w="1952"/>
        <w:gridCol w:w="1131"/>
        <w:gridCol w:w="868"/>
        <w:gridCol w:w="850"/>
        <w:gridCol w:w="567"/>
        <w:gridCol w:w="627"/>
        <w:gridCol w:w="4160"/>
      </w:tblGrid>
      <w:tr w:rsidR="00146C1C" w:rsidRPr="004E2DDD" w14:paraId="79AA2D97" w14:textId="77777777" w:rsidTr="00CF6A27">
        <w:trPr>
          <w:tblHeader/>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E64FAC"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8B2A44"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E12FB1"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EF93F5"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0C052D"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Calibri" w:hAnsi="Calibri"/>
                <w:noProof/>
              </w:rPr>
              <w:br/>
            </w:r>
            <w:r>
              <w:rPr>
                <w:rFonts w:ascii="Times New Roman" w:hAnsi="Times New Roman"/>
                <w:b/>
                <w:noProof/>
                <w:sz w:val="18"/>
              </w:rPr>
              <w:t>(za ključne etape)</w:t>
            </w:r>
          </w:p>
        </w:tc>
        <w:tc>
          <w:tcPr>
            <w:tcW w:w="2849"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742F941E"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Calibri" w:hAnsi="Calibri"/>
                <w:noProof/>
              </w:rPr>
              <w:br/>
            </w:r>
            <w:r>
              <w:rPr>
                <w:rFonts w:ascii="Times New Roman" w:hAnsi="Times New Roman"/>
                <w:b/>
                <w:noProof/>
                <w:sz w:val="18"/>
              </w:rPr>
              <w:t>(za ciljne vrijednosti)</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60523E01"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2196FC"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146C1C" w:rsidRPr="004E2DDD" w14:paraId="54E99864" w14:textId="77777777" w:rsidTr="00CF6A27">
        <w:trPr>
          <w:tblHeader/>
          <w:jc w:val="center"/>
        </w:trPr>
        <w:tc>
          <w:tcPr>
            <w:tcW w:w="711" w:type="dxa"/>
            <w:vMerge/>
            <w:tcBorders>
              <w:top w:val="single" w:sz="4" w:space="0" w:color="auto"/>
              <w:left w:val="single" w:sz="4" w:space="0" w:color="auto"/>
              <w:bottom w:val="single" w:sz="4" w:space="0" w:color="auto"/>
              <w:right w:val="single" w:sz="4" w:space="0" w:color="auto"/>
            </w:tcBorders>
            <w:hideMark/>
          </w:tcPr>
          <w:p w14:paraId="10A3F737"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852" w:type="dxa"/>
            <w:vMerge/>
            <w:tcBorders>
              <w:top w:val="single" w:sz="4" w:space="0" w:color="auto"/>
              <w:left w:val="single" w:sz="4" w:space="0" w:color="auto"/>
              <w:bottom w:val="single" w:sz="4" w:space="0" w:color="auto"/>
              <w:right w:val="single" w:sz="4" w:space="0" w:color="auto"/>
            </w:tcBorders>
            <w:hideMark/>
          </w:tcPr>
          <w:p w14:paraId="7D4FA81B"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auto"/>
              <w:right w:val="single" w:sz="4" w:space="0" w:color="auto"/>
            </w:tcBorders>
            <w:hideMark/>
          </w:tcPr>
          <w:p w14:paraId="73F11DAC"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2552" w:type="dxa"/>
            <w:vMerge/>
            <w:tcBorders>
              <w:top w:val="single" w:sz="4" w:space="0" w:color="auto"/>
              <w:left w:val="single" w:sz="4" w:space="0" w:color="auto"/>
              <w:bottom w:val="single" w:sz="4" w:space="0" w:color="auto"/>
              <w:right w:val="single" w:sz="4" w:space="0" w:color="auto"/>
            </w:tcBorders>
            <w:hideMark/>
          </w:tcPr>
          <w:p w14:paraId="040C5815"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1952" w:type="dxa"/>
            <w:vMerge/>
            <w:tcBorders>
              <w:top w:val="single" w:sz="4" w:space="0" w:color="auto"/>
              <w:left w:val="single" w:sz="4" w:space="0" w:color="auto"/>
              <w:bottom w:val="single" w:sz="4" w:space="0" w:color="auto"/>
              <w:right w:val="single" w:sz="4" w:space="0" w:color="auto"/>
            </w:tcBorders>
            <w:hideMark/>
          </w:tcPr>
          <w:p w14:paraId="689BD633"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1131" w:type="dxa"/>
            <w:tcBorders>
              <w:top w:val="nil"/>
              <w:left w:val="single" w:sz="4" w:space="0" w:color="auto"/>
              <w:bottom w:val="single" w:sz="4" w:space="0" w:color="auto"/>
              <w:right w:val="single" w:sz="4" w:space="0" w:color="auto"/>
            </w:tcBorders>
            <w:shd w:val="clear" w:color="auto" w:fill="BDD7EE"/>
            <w:hideMark/>
          </w:tcPr>
          <w:p w14:paraId="3D7541B0"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68" w:type="dxa"/>
            <w:tcBorders>
              <w:top w:val="nil"/>
              <w:left w:val="nil"/>
              <w:bottom w:val="single" w:sz="4" w:space="0" w:color="auto"/>
              <w:right w:val="single" w:sz="4" w:space="0" w:color="auto"/>
            </w:tcBorders>
            <w:shd w:val="clear" w:color="auto" w:fill="BDD7EE"/>
            <w:hideMark/>
          </w:tcPr>
          <w:p w14:paraId="5665CAA3"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hideMark/>
          </w:tcPr>
          <w:p w14:paraId="1A1BB6EB"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67" w:type="dxa"/>
            <w:tcBorders>
              <w:top w:val="nil"/>
              <w:left w:val="nil"/>
              <w:bottom w:val="single" w:sz="4" w:space="0" w:color="auto"/>
              <w:right w:val="single" w:sz="4" w:space="0" w:color="auto"/>
            </w:tcBorders>
            <w:shd w:val="clear" w:color="auto" w:fill="BDD7EE"/>
            <w:hideMark/>
          </w:tcPr>
          <w:p w14:paraId="344517D5"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567" w:type="dxa"/>
            <w:tcBorders>
              <w:top w:val="nil"/>
              <w:left w:val="nil"/>
              <w:bottom w:val="single" w:sz="4" w:space="0" w:color="auto"/>
              <w:right w:val="single" w:sz="4" w:space="0" w:color="auto"/>
            </w:tcBorders>
            <w:shd w:val="clear" w:color="auto" w:fill="BDD7EE"/>
            <w:hideMark/>
          </w:tcPr>
          <w:p w14:paraId="59B024A3" w14:textId="77777777" w:rsidR="00146C1C" w:rsidRPr="004E2DDD"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160" w:type="dxa"/>
            <w:vMerge/>
            <w:tcBorders>
              <w:top w:val="single" w:sz="4" w:space="0" w:color="auto"/>
              <w:bottom w:val="single" w:sz="4" w:space="0" w:color="auto"/>
              <w:right w:val="single" w:sz="4" w:space="0" w:color="auto"/>
            </w:tcBorders>
            <w:hideMark/>
          </w:tcPr>
          <w:p w14:paraId="557A6E62" w14:textId="77777777" w:rsidR="00146C1C" w:rsidRPr="004E2DDD" w:rsidRDefault="00146C1C" w:rsidP="0001477B">
            <w:pPr>
              <w:spacing w:after="0" w:line="276" w:lineRule="auto"/>
              <w:rPr>
                <w:rFonts w:ascii="Times New Roman" w:eastAsia="Times New Roman" w:hAnsi="Times New Roman" w:cs="Times New Roman"/>
                <w:b/>
                <w:noProof/>
                <w:lang w:val="en-IE" w:eastAsia="en-GB"/>
              </w:rPr>
            </w:pPr>
          </w:p>
        </w:tc>
      </w:tr>
      <w:tr w:rsidR="00546EEB" w:rsidRPr="004E2DDD" w14:paraId="3A16A397" w14:textId="77777777" w:rsidTr="00CF6A2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4BBDCB4" w14:textId="63B58AAA" w:rsidR="00546EEB" w:rsidRDefault="00546EEB" w:rsidP="00546EEB">
            <w:pPr>
              <w:spacing w:after="0" w:line="276" w:lineRule="auto"/>
              <w:jc w:val="center"/>
              <w:rPr>
                <w:rFonts w:cstheme="minorHAnsi"/>
                <w:noProof/>
                <w:sz w:val="20"/>
                <w:szCs w:val="20"/>
              </w:rPr>
            </w:pPr>
            <w:r>
              <w:rPr>
                <w:noProof/>
                <w:sz w:val="20"/>
              </w:rPr>
              <w:t>416</w:t>
            </w:r>
          </w:p>
        </w:tc>
        <w:tc>
          <w:tcPr>
            <w:tcW w:w="852" w:type="dxa"/>
            <w:tcBorders>
              <w:top w:val="single" w:sz="4" w:space="0" w:color="auto"/>
              <w:left w:val="nil"/>
              <w:bottom w:val="single" w:sz="4" w:space="0" w:color="auto"/>
              <w:right w:val="single" w:sz="4" w:space="0" w:color="auto"/>
            </w:tcBorders>
            <w:shd w:val="clear" w:color="auto" w:fill="C6EFCE"/>
            <w:noWrap/>
          </w:tcPr>
          <w:p w14:paraId="260EA48F" w14:textId="282B8FAD" w:rsidR="00546EEB" w:rsidRPr="00B00BDB" w:rsidRDefault="00546EEB" w:rsidP="00546EEB">
            <w:pPr>
              <w:spacing w:after="200" w:line="276" w:lineRule="auto"/>
              <w:jc w:val="center"/>
              <w:rPr>
                <w:rFonts w:cstheme="minorHAnsi"/>
                <w:noProof/>
                <w:color w:val="000000" w:themeColor="text1"/>
                <w:sz w:val="20"/>
                <w:szCs w:val="20"/>
              </w:rPr>
            </w:pPr>
            <w:r>
              <w:rPr>
                <w:noProof/>
                <w:color w:val="000000" w:themeColor="text1"/>
                <w:sz w:val="20"/>
              </w:rPr>
              <w:t>C7.1. R1-I4</w:t>
            </w:r>
          </w:p>
        </w:tc>
        <w:tc>
          <w:tcPr>
            <w:tcW w:w="850" w:type="dxa"/>
            <w:tcBorders>
              <w:top w:val="single" w:sz="4" w:space="0" w:color="auto"/>
              <w:left w:val="nil"/>
              <w:bottom w:val="single" w:sz="4" w:space="0" w:color="auto"/>
              <w:right w:val="single" w:sz="4" w:space="0" w:color="auto"/>
            </w:tcBorders>
            <w:shd w:val="clear" w:color="auto" w:fill="C6EFCE"/>
            <w:noWrap/>
          </w:tcPr>
          <w:p w14:paraId="1ACBBA26" w14:textId="7123CCFF"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Ključna etapa</w:t>
            </w:r>
          </w:p>
        </w:tc>
        <w:tc>
          <w:tcPr>
            <w:tcW w:w="2552" w:type="dxa"/>
            <w:tcBorders>
              <w:top w:val="single" w:sz="4" w:space="0" w:color="auto"/>
              <w:left w:val="nil"/>
              <w:bottom w:val="single" w:sz="4" w:space="0" w:color="auto"/>
              <w:right w:val="single" w:sz="4" w:space="0" w:color="auto"/>
            </w:tcBorders>
            <w:shd w:val="clear" w:color="auto" w:fill="C6EFCE"/>
            <w:noWrap/>
          </w:tcPr>
          <w:p w14:paraId="14B10020" w14:textId="057C559E" w:rsidR="00546EEB" w:rsidRPr="004E2DDD" w:rsidRDefault="00546EEB" w:rsidP="00546EEB">
            <w:pPr>
              <w:spacing w:after="200" w:line="276" w:lineRule="auto"/>
              <w:rPr>
                <w:rFonts w:ascii="Calibri" w:eastAsia="Calibri" w:hAnsi="Calibri" w:cs="Arial"/>
                <w:noProof/>
                <w:color w:val="000000"/>
                <w:sz w:val="20"/>
                <w:szCs w:val="20"/>
              </w:rPr>
            </w:pPr>
            <w:r>
              <w:rPr>
                <w:noProof/>
                <w:sz w:val="20"/>
              </w:rPr>
              <w:t>Pravni okvir za proizvodnju bioplina</w:t>
            </w:r>
          </w:p>
        </w:tc>
        <w:tc>
          <w:tcPr>
            <w:tcW w:w="1952" w:type="dxa"/>
            <w:tcBorders>
              <w:top w:val="single" w:sz="4" w:space="0" w:color="auto"/>
              <w:left w:val="nil"/>
              <w:bottom w:val="single" w:sz="4" w:space="0" w:color="auto"/>
              <w:right w:val="single" w:sz="4" w:space="0" w:color="auto"/>
            </w:tcBorders>
            <w:shd w:val="clear" w:color="auto" w:fill="C6EFCE"/>
            <w:noWrap/>
          </w:tcPr>
          <w:p w14:paraId="655E8791" w14:textId="0DED2EFF" w:rsidR="00546EEB" w:rsidRPr="004E2DDD" w:rsidRDefault="00546EEB" w:rsidP="00546EEB">
            <w:pPr>
              <w:spacing w:after="200" w:line="276" w:lineRule="auto"/>
              <w:rPr>
                <w:rFonts w:ascii="Calibri" w:eastAsia="Calibri" w:hAnsi="Calibri" w:cs="Arial"/>
                <w:noProof/>
                <w:color w:val="000000"/>
                <w:sz w:val="20"/>
                <w:szCs w:val="20"/>
              </w:rPr>
            </w:pPr>
            <w:r>
              <w:rPr>
                <w:noProof/>
                <w:color w:val="000000"/>
                <w:sz w:val="20"/>
              </w:rPr>
              <w:t>Odredba u pravnom aktu o utvrđivanju pravnog okvira za proizvodnju bioplina u kojoj se navodi njegovo stupanje na snagu</w:t>
            </w:r>
            <w:r>
              <w:rPr>
                <w:noProof/>
                <w:sz w:val="20"/>
              </w:rPr>
              <w:t xml:space="preserve"> </w:t>
            </w:r>
          </w:p>
        </w:tc>
        <w:tc>
          <w:tcPr>
            <w:tcW w:w="1131" w:type="dxa"/>
            <w:tcBorders>
              <w:top w:val="single" w:sz="4" w:space="0" w:color="auto"/>
              <w:left w:val="nil"/>
              <w:bottom w:val="single" w:sz="4" w:space="0" w:color="auto"/>
              <w:right w:val="single" w:sz="4" w:space="0" w:color="auto"/>
            </w:tcBorders>
            <w:shd w:val="clear" w:color="auto" w:fill="C6EFCE"/>
            <w:noWrap/>
          </w:tcPr>
          <w:p w14:paraId="7683AB80" w14:textId="77777777" w:rsidR="00546EEB" w:rsidRPr="00BC0323" w:rsidRDefault="00546EEB" w:rsidP="00546EEB">
            <w:pPr>
              <w:spacing w:after="200" w:line="276" w:lineRule="auto"/>
              <w:jc w:val="center"/>
              <w:rPr>
                <w:rFonts w:ascii="Calibri" w:eastAsia="Calibri" w:hAnsi="Calibri" w:cs="Arial"/>
                <w:noProof/>
                <w:color w:val="000000"/>
                <w:sz w:val="20"/>
                <w:szCs w:val="20"/>
              </w:rPr>
            </w:pPr>
          </w:p>
        </w:tc>
        <w:tc>
          <w:tcPr>
            <w:tcW w:w="868" w:type="dxa"/>
            <w:tcBorders>
              <w:top w:val="single" w:sz="4" w:space="0" w:color="auto"/>
              <w:left w:val="nil"/>
              <w:bottom w:val="single" w:sz="4" w:space="0" w:color="auto"/>
              <w:right w:val="single" w:sz="4" w:space="0" w:color="auto"/>
            </w:tcBorders>
            <w:shd w:val="clear" w:color="auto" w:fill="C6EFCE"/>
            <w:noWrap/>
          </w:tcPr>
          <w:p w14:paraId="345747EF" w14:textId="77777777" w:rsidR="00546EEB" w:rsidRPr="00BC0323" w:rsidRDefault="00546EEB" w:rsidP="00546EEB">
            <w:pPr>
              <w:spacing w:after="200" w:line="276" w:lineRule="auto"/>
              <w:jc w:val="center"/>
              <w:rPr>
                <w:rFonts w:ascii="Calibri" w:eastAsia="Calibri" w:hAnsi="Calibri" w:cs="Arial"/>
                <w:noProof/>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C6EFCE"/>
            <w:noWrap/>
          </w:tcPr>
          <w:p w14:paraId="136F6E2C" w14:textId="77777777" w:rsidR="00546EEB" w:rsidRPr="00BC0323" w:rsidRDefault="00546EEB" w:rsidP="00546EEB">
            <w:pPr>
              <w:spacing w:after="200" w:line="276" w:lineRule="auto"/>
              <w:jc w:val="center"/>
              <w:rPr>
                <w:rFonts w:ascii="Calibri" w:eastAsia="Calibri" w:hAnsi="Calibri" w:cs="Arial"/>
                <w:noProof/>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C6EFCE"/>
            <w:noWrap/>
          </w:tcPr>
          <w:p w14:paraId="34E2595D" w14:textId="5F30A0A3"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4.</w:t>
            </w:r>
          </w:p>
        </w:tc>
        <w:tc>
          <w:tcPr>
            <w:tcW w:w="567" w:type="dxa"/>
            <w:tcBorders>
              <w:top w:val="single" w:sz="4" w:space="0" w:color="auto"/>
              <w:left w:val="nil"/>
              <w:bottom w:val="single" w:sz="4" w:space="0" w:color="auto"/>
              <w:right w:val="single" w:sz="4" w:space="0" w:color="auto"/>
            </w:tcBorders>
            <w:shd w:val="clear" w:color="auto" w:fill="C6EFCE"/>
            <w:noWrap/>
          </w:tcPr>
          <w:p w14:paraId="6A8B1448" w14:textId="678F694D"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2025.</w:t>
            </w:r>
          </w:p>
        </w:tc>
        <w:tc>
          <w:tcPr>
            <w:tcW w:w="4160" w:type="dxa"/>
            <w:tcBorders>
              <w:top w:val="single" w:sz="4" w:space="0" w:color="auto"/>
              <w:left w:val="nil"/>
              <w:bottom w:val="single" w:sz="4" w:space="0" w:color="auto"/>
              <w:right w:val="single" w:sz="4" w:space="0" w:color="auto"/>
            </w:tcBorders>
            <w:shd w:val="clear" w:color="auto" w:fill="C6EFCE"/>
            <w:noWrap/>
          </w:tcPr>
          <w:p w14:paraId="749603A4" w14:textId="03C791E2" w:rsidR="00546EEB" w:rsidRPr="004E2DDD" w:rsidRDefault="00546EEB" w:rsidP="00546EEB">
            <w:pPr>
              <w:spacing w:after="200" w:line="276" w:lineRule="auto"/>
              <w:rPr>
                <w:rFonts w:ascii="Calibri" w:eastAsia="Calibri" w:hAnsi="Calibri" w:cs="Arial"/>
                <w:noProof/>
                <w:color w:val="000000"/>
                <w:sz w:val="20"/>
                <w:szCs w:val="20"/>
              </w:rPr>
            </w:pPr>
            <w:r>
              <w:rPr>
                <w:noProof/>
                <w:sz w:val="20"/>
              </w:rPr>
              <w:t>Izmjenama Pravilnika o dozvolama za obavljanje energetskih djelatnosti utvrdit će se pravni okvir za obavljanje energetske djelatnosti proizvodnje bioplina. Izmijenjenim Pravilnikom propisuju se uvjeti za obavljanje energetske djelatnosti proizvodnje bioplina.</w:t>
            </w:r>
          </w:p>
        </w:tc>
      </w:tr>
      <w:tr w:rsidR="00546EEB" w:rsidRPr="004E2DDD" w14:paraId="05765055"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BDFBD9C" w14:textId="0F640CC4" w:rsidR="00546EEB" w:rsidRDefault="00546EEB" w:rsidP="00546EEB">
            <w:pPr>
              <w:spacing w:after="0" w:line="276" w:lineRule="auto"/>
              <w:jc w:val="center"/>
              <w:rPr>
                <w:rFonts w:cstheme="minorHAnsi"/>
                <w:noProof/>
                <w:sz w:val="20"/>
                <w:szCs w:val="20"/>
              </w:rPr>
            </w:pPr>
            <w:r>
              <w:rPr>
                <w:noProof/>
                <w:sz w:val="20"/>
              </w:rPr>
              <w:t>417</w:t>
            </w:r>
          </w:p>
        </w:tc>
        <w:tc>
          <w:tcPr>
            <w:tcW w:w="852" w:type="dxa"/>
            <w:tcBorders>
              <w:top w:val="single" w:sz="4" w:space="0" w:color="auto"/>
              <w:left w:val="nil"/>
              <w:bottom w:val="single" w:sz="4" w:space="0" w:color="auto"/>
              <w:right w:val="single" w:sz="4" w:space="0" w:color="auto"/>
            </w:tcBorders>
            <w:shd w:val="clear" w:color="auto" w:fill="C6EFCE"/>
            <w:noWrap/>
          </w:tcPr>
          <w:p w14:paraId="2179D101" w14:textId="4665EC70" w:rsidR="00546EEB" w:rsidRPr="00B00BDB" w:rsidRDefault="00546EEB" w:rsidP="00546EEB">
            <w:pPr>
              <w:spacing w:after="200" w:line="276" w:lineRule="auto"/>
              <w:jc w:val="center"/>
              <w:rPr>
                <w:rFonts w:cstheme="minorHAnsi"/>
                <w:noProof/>
                <w:color w:val="000000" w:themeColor="text1"/>
                <w:sz w:val="20"/>
                <w:szCs w:val="20"/>
              </w:rPr>
            </w:pPr>
            <w:r>
              <w:rPr>
                <w:noProof/>
                <w:color w:val="000000" w:themeColor="text1"/>
                <w:sz w:val="20"/>
              </w:rPr>
              <w:t>C7.1. R1-I4</w:t>
            </w:r>
          </w:p>
        </w:tc>
        <w:tc>
          <w:tcPr>
            <w:tcW w:w="850" w:type="dxa"/>
            <w:tcBorders>
              <w:top w:val="single" w:sz="4" w:space="0" w:color="auto"/>
              <w:left w:val="nil"/>
              <w:bottom w:val="single" w:sz="4" w:space="0" w:color="auto"/>
              <w:right w:val="single" w:sz="4" w:space="0" w:color="auto"/>
            </w:tcBorders>
            <w:shd w:val="clear" w:color="auto" w:fill="C6EFCE"/>
            <w:noWrap/>
          </w:tcPr>
          <w:p w14:paraId="5953EA34" w14:textId="5E775032"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034CBABD" w14:textId="224C7C29" w:rsidR="00546EEB" w:rsidRPr="004E2DDD" w:rsidRDefault="00546EEB" w:rsidP="00546EEB">
            <w:pPr>
              <w:spacing w:after="200" w:line="276" w:lineRule="auto"/>
              <w:rPr>
                <w:rFonts w:ascii="Calibri" w:eastAsia="Calibri" w:hAnsi="Calibri" w:cs="Arial"/>
                <w:noProof/>
                <w:color w:val="000000"/>
                <w:sz w:val="20"/>
                <w:szCs w:val="20"/>
              </w:rPr>
            </w:pPr>
            <w:r>
              <w:rPr>
                <w:noProof/>
                <w:sz w:val="20"/>
              </w:rPr>
              <w:t xml:space="preserve">Postrojenje za proizvodnju biometana </w:t>
            </w:r>
          </w:p>
        </w:tc>
        <w:tc>
          <w:tcPr>
            <w:tcW w:w="1952" w:type="dxa"/>
            <w:tcBorders>
              <w:top w:val="single" w:sz="4" w:space="0" w:color="auto"/>
              <w:left w:val="nil"/>
              <w:bottom w:val="single" w:sz="4" w:space="0" w:color="auto"/>
              <w:right w:val="single" w:sz="4" w:space="0" w:color="auto"/>
            </w:tcBorders>
            <w:shd w:val="clear" w:color="auto" w:fill="C6EFCE"/>
            <w:noWrap/>
          </w:tcPr>
          <w:p w14:paraId="31A4A314" w14:textId="77777777" w:rsidR="00546EEB" w:rsidRPr="004E2DDD" w:rsidRDefault="00546EEB" w:rsidP="00546EEB">
            <w:pPr>
              <w:spacing w:after="200" w:line="276" w:lineRule="auto"/>
              <w:rPr>
                <w:rFonts w:ascii="Calibri" w:eastAsia="Calibri" w:hAnsi="Calibri" w:cs="Arial"/>
                <w:noProof/>
                <w:color w:val="000000"/>
                <w:sz w:val="20"/>
                <w:szCs w:val="20"/>
                <w:lang w:val="en-IE"/>
              </w:rPr>
            </w:pPr>
          </w:p>
        </w:tc>
        <w:tc>
          <w:tcPr>
            <w:tcW w:w="1131" w:type="dxa"/>
            <w:tcBorders>
              <w:top w:val="single" w:sz="4" w:space="0" w:color="auto"/>
              <w:left w:val="nil"/>
              <w:bottom w:val="single" w:sz="4" w:space="0" w:color="auto"/>
              <w:right w:val="single" w:sz="4" w:space="0" w:color="auto"/>
            </w:tcBorders>
            <w:shd w:val="clear" w:color="auto" w:fill="C6EFCE"/>
            <w:noWrap/>
          </w:tcPr>
          <w:p w14:paraId="1410F583" w14:textId="6B43FD3F"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Broj</w:t>
            </w:r>
          </w:p>
        </w:tc>
        <w:tc>
          <w:tcPr>
            <w:tcW w:w="868" w:type="dxa"/>
            <w:tcBorders>
              <w:top w:val="single" w:sz="4" w:space="0" w:color="auto"/>
              <w:left w:val="nil"/>
              <w:bottom w:val="single" w:sz="4" w:space="0" w:color="auto"/>
              <w:right w:val="single" w:sz="4" w:space="0" w:color="auto"/>
            </w:tcBorders>
            <w:shd w:val="clear" w:color="auto" w:fill="C6EFCE"/>
            <w:noWrap/>
          </w:tcPr>
          <w:p w14:paraId="69A75264" w14:textId="2A573740"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5310C22F" w14:textId="6EEF5250"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1</w:t>
            </w:r>
          </w:p>
        </w:tc>
        <w:tc>
          <w:tcPr>
            <w:tcW w:w="567" w:type="dxa"/>
            <w:tcBorders>
              <w:top w:val="single" w:sz="4" w:space="0" w:color="auto"/>
              <w:left w:val="nil"/>
              <w:bottom w:val="single" w:sz="4" w:space="0" w:color="auto"/>
              <w:right w:val="single" w:sz="4" w:space="0" w:color="auto"/>
            </w:tcBorders>
            <w:shd w:val="clear" w:color="auto" w:fill="C6EFCE"/>
            <w:noWrap/>
          </w:tcPr>
          <w:p w14:paraId="44F66894" w14:textId="6E35AC83"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3C16D7FF" w14:textId="1C281BB2"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49BB4A1D" w14:textId="77777777" w:rsidR="00546EEB" w:rsidRPr="004E2DDD" w:rsidRDefault="00546EEB" w:rsidP="00546EEB">
            <w:pPr>
              <w:spacing w:after="200" w:line="276" w:lineRule="auto"/>
              <w:rPr>
                <w:rFonts w:eastAsia="Calibri" w:cstheme="minorHAnsi"/>
                <w:noProof/>
                <w:sz w:val="20"/>
                <w:szCs w:val="20"/>
              </w:rPr>
            </w:pPr>
            <w:r>
              <w:rPr>
                <w:noProof/>
                <w:sz w:val="20"/>
              </w:rPr>
              <w:t xml:space="preserve">Postrojenje za proizvodnju biometana bit će dovršeno i u funkciji s godišnjim kapacitetom od najmanje 4 000 000 m³ održivog biometana proizvedenog u skladu s Direktivom o energiji iz obnovljivih izvora (EU) 2018/2001. </w:t>
            </w:r>
          </w:p>
          <w:p w14:paraId="5369307F" w14:textId="31171B32" w:rsidR="00546EEB" w:rsidRPr="004E2DDD" w:rsidRDefault="00546EEB" w:rsidP="00546EEB">
            <w:pPr>
              <w:spacing w:after="200" w:line="276" w:lineRule="auto"/>
              <w:rPr>
                <w:rFonts w:ascii="Calibri" w:eastAsia="Calibri" w:hAnsi="Calibri" w:cs="Arial"/>
                <w:noProof/>
                <w:color w:val="000000"/>
                <w:sz w:val="20"/>
                <w:szCs w:val="20"/>
              </w:rPr>
            </w:pPr>
            <w:r>
              <w:rPr>
                <w:noProof/>
                <w:color w:val="000000"/>
                <w:sz w:val="20"/>
              </w:rPr>
              <w:t>Dostavit će se dokazi da proizvodnja ne uzrokuje smanjenje ponora ugljika.</w:t>
            </w:r>
          </w:p>
        </w:tc>
      </w:tr>
      <w:tr w:rsidR="00546EEB" w:rsidRPr="004E2DDD" w14:paraId="1155FB8F"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4DC50ED7" w14:textId="654E823E" w:rsidR="00546EEB" w:rsidRDefault="00546EEB" w:rsidP="00546EEB">
            <w:pPr>
              <w:spacing w:after="0" w:line="276" w:lineRule="auto"/>
              <w:jc w:val="center"/>
              <w:rPr>
                <w:rFonts w:cstheme="minorHAnsi"/>
                <w:noProof/>
                <w:sz w:val="20"/>
                <w:szCs w:val="20"/>
              </w:rPr>
            </w:pPr>
            <w:r>
              <w:rPr>
                <w:noProof/>
                <w:sz w:val="20"/>
              </w:rPr>
              <w:t>418</w:t>
            </w:r>
          </w:p>
        </w:tc>
        <w:tc>
          <w:tcPr>
            <w:tcW w:w="852" w:type="dxa"/>
            <w:tcBorders>
              <w:top w:val="single" w:sz="4" w:space="0" w:color="auto"/>
              <w:left w:val="nil"/>
              <w:bottom w:val="single" w:sz="4" w:space="0" w:color="auto"/>
              <w:right w:val="single" w:sz="4" w:space="0" w:color="auto"/>
            </w:tcBorders>
            <w:shd w:val="clear" w:color="auto" w:fill="C6EFCE"/>
            <w:noWrap/>
          </w:tcPr>
          <w:p w14:paraId="1BD73CB4" w14:textId="0356C50C" w:rsidR="00546EEB" w:rsidRPr="00B00BDB" w:rsidRDefault="00546EEB" w:rsidP="00546EEB">
            <w:pPr>
              <w:spacing w:after="200" w:line="276" w:lineRule="auto"/>
              <w:jc w:val="center"/>
              <w:rPr>
                <w:rFonts w:cstheme="minorHAnsi"/>
                <w:noProof/>
                <w:color w:val="000000" w:themeColor="text1"/>
                <w:sz w:val="20"/>
                <w:szCs w:val="20"/>
              </w:rPr>
            </w:pPr>
            <w:r>
              <w:rPr>
                <w:noProof/>
                <w:color w:val="000000" w:themeColor="text1"/>
                <w:sz w:val="20"/>
              </w:rPr>
              <w:t>C7.1. R1-I4</w:t>
            </w:r>
          </w:p>
        </w:tc>
        <w:tc>
          <w:tcPr>
            <w:tcW w:w="850" w:type="dxa"/>
            <w:tcBorders>
              <w:top w:val="single" w:sz="4" w:space="0" w:color="auto"/>
              <w:left w:val="nil"/>
              <w:bottom w:val="single" w:sz="4" w:space="0" w:color="auto"/>
              <w:right w:val="single" w:sz="4" w:space="0" w:color="auto"/>
            </w:tcBorders>
            <w:shd w:val="clear" w:color="auto" w:fill="C6EFCE"/>
            <w:noWrap/>
          </w:tcPr>
          <w:p w14:paraId="2B407CC4" w14:textId="4ACC23ED"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63FF2798" w14:textId="148B1FA8" w:rsidR="00546EEB" w:rsidRPr="004E2DDD" w:rsidRDefault="00546EEB" w:rsidP="00546EEB">
            <w:pPr>
              <w:spacing w:after="200" w:line="276" w:lineRule="auto"/>
              <w:rPr>
                <w:rFonts w:ascii="Calibri" w:eastAsia="Calibri" w:hAnsi="Calibri" w:cs="Arial"/>
                <w:noProof/>
                <w:color w:val="000000"/>
                <w:sz w:val="20"/>
                <w:szCs w:val="20"/>
              </w:rPr>
            </w:pPr>
            <w:r>
              <w:rPr>
                <w:noProof/>
                <w:sz w:val="20"/>
              </w:rPr>
              <w:t>Infrastruktura za punjenje električnih autobusa</w:t>
            </w:r>
          </w:p>
        </w:tc>
        <w:tc>
          <w:tcPr>
            <w:tcW w:w="1952" w:type="dxa"/>
            <w:tcBorders>
              <w:top w:val="single" w:sz="4" w:space="0" w:color="auto"/>
              <w:left w:val="nil"/>
              <w:bottom w:val="single" w:sz="4" w:space="0" w:color="auto"/>
              <w:right w:val="single" w:sz="4" w:space="0" w:color="auto"/>
            </w:tcBorders>
            <w:shd w:val="clear" w:color="auto" w:fill="C6EFCE"/>
            <w:noWrap/>
          </w:tcPr>
          <w:p w14:paraId="4E9EDB7E" w14:textId="77777777" w:rsidR="00546EEB" w:rsidRPr="00BC0323" w:rsidRDefault="00546EEB" w:rsidP="00546EEB">
            <w:pPr>
              <w:spacing w:after="200" w:line="276" w:lineRule="auto"/>
              <w:rPr>
                <w:rFonts w:ascii="Calibri" w:eastAsia="Calibri" w:hAnsi="Calibri" w:cs="Arial"/>
                <w:noProof/>
                <w:color w:val="000000"/>
                <w:sz w:val="20"/>
                <w:szCs w:val="20"/>
                <w:lang w:val="fr-BE"/>
              </w:rPr>
            </w:pPr>
          </w:p>
        </w:tc>
        <w:tc>
          <w:tcPr>
            <w:tcW w:w="1131" w:type="dxa"/>
            <w:tcBorders>
              <w:top w:val="single" w:sz="4" w:space="0" w:color="auto"/>
              <w:left w:val="nil"/>
              <w:bottom w:val="single" w:sz="4" w:space="0" w:color="auto"/>
              <w:right w:val="single" w:sz="4" w:space="0" w:color="auto"/>
            </w:tcBorders>
            <w:shd w:val="clear" w:color="auto" w:fill="C6EFCE"/>
            <w:noWrap/>
          </w:tcPr>
          <w:p w14:paraId="3F57527B" w14:textId="384A1A5E"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Broj</w:t>
            </w:r>
          </w:p>
        </w:tc>
        <w:tc>
          <w:tcPr>
            <w:tcW w:w="868" w:type="dxa"/>
            <w:tcBorders>
              <w:top w:val="single" w:sz="4" w:space="0" w:color="auto"/>
              <w:left w:val="nil"/>
              <w:bottom w:val="single" w:sz="4" w:space="0" w:color="auto"/>
              <w:right w:val="single" w:sz="4" w:space="0" w:color="auto"/>
            </w:tcBorders>
            <w:shd w:val="clear" w:color="auto" w:fill="C6EFCE"/>
            <w:noWrap/>
          </w:tcPr>
          <w:p w14:paraId="14040D21" w14:textId="0DE253AE"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7A7879A9" w14:textId="3EB0F149"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150</w:t>
            </w:r>
          </w:p>
        </w:tc>
        <w:tc>
          <w:tcPr>
            <w:tcW w:w="567" w:type="dxa"/>
            <w:tcBorders>
              <w:top w:val="single" w:sz="4" w:space="0" w:color="auto"/>
              <w:left w:val="nil"/>
              <w:bottom w:val="single" w:sz="4" w:space="0" w:color="auto"/>
              <w:right w:val="single" w:sz="4" w:space="0" w:color="auto"/>
            </w:tcBorders>
            <w:shd w:val="clear" w:color="auto" w:fill="C6EFCE"/>
            <w:noWrap/>
          </w:tcPr>
          <w:p w14:paraId="7AE03DF4" w14:textId="25254467"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07B5B9B2" w14:textId="21BDF6D1" w:rsidR="00546EEB" w:rsidRPr="004E2DDD" w:rsidRDefault="00546EEB" w:rsidP="00546EEB">
            <w:pPr>
              <w:spacing w:after="200" w:line="276" w:lineRule="auto"/>
              <w:jc w:val="center"/>
              <w:rPr>
                <w:rFonts w:ascii="Calibri" w:eastAsia="Calibri" w:hAnsi="Calibri" w:cs="Arial"/>
                <w:noProof/>
                <w:color w:val="000000"/>
                <w:sz w:val="20"/>
                <w:szCs w:val="20"/>
              </w:rPr>
            </w:pPr>
            <w:r>
              <w:rPr>
                <w:noProof/>
                <w:sz w:val="20"/>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61A1A579" w14:textId="0FB269C6" w:rsidR="00546EEB" w:rsidRPr="004E2DDD" w:rsidRDefault="00546EEB" w:rsidP="00546EEB">
            <w:pPr>
              <w:spacing w:after="200" w:line="276" w:lineRule="auto"/>
              <w:rPr>
                <w:rFonts w:ascii="Calibri" w:eastAsia="Calibri" w:hAnsi="Calibri" w:cs="Arial"/>
                <w:noProof/>
                <w:color w:val="000000"/>
                <w:sz w:val="20"/>
                <w:szCs w:val="20"/>
              </w:rPr>
            </w:pPr>
            <w:r>
              <w:rPr>
                <w:rFonts w:ascii="Calibri" w:hAnsi="Calibri"/>
                <w:noProof/>
                <w:color w:val="000000"/>
                <w:sz w:val="20"/>
              </w:rPr>
              <w:t>Nakon javnog poziva za financiranje uvođenja infrastrukture za punjenje električnih autobusa u iznosu od 50 000 000 EUR dovršit će se najmanje 150 punionica.</w:t>
            </w:r>
          </w:p>
        </w:tc>
      </w:tr>
      <w:tr w:rsidR="009C2121" w:rsidRPr="004E2DDD" w14:paraId="6147CF8C"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8309341" w14:textId="2A061909" w:rsidR="00146C1C" w:rsidRPr="00D85183" w:rsidRDefault="00F45239" w:rsidP="0001477B">
            <w:pPr>
              <w:spacing w:after="0" w:line="276" w:lineRule="auto"/>
              <w:jc w:val="center"/>
              <w:rPr>
                <w:rFonts w:cstheme="minorHAnsi"/>
                <w:noProof/>
                <w:sz w:val="20"/>
                <w:szCs w:val="20"/>
              </w:rPr>
            </w:pPr>
            <w:r>
              <w:rPr>
                <w:noProof/>
                <w:sz w:val="20"/>
              </w:rPr>
              <w:t>55</w:t>
            </w:r>
          </w:p>
        </w:tc>
        <w:tc>
          <w:tcPr>
            <w:tcW w:w="852" w:type="dxa"/>
            <w:tcBorders>
              <w:top w:val="single" w:sz="4" w:space="0" w:color="auto"/>
              <w:left w:val="nil"/>
              <w:bottom w:val="single" w:sz="4" w:space="0" w:color="auto"/>
              <w:right w:val="single" w:sz="4" w:space="0" w:color="auto"/>
            </w:tcBorders>
            <w:shd w:val="clear" w:color="auto" w:fill="C6EFCE"/>
            <w:noWrap/>
          </w:tcPr>
          <w:p w14:paraId="3A8E051F" w14:textId="381A75B1" w:rsidR="00146C1C" w:rsidRPr="00B00BD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R1-I5</w:t>
            </w:r>
          </w:p>
        </w:tc>
        <w:tc>
          <w:tcPr>
            <w:tcW w:w="850" w:type="dxa"/>
            <w:tcBorders>
              <w:top w:val="single" w:sz="4" w:space="0" w:color="auto"/>
              <w:left w:val="nil"/>
              <w:bottom w:val="single" w:sz="4" w:space="0" w:color="auto"/>
              <w:right w:val="single" w:sz="4" w:space="0" w:color="auto"/>
            </w:tcBorders>
            <w:shd w:val="clear" w:color="auto" w:fill="C6EFCE"/>
            <w:noWrap/>
          </w:tcPr>
          <w:p w14:paraId="75674E4D" w14:textId="77777777" w:rsidR="00146C1C" w:rsidRPr="004E2DDD" w:rsidRDefault="00146C1C" w:rsidP="0001477B">
            <w:pPr>
              <w:spacing w:after="200" w:line="276" w:lineRule="auto"/>
              <w:jc w:val="center"/>
              <w:rPr>
                <w:rFonts w:eastAsia="Calibri" w:cstheme="minorHAnsi"/>
                <w:noProof/>
                <w:sz w:val="20"/>
                <w:szCs w:val="20"/>
              </w:rPr>
            </w:pPr>
            <w:r>
              <w:rPr>
                <w:rFonts w:ascii="Calibri" w:hAnsi="Calibri"/>
                <w:noProof/>
                <w:color w:val="000000"/>
                <w:sz w:val="20"/>
              </w:rPr>
              <w:t>Ključna etapa</w:t>
            </w:r>
          </w:p>
        </w:tc>
        <w:tc>
          <w:tcPr>
            <w:tcW w:w="2552" w:type="dxa"/>
            <w:tcBorders>
              <w:top w:val="single" w:sz="4" w:space="0" w:color="auto"/>
              <w:left w:val="nil"/>
              <w:bottom w:val="single" w:sz="4" w:space="0" w:color="auto"/>
              <w:right w:val="single" w:sz="4" w:space="0" w:color="auto"/>
            </w:tcBorders>
            <w:shd w:val="clear" w:color="auto" w:fill="C6EFCE"/>
            <w:noWrap/>
          </w:tcPr>
          <w:p w14:paraId="1733CA39" w14:textId="77777777" w:rsidR="00146C1C" w:rsidRPr="004E2DDD" w:rsidRDefault="00146C1C" w:rsidP="0001477B">
            <w:pPr>
              <w:spacing w:after="200" w:line="276" w:lineRule="auto"/>
              <w:rPr>
                <w:rFonts w:eastAsia="Calibri" w:cstheme="minorHAnsi"/>
                <w:noProof/>
                <w:color w:val="000000"/>
                <w:sz w:val="20"/>
                <w:szCs w:val="20"/>
              </w:rPr>
            </w:pPr>
            <w:r>
              <w:rPr>
                <w:rFonts w:ascii="Calibri" w:hAnsi="Calibri"/>
                <w:noProof/>
                <w:color w:val="000000"/>
                <w:sz w:val="20"/>
              </w:rPr>
              <w:t>Donesen Plan proizvodnje i korištenja biogoriva u prometu</w:t>
            </w:r>
          </w:p>
        </w:tc>
        <w:tc>
          <w:tcPr>
            <w:tcW w:w="1952" w:type="dxa"/>
            <w:tcBorders>
              <w:top w:val="single" w:sz="4" w:space="0" w:color="auto"/>
              <w:left w:val="nil"/>
              <w:bottom w:val="single" w:sz="4" w:space="0" w:color="auto"/>
              <w:right w:val="single" w:sz="4" w:space="0" w:color="auto"/>
            </w:tcBorders>
            <w:shd w:val="clear" w:color="auto" w:fill="C6EFCE"/>
            <w:noWrap/>
          </w:tcPr>
          <w:p w14:paraId="38E1B610" w14:textId="77777777" w:rsidR="00146C1C" w:rsidRPr="004E2DDD" w:rsidRDefault="00146C1C" w:rsidP="0001477B">
            <w:pPr>
              <w:spacing w:after="200" w:line="276" w:lineRule="auto"/>
              <w:rPr>
                <w:rFonts w:eastAsia="Calibri" w:cstheme="minorHAnsi"/>
                <w:noProof/>
                <w:sz w:val="20"/>
                <w:szCs w:val="20"/>
              </w:rPr>
            </w:pPr>
            <w:r>
              <w:rPr>
                <w:rFonts w:ascii="Calibri" w:hAnsi="Calibri"/>
                <w:noProof/>
                <w:color w:val="000000"/>
                <w:sz w:val="20"/>
              </w:rPr>
              <w:t>Stupanje na snagu Plana i programa proizvodnje i korištenja biogoriva u prometu</w:t>
            </w:r>
          </w:p>
        </w:tc>
        <w:tc>
          <w:tcPr>
            <w:tcW w:w="1131" w:type="dxa"/>
            <w:tcBorders>
              <w:top w:val="single" w:sz="4" w:space="0" w:color="auto"/>
              <w:left w:val="nil"/>
              <w:bottom w:val="single" w:sz="4" w:space="0" w:color="auto"/>
              <w:right w:val="single" w:sz="4" w:space="0" w:color="auto"/>
            </w:tcBorders>
            <w:shd w:val="clear" w:color="auto" w:fill="C6EFCE"/>
            <w:noWrap/>
          </w:tcPr>
          <w:p w14:paraId="461256FC" w14:textId="77777777" w:rsidR="00146C1C" w:rsidRPr="004E2DDD" w:rsidRDefault="00146C1C" w:rsidP="0001477B">
            <w:pPr>
              <w:spacing w:after="200" w:line="276" w:lineRule="auto"/>
              <w:jc w:val="center"/>
              <w:rPr>
                <w:rFonts w:eastAsia="Calibri" w:cstheme="minorHAnsi"/>
                <w:noProof/>
                <w:color w:val="000000"/>
                <w:sz w:val="20"/>
                <w:szCs w:val="20"/>
              </w:rPr>
            </w:pPr>
            <w:r>
              <w:rPr>
                <w:rFonts w:ascii="Calibri" w:hAnsi="Calibri"/>
                <w:noProof/>
                <w:color w:val="000000"/>
                <w:sz w:val="20"/>
              </w:rPr>
              <w:t> </w:t>
            </w:r>
          </w:p>
        </w:tc>
        <w:tc>
          <w:tcPr>
            <w:tcW w:w="868" w:type="dxa"/>
            <w:tcBorders>
              <w:top w:val="single" w:sz="4" w:space="0" w:color="auto"/>
              <w:left w:val="nil"/>
              <w:bottom w:val="single" w:sz="4" w:space="0" w:color="auto"/>
              <w:right w:val="single" w:sz="4" w:space="0" w:color="auto"/>
            </w:tcBorders>
            <w:shd w:val="clear" w:color="auto" w:fill="C6EFCE"/>
            <w:noWrap/>
          </w:tcPr>
          <w:p w14:paraId="489FCCDA" w14:textId="77777777" w:rsidR="00146C1C" w:rsidRPr="004E2DDD" w:rsidRDefault="00146C1C" w:rsidP="0001477B">
            <w:pPr>
              <w:spacing w:after="200" w:line="276" w:lineRule="auto"/>
              <w:jc w:val="center"/>
              <w:rPr>
                <w:rFonts w:eastAsia="Calibri" w:cstheme="minorHAnsi"/>
                <w:noProof/>
                <w:color w:val="000000"/>
                <w:sz w:val="20"/>
                <w:szCs w:val="20"/>
              </w:rPr>
            </w:pPr>
            <w:r>
              <w:rPr>
                <w:rFonts w:ascii="Calibri" w:hAnsi="Calibri"/>
                <w:noProof/>
                <w:color w:val="000000"/>
                <w:sz w:val="20"/>
              </w:rPr>
              <w:t> </w:t>
            </w:r>
          </w:p>
        </w:tc>
        <w:tc>
          <w:tcPr>
            <w:tcW w:w="850" w:type="dxa"/>
            <w:tcBorders>
              <w:top w:val="single" w:sz="4" w:space="0" w:color="auto"/>
              <w:left w:val="nil"/>
              <w:bottom w:val="single" w:sz="4" w:space="0" w:color="auto"/>
              <w:right w:val="single" w:sz="4" w:space="0" w:color="auto"/>
            </w:tcBorders>
            <w:shd w:val="clear" w:color="auto" w:fill="C6EFCE"/>
            <w:noWrap/>
          </w:tcPr>
          <w:p w14:paraId="35828FBA" w14:textId="77777777" w:rsidR="00146C1C" w:rsidRPr="004E2DDD" w:rsidRDefault="00146C1C" w:rsidP="0001477B">
            <w:pPr>
              <w:spacing w:after="200" w:line="276" w:lineRule="auto"/>
              <w:jc w:val="center"/>
              <w:rPr>
                <w:rFonts w:eastAsia="Calibri" w:cstheme="minorHAnsi"/>
                <w:noProof/>
                <w:color w:val="000000"/>
                <w:sz w:val="20"/>
                <w:szCs w:val="20"/>
              </w:rPr>
            </w:pPr>
            <w:r>
              <w:rPr>
                <w:rFonts w:ascii="Calibri" w:hAnsi="Calibri"/>
                <w:noProof/>
                <w:color w:val="000000"/>
                <w:sz w:val="20"/>
              </w:rPr>
              <w:t> </w:t>
            </w:r>
          </w:p>
        </w:tc>
        <w:tc>
          <w:tcPr>
            <w:tcW w:w="567" w:type="dxa"/>
            <w:tcBorders>
              <w:top w:val="single" w:sz="4" w:space="0" w:color="auto"/>
              <w:left w:val="nil"/>
              <w:bottom w:val="single" w:sz="4" w:space="0" w:color="auto"/>
              <w:right w:val="single" w:sz="4" w:space="0" w:color="auto"/>
            </w:tcBorders>
            <w:shd w:val="clear" w:color="auto" w:fill="C6EFCE"/>
            <w:noWrap/>
          </w:tcPr>
          <w:p w14:paraId="6CD0A5D0" w14:textId="77777777" w:rsidR="00146C1C" w:rsidRPr="004E2DDD" w:rsidRDefault="00146C1C" w:rsidP="0001477B">
            <w:pPr>
              <w:spacing w:after="200" w:line="276" w:lineRule="auto"/>
              <w:jc w:val="center"/>
              <w:rPr>
                <w:rFonts w:eastAsia="Calibri" w:cstheme="minorHAnsi"/>
                <w:noProof/>
                <w:color w:val="000000"/>
                <w:sz w:val="20"/>
                <w:szCs w:val="20"/>
              </w:rPr>
            </w:pPr>
            <w:r>
              <w:rPr>
                <w:rFonts w:ascii="Calibri" w:hAnsi="Calibri"/>
                <w:noProof/>
                <w:color w:val="000000"/>
                <w:sz w:val="20"/>
              </w:rPr>
              <w:t>4.</w:t>
            </w:r>
          </w:p>
        </w:tc>
        <w:tc>
          <w:tcPr>
            <w:tcW w:w="567" w:type="dxa"/>
            <w:tcBorders>
              <w:top w:val="single" w:sz="4" w:space="0" w:color="auto"/>
              <w:left w:val="nil"/>
              <w:bottom w:val="single" w:sz="4" w:space="0" w:color="auto"/>
              <w:right w:val="single" w:sz="4" w:space="0" w:color="auto"/>
            </w:tcBorders>
            <w:shd w:val="clear" w:color="auto" w:fill="C6EFCE"/>
            <w:noWrap/>
          </w:tcPr>
          <w:p w14:paraId="1B761533" w14:textId="77777777" w:rsidR="00146C1C" w:rsidRPr="004E2DDD" w:rsidRDefault="00146C1C" w:rsidP="0001477B">
            <w:pPr>
              <w:spacing w:after="200" w:line="276" w:lineRule="auto"/>
              <w:jc w:val="center"/>
              <w:rPr>
                <w:rFonts w:eastAsia="Calibri" w:cstheme="minorHAnsi"/>
                <w:noProof/>
                <w:color w:val="000000"/>
                <w:sz w:val="20"/>
                <w:szCs w:val="20"/>
              </w:rPr>
            </w:pPr>
            <w:r>
              <w:rPr>
                <w:rFonts w:ascii="Calibri" w:hAnsi="Calibri"/>
                <w:noProof/>
                <w:color w:val="000000"/>
                <w:sz w:val="20"/>
              </w:rPr>
              <w:t>2023.</w:t>
            </w:r>
          </w:p>
        </w:tc>
        <w:tc>
          <w:tcPr>
            <w:tcW w:w="4160" w:type="dxa"/>
            <w:tcBorders>
              <w:top w:val="single" w:sz="4" w:space="0" w:color="auto"/>
              <w:left w:val="nil"/>
              <w:bottom w:val="single" w:sz="4" w:space="0" w:color="auto"/>
              <w:right w:val="single" w:sz="4" w:space="0" w:color="auto"/>
            </w:tcBorders>
            <w:shd w:val="clear" w:color="auto" w:fill="C6EFCE"/>
            <w:noWrap/>
          </w:tcPr>
          <w:p w14:paraId="1C180A17" w14:textId="77777777" w:rsidR="00146C1C" w:rsidRPr="004E2DDD" w:rsidRDefault="00146C1C" w:rsidP="0001477B">
            <w:pPr>
              <w:spacing w:after="200" w:line="276" w:lineRule="auto"/>
              <w:rPr>
                <w:rFonts w:eastAsia="Calibri" w:cstheme="minorHAnsi"/>
                <w:noProof/>
                <w:color w:val="000000"/>
                <w:sz w:val="20"/>
                <w:szCs w:val="20"/>
              </w:rPr>
            </w:pPr>
            <w:r>
              <w:rPr>
                <w:rFonts w:ascii="Calibri" w:hAnsi="Calibri"/>
                <w:noProof/>
                <w:color w:val="000000"/>
                <w:sz w:val="20"/>
              </w:rPr>
              <w:t>Plan proizvodnje i korištenja biogoriva u prometu stupit će na snagu. Planom će se utvrditi politika promicanja proizvodnje i korištenja naprednih biogoriva u prometu u Republici Hrvatskoj. Plan uključuje tekući pregled i procjenu stanja tržišta biogorivima, novih poslovnih modela, dionika i mjera namijenjenih povećanju proizvodnje i korištenju naprednih biogoriva u prometu.</w:t>
            </w:r>
          </w:p>
        </w:tc>
      </w:tr>
      <w:tr w:rsidR="009C2121" w:rsidRPr="004E2DDD" w14:paraId="154E8085"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1AF21ABC" w14:textId="6988A271" w:rsidR="00146C1C" w:rsidRPr="004E2DDD" w:rsidRDefault="00CB6DFF" w:rsidP="0001477B">
            <w:pPr>
              <w:spacing w:after="0" w:line="276" w:lineRule="auto"/>
              <w:jc w:val="center"/>
              <w:rPr>
                <w:rFonts w:eastAsia="Calibri" w:cstheme="minorHAnsi"/>
                <w:noProof/>
                <w:sz w:val="20"/>
                <w:szCs w:val="20"/>
              </w:rPr>
            </w:pPr>
            <w:r>
              <w:rPr>
                <w:noProof/>
                <w:sz w:val="20"/>
              </w:rPr>
              <w:t>57</w:t>
            </w:r>
          </w:p>
        </w:tc>
        <w:tc>
          <w:tcPr>
            <w:tcW w:w="852" w:type="dxa"/>
            <w:tcBorders>
              <w:top w:val="single" w:sz="4" w:space="0" w:color="auto"/>
              <w:left w:val="nil"/>
              <w:bottom w:val="single" w:sz="4" w:space="0" w:color="auto"/>
              <w:right w:val="single" w:sz="4" w:space="0" w:color="auto"/>
            </w:tcBorders>
            <w:shd w:val="clear" w:color="auto" w:fill="C6EFCE"/>
            <w:noWrap/>
          </w:tcPr>
          <w:p w14:paraId="54F84ED9" w14:textId="416FBCEC" w:rsidR="00146C1C" w:rsidRPr="004E2DDD" w:rsidRDefault="00146C1C" w:rsidP="0001477B">
            <w:pPr>
              <w:spacing w:after="200" w:line="276" w:lineRule="auto"/>
              <w:jc w:val="center"/>
              <w:rPr>
                <w:rFonts w:eastAsia="Calibri" w:cstheme="minorHAnsi"/>
                <w:noProof/>
                <w:sz w:val="20"/>
                <w:szCs w:val="20"/>
              </w:rPr>
            </w:pPr>
            <w:r>
              <w:rPr>
                <w:noProof/>
                <w:color w:val="000000" w:themeColor="text1"/>
                <w:sz w:val="20"/>
              </w:rPr>
              <w:t>C7.1. R1-I5</w:t>
            </w:r>
          </w:p>
        </w:tc>
        <w:tc>
          <w:tcPr>
            <w:tcW w:w="850" w:type="dxa"/>
            <w:tcBorders>
              <w:top w:val="single" w:sz="4" w:space="0" w:color="auto"/>
              <w:left w:val="nil"/>
              <w:bottom w:val="single" w:sz="4" w:space="0" w:color="auto"/>
              <w:right w:val="single" w:sz="4" w:space="0" w:color="auto"/>
            </w:tcBorders>
            <w:shd w:val="clear" w:color="auto" w:fill="C6EFCE"/>
            <w:noWrap/>
          </w:tcPr>
          <w:p w14:paraId="54F5CFA5" w14:textId="77777777" w:rsidR="00146C1C" w:rsidRPr="004E2DDD" w:rsidRDefault="00146C1C" w:rsidP="0001477B">
            <w:pPr>
              <w:spacing w:after="200" w:line="276" w:lineRule="auto"/>
              <w:jc w:val="center"/>
              <w:rPr>
                <w:rFonts w:eastAsia="Calibri" w:cstheme="minorHAnsi"/>
                <w:noProof/>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752BCD99" w14:textId="77777777" w:rsidR="00146C1C" w:rsidRPr="004E2DDD" w:rsidRDefault="00146C1C" w:rsidP="0001477B">
            <w:pPr>
              <w:spacing w:after="200" w:line="276" w:lineRule="auto"/>
              <w:rPr>
                <w:rFonts w:eastAsia="Calibri" w:cstheme="minorHAnsi"/>
                <w:noProof/>
                <w:sz w:val="20"/>
                <w:szCs w:val="20"/>
              </w:rPr>
            </w:pPr>
            <w:r>
              <w:rPr>
                <w:noProof/>
                <w:color w:val="000000"/>
                <w:sz w:val="20"/>
              </w:rPr>
              <w:t>Biorafinerija je izgrađena i u funkciji</w:t>
            </w:r>
          </w:p>
        </w:tc>
        <w:tc>
          <w:tcPr>
            <w:tcW w:w="1952" w:type="dxa"/>
            <w:tcBorders>
              <w:top w:val="single" w:sz="4" w:space="0" w:color="auto"/>
              <w:left w:val="nil"/>
              <w:bottom w:val="single" w:sz="4" w:space="0" w:color="auto"/>
              <w:right w:val="single" w:sz="4" w:space="0" w:color="auto"/>
            </w:tcBorders>
            <w:shd w:val="clear" w:color="auto" w:fill="C6EFCE"/>
            <w:noWrap/>
          </w:tcPr>
          <w:p w14:paraId="2C7B4C90" w14:textId="77777777" w:rsidR="00146C1C" w:rsidRPr="00BC0323" w:rsidRDefault="00146C1C" w:rsidP="0001477B">
            <w:pPr>
              <w:spacing w:after="200" w:line="276" w:lineRule="auto"/>
              <w:rPr>
                <w:rFonts w:eastAsia="Calibri" w:cstheme="minorHAnsi"/>
                <w:noProof/>
                <w:sz w:val="20"/>
                <w:szCs w:val="20"/>
                <w:lang w:val="fr-BE"/>
              </w:rPr>
            </w:pPr>
          </w:p>
        </w:tc>
        <w:tc>
          <w:tcPr>
            <w:tcW w:w="1131" w:type="dxa"/>
            <w:tcBorders>
              <w:top w:val="single" w:sz="4" w:space="0" w:color="auto"/>
              <w:left w:val="nil"/>
              <w:bottom w:val="single" w:sz="4" w:space="0" w:color="auto"/>
              <w:right w:val="single" w:sz="4" w:space="0" w:color="auto"/>
            </w:tcBorders>
            <w:shd w:val="clear" w:color="auto" w:fill="C6EFCE"/>
            <w:noWrap/>
          </w:tcPr>
          <w:p w14:paraId="1134EC09"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Broj</w:t>
            </w:r>
          </w:p>
        </w:tc>
        <w:tc>
          <w:tcPr>
            <w:tcW w:w="868" w:type="dxa"/>
            <w:tcBorders>
              <w:top w:val="single" w:sz="4" w:space="0" w:color="auto"/>
              <w:left w:val="nil"/>
              <w:bottom w:val="single" w:sz="4" w:space="0" w:color="auto"/>
              <w:right w:val="single" w:sz="4" w:space="0" w:color="auto"/>
            </w:tcBorders>
            <w:shd w:val="clear" w:color="auto" w:fill="C6EFCE"/>
            <w:noWrap/>
          </w:tcPr>
          <w:p w14:paraId="364FBFD4"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2C7F0873"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1</w:t>
            </w:r>
          </w:p>
        </w:tc>
        <w:tc>
          <w:tcPr>
            <w:tcW w:w="567" w:type="dxa"/>
            <w:tcBorders>
              <w:top w:val="single" w:sz="4" w:space="0" w:color="auto"/>
              <w:left w:val="nil"/>
              <w:bottom w:val="single" w:sz="4" w:space="0" w:color="auto"/>
              <w:right w:val="single" w:sz="4" w:space="0" w:color="auto"/>
            </w:tcBorders>
            <w:shd w:val="clear" w:color="auto" w:fill="C6EFCE"/>
            <w:noWrap/>
          </w:tcPr>
          <w:p w14:paraId="2073F4DA"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1B851734"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5BD7EEB8" w14:textId="4CBCDE43" w:rsidR="00146C1C" w:rsidRDefault="00146C1C" w:rsidP="0001477B">
            <w:pPr>
              <w:spacing w:after="200" w:line="276" w:lineRule="auto"/>
              <w:rPr>
                <w:rFonts w:eastAsia="Calibri" w:cstheme="minorHAnsi"/>
                <w:noProof/>
                <w:color w:val="000000"/>
                <w:sz w:val="20"/>
                <w:szCs w:val="20"/>
              </w:rPr>
            </w:pPr>
            <w:r>
              <w:rPr>
                <w:noProof/>
                <w:color w:val="000000"/>
                <w:sz w:val="20"/>
              </w:rPr>
              <w:t>Biorafinerija će biti izgrađena i u funkciji, s godišnjim proizvodnim kapacitetom od 55 000 tona naprednog bioetanola</w:t>
            </w:r>
          </w:p>
          <w:p w14:paraId="05EDF7F7" w14:textId="04A79280" w:rsidR="00146C1C" w:rsidRPr="004E2DDD" w:rsidRDefault="00146C1C" w:rsidP="0001477B">
            <w:pPr>
              <w:spacing w:after="200" w:line="276" w:lineRule="auto"/>
              <w:rPr>
                <w:rFonts w:eastAsia="Calibri" w:cstheme="minorHAnsi"/>
                <w:noProof/>
                <w:sz w:val="20"/>
                <w:szCs w:val="20"/>
              </w:rPr>
            </w:pPr>
            <w:r>
              <w:rPr>
                <w:noProof/>
                <w:color w:val="000000"/>
                <w:sz w:val="20"/>
              </w:rPr>
              <w:t xml:space="preserve">Dostavit će se dokazi da projekt nema bitan utjecaj na onečišćenje zraka i tla te na bioraznolikost (zbog intenzivnog uzgoja biljke </w:t>
            </w:r>
            <w:r>
              <w:rPr>
                <w:i/>
                <w:noProof/>
                <w:color w:val="000000"/>
                <w:sz w:val="20"/>
              </w:rPr>
              <w:t>Miscanthus</w:t>
            </w:r>
            <w:r>
              <w:rPr>
                <w:noProof/>
                <w:color w:val="000000"/>
                <w:sz w:val="20"/>
              </w:rPr>
              <w:t>).</w:t>
            </w:r>
          </w:p>
        </w:tc>
      </w:tr>
      <w:tr w:rsidR="009C2121" w:rsidRPr="004E2DDD" w14:paraId="182AA08A"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7FA53439" w14:textId="6FA015F8" w:rsidR="00146C1C" w:rsidRPr="004E2DDD" w:rsidRDefault="009C3476" w:rsidP="0001477B">
            <w:pPr>
              <w:spacing w:after="0" w:line="276" w:lineRule="auto"/>
              <w:jc w:val="center"/>
              <w:rPr>
                <w:rFonts w:eastAsia="Calibri" w:cstheme="minorHAnsi"/>
                <w:noProof/>
                <w:sz w:val="20"/>
                <w:szCs w:val="20"/>
              </w:rPr>
            </w:pPr>
            <w:r>
              <w:rPr>
                <w:noProof/>
                <w:sz w:val="20"/>
              </w:rPr>
              <w:t>419</w:t>
            </w:r>
          </w:p>
        </w:tc>
        <w:tc>
          <w:tcPr>
            <w:tcW w:w="852" w:type="dxa"/>
            <w:tcBorders>
              <w:top w:val="single" w:sz="4" w:space="0" w:color="auto"/>
              <w:left w:val="nil"/>
              <w:bottom w:val="single" w:sz="4" w:space="0" w:color="auto"/>
              <w:right w:val="single" w:sz="4" w:space="0" w:color="auto"/>
            </w:tcBorders>
            <w:shd w:val="clear" w:color="auto" w:fill="C6EFCE"/>
            <w:noWrap/>
          </w:tcPr>
          <w:p w14:paraId="7FD15A9A" w14:textId="5A010126" w:rsidR="00146C1C" w:rsidRPr="004E2DDD" w:rsidRDefault="00146C1C" w:rsidP="0001477B">
            <w:pPr>
              <w:spacing w:after="200" w:line="276" w:lineRule="auto"/>
              <w:jc w:val="center"/>
              <w:rPr>
                <w:rFonts w:eastAsia="Calibri" w:cstheme="minorHAnsi"/>
                <w:noProof/>
                <w:sz w:val="20"/>
                <w:szCs w:val="20"/>
              </w:rPr>
            </w:pPr>
            <w:r>
              <w:rPr>
                <w:noProof/>
                <w:color w:val="000000" w:themeColor="text1"/>
                <w:sz w:val="20"/>
              </w:rPr>
              <w:t>C7.1. R1-I6</w:t>
            </w:r>
          </w:p>
        </w:tc>
        <w:tc>
          <w:tcPr>
            <w:tcW w:w="850" w:type="dxa"/>
            <w:tcBorders>
              <w:top w:val="single" w:sz="4" w:space="0" w:color="auto"/>
              <w:left w:val="nil"/>
              <w:bottom w:val="single" w:sz="4" w:space="0" w:color="auto"/>
              <w:right w:val="single" w:sz="4" w:space="0" w:color="auto"/>
            </w:tcBorders>
            <w:shd w:val="clear" w:color="auto" w:fill="C6EFCE"/>
            <w:noWrap/>
          </w:tcPr>
          <w:p w14:paraId="1D8DB55E" w14:textId="77777777" w:rsidR="00146C1C" w:rsidRPr="004E2DDD" w:rsidRDefault="00146C1C" w:rsidP="0001477B">
            <w:pPr>
              <w:spacing w:after="200" w:line="276" w:lineRule="auto"/>
              <w:jc w:val="center"/>
              <w:rPr>
                <w:rFonts w:eastAsia="Calibri" w:cstheme="minorHAnsi"/>
                <w:noProof/>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60738E85" w14:textId="2BABEA07" w:rsidR="00146C1C" w:rsidRPr="004E2DDD" w:rsidRDefault="00146C1C" w:rsidP="0001477B">
            <w:pPr>
              <w:spacing w:after="200" w:line="276" w:lineRule="auto"/>
              <w:rPr>
                <w:rFonts w:eastAsia="Calibri" w:cstheme="minorHAnsi"/>
                <w:noProof/>
                <w:sz w:val="20"/>
                <w:szCs w:val="20"/>
              </w:rPr>
            </w:pPr>
            <w:r>
              <w:rPr>
                <w:noProof/>
                <w:sz w:val="20"/>
              </w:rPr>
              <w:t>Zamjena transformatora</w:t>
            </w:r>
          </w:p>
        </w:tc>
        <w:tc>
          <w:tcPr>
            <w:tcW w:w="1952" w:type="dxa"/>
            <w:tcBorders>
              <w:top w:val="single" w:sz="4" w:space="0" w:color="auto"/>
              <w:left w:val="nil"/>
              <w:bottom w:val="single" w:sz="4" w:space="0" w:color="auto"/>
              <w:right w:val="single" w:sz="4" w:space="0" w:color="auto"/>
            </w:tcBorders>
            <w:shd w:val="clear" w:color="auto" w:fill="C6EFCE"/>
            <w:noWrap/>
          </w:tcPr>
          <w:p w14:paraId="4C2F6712" w14:textId="77777777" w:rsidR="00146C1C" w:rsidRPr="004E2DDD" w:rsidRDefault="00146C1C" w:rsidP="0001477B">
            <w:pPr>
              <w:spacing w:after="200" w:line="276" w:lineRule="auto"/>
              <w:rPr>
                <w:rFonts w:eastAsia="Calibri" w:cstheme="minorHAnsi"/>
                <w:noProof/>
                <w:sz w:val="20"/>
                <w:szCs w:val="20"/>
                <w:lang w:val="en-IE"/>
              </w:rPr>
            </w:pPr>
          </w:p>
        </w:tc>
        <w:tc>
          <w:tcPr>
            <w:tcW w:w="1131" w:type="dxa"/>
            <w:tcBorders>
              <w:top w:val="single" w:sz="4" w:space="0" w:color="auto"/>
              <w:left w:val="nil"/>
              <w:bottom w:val="single" w:sz="4" w:space="0" w:color="auto"/>
              <w:right w:val="single" w:sz="4" w:space="0" w:color="auto"/>
            </w:tcBorders>
            <w:shd w:val="clear" w:color="auto" w:fill="C6EFCE"/>
            <w:noWrap/>
          </w:tcPr>
          <w:p w14:paraId="519206D0"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Broj</w:t>
            </w:r>
          </w:p>
        </w:tc>
        <w:tc>
          <w:tcPr>
            <w:tcW w:w="868" w:type="dxa"/>
            <w:tcBorders>
              <w:top w:val="single" w:sz="4" w:space="0" w:color="auto"/>
              <w:left w:val="nil"/>
              <w:bottom w:val="single" w:sz="4" w:space="0" w:color="auto"/>
              <w:right w:val="single" w:sz="4" w:space="0" w:color="auto"/>
            </w:tcBorders>
            <w:shd w:val="clear" w:color="auto" w:fill="C6EFCE"/>
            <w:noWrap/>
          </w:tcPr>
          <w:p w14:paraId="6A1C3B44" w14:textId="77777777" w:rsidR="00146C1C" w:rsidRPr="004E2DDD" w:rsidRDefault="00146C1C" w:rsidP="0001477B">
            <w:pPr>
              <w:spacing w:after="200" w:line="276" w:lineRule="auto"/>
              <w:jc w:val="center"/>
              <w:rPr>
                <w:rFonts w:eastAsia="Calibri" w:cstheme="minorHAnsi"/>
                <w:noProof/>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581A9A82" w14:textId="77777777" w:rsidR="00146C1C" w:rsidRPr="004E2DDD" w:rsidRDefault="00146C1C" w:rsidP="0001477B">
            <w:pPr>
              <w:spacing w:after="200" w:line="276" w:lineRule="auto"/>
              <w:jc w:val="center"/>
              <w:rPr>
                <w:rFonts w:eastAsia="Calibri" w:cstheme="minorHAnsi"/>
                <w:noProof/>
                <w:sz w:val="20"/>
                <w:szCs w:val="20"/>
              </w:rPr>
            </w:pPr>
            <w:r>
              <w:rPr>
                <w:noProof/>
                <w:sz w:val="20"/>
              </w:rPr>
              <w:t>8</w:t>
            </w:r>
          </w:p>
        </w:tc>
        <w:tc>
          <w:tcPr>
            <w:tcW w:w="567" w:type="dxa"/>
            <w:tcBorders>
              <w:top w:val="single" w:sz="4" w:space="0" w:color="auto"/>
              <w:left w:val="nil"/>
              <w:bottom w:val="single" w:sz="4" w:space="0" w:color="auto"/>
              <w:right w:val="single" w:sz="4" w:space="0" w:color="auto"/>
            </w:tcBorders>
            <w:shd w:val="clear" w:color="auto" w:fill="C6EFCE"/>
            <w:noWrap/>
          </w:tcPr>
          <w:p w14:paraId="0FA66245" w14:textId="77777777" w:rsidR="00146C1C" w:rsidRPr="004E2DDD" w:rsidRDefault="00146C1C" w:rsidP="0001477B">
            <w:pPr>
              <w:spacing w:after="200" w:line="276" w:lineRule="auto"/>
              <w:jc w:val="center"/>
              <w:rPr>
                <w:rFonts w:eastAsia="Calibri" w:cstheme="minorHAnsi"/>
                <w:noProof/>
                <w:sz w:val="20"/>
                <w:szCs w:val="20"/>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7D1499E6"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1A610C89" w14:textId="338E8C14" w:rsidR="00146C1C" w:rsidRPr="004E2DDD" w:rsidRDefault="00146C1C" w:rsidP="0001477B">
            <w:pPr>
              <w:spacing w:after="200" w:line="276" w:lineRule="auto"/>
              <w:rPr>
                <w:rFonts w:eastAsia="Calibri" w:cstheme="minorHAnsi"/>
                <w:noProof/>
                <w:sz w:val="20"/>
                <w:szCs w:val="20"/>
              </w:rPr>
            </w:pPr>
            <w:r>
              <w:rPr>
                <w:noProof/>
                <w:sz w:val="20"/>
              </w:rPr>
              <w:t>Najmanje osam starih transformatora na elektroenergetskom sustavu visokog napona (110kv/220kv/400kv) zamijenit će se novim transformatorima.</w:t>
            </w:r>
          </w:p>
        </w:tc>
      </w:tr>
      <w:tr w:rsidR="009C2121" w:rsidRPr="004E2DDD" w14:paraId="65E598A3"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65D8D86" w14:textId="5B196CD2" w:rsidR="00146C1C" w:rsidRPr="004E2DDD" w:rsidRDefault="00516E3B" w:rsidP="0001477B">
            <w:pPr>
              <w:spacing w:after="0" w:line="276" w:lineRule="auto"/>
              <w:jc w:val="center"/>
              <w:rPr>
                <w:rFonts w:cstheme="minorHAnsi"/>
                <w:noProof/>
                <w:sz w:val="20"/>
                <w:szCs w:val="20"/>
                <w:highlight w:val="yellow"/>
              </w:rPr>
            </w:pPr>
            <w:r>
              <w:rPr>
                <w:noProof/>
                <w:sz w:val="20"/>
              </w:rPr>
              <w:t>420</w:t>
            </w:r>
          </w:p>
        </w:tc>
        <w:tc>
          <w:tcPr>
            <w:tcW w:w="852" w:type="dxa"/>
            <w:tcBorders>
              <w:top w:val="single" w:sz="4" w:space="0" w:color="auto"/>
              <w:left w:val="nil"/>
              <w:bottom w:val="single" w:sz="4" w:space="0" w:color="auto"/>
              <w:right w:val="single" w:sz="4" w:space="0" w:color="auto"/>
            </w:tcBorders>
            <w:shd w:val="clear" w:color="auto" w:fill="C6EFCE"/>
            <w:noWrap/>
          </w:tcPr>
          <w:p w14:paraId="3E0B1AC8" w14:textId="2229A82C" w:rsidR="00146C1C" w:rsidRPr="00426D0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R1-I6</w:t>
            </w:r>
          </w:p>
        </w:tc>
        <w:tc>
          <w:tcPr>
            <w:tcW w:w="850" w:type="dxa"/>
            <w:tcBorders>
              <w:top w:val="single" w:sz="4" w:space="0" w:color="auto"/>
              <w:left w:val="nil"/>
              <w:bottom w:val="single" w:sz="4" w:space="0" w:color="auto"/>
              <w:right w:val="single" w:sz="4" w:space="0" w:color="auto"/>
            </w:tcBorders>
            <w:shd w:val="clear" w:color="auto" w:fill="C6EFCE"/>
            <w:noWrap/>
          </w:tcPr>
          <w:p w14:paraId="4B0F40F9" w14:textId="1430AF88" w:rsidR="00146C1C" w:rsidRPr="004E2DDD" w:rsidRDefault="5AC03D2C" w:rsidP="0001477B">
            <w:pPr>
              <w:spacing w:after="200" w:line="276" w:lineRule="auto"/>
              <w:jc w:val="center"/>
              <w:rPr>
                <w:rFonts w:eastAsia="Calibri"/>
                <w:noProof/>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233C73E4" w14:textId="77777777" w:rsidR="00146C1C" w:rsidRPr="004E2DDD" w:rsidRDefault="00146C1C" w:rsidP="0001477B">
            <w:pPr>
              <w:spacing w:after="200" w:line="276" w:lineRule="auto"/>
              <w:rPr>
                <w:rFonts w:eastAsia="Calibri" w:cstheme="minorHAnsi"/>
                <w:noProof/>
                <w:sz w:val="20"/>
                <w:szCs w:val="20"/>
              </w:rPr>
            </w:pPr>
            <w:r>
              <w:rPr>
                <w:noProof/>
                <w:sz w:val="20"/>
              </w:rPr>
              <w:t xml:space="preserve">Rekonstrukcije postrojenja </w:t>
            </w:r>
          </w:p>
        </w:tc>
        <w:tc>
          <w:tcPr>
            <w:tcW w:w="1952" w:type="dxa"/>
            <w:tcBorders>
              <w:top w:val="single" w:sz="4" w:space="0" w:color="auto"/>
              <w:left w:val="nil"/>
              <w:bottom w:val="single" w:sz="4" w:space="0" w:color="auto"/>
              <w:right w:val="single" w:sz="4" w:space="0" w:color="auto"/>
            </w:tcBorders>
            <w:shd w:val="clear" w:color="auto" w:fill="C6EFCE"/>
            <w:noWrap/>
          </w:tcPr>
          <w:p w14:paraId="6136A6BA" w14:textId="77777777" w:rsidR="00146C1C" w:rsidRPr="004E2DDD" w:rsidRDefault="00146C1C" w:rsidP="0001477B">
            <w:pPr>
              <w:spacing w:after="200" w:line="276" w:lineRule="auto"/>
              <w:rPr>
                <w:rFonts w:eastAsia="Calibri" w:cstheme="minorHAnsi"/>
                <w:noProof/>
                <w:sz w:val="20"/>
                <w:szCs w:val="20"/>
                <w:lang w:val="en-IE"/>
              </w:rPr>
            </w:pPr>
          </w:p>
        </w:tc>
        <w:tc>
          <w:tcPr>
            <w:tcW w:w="1131" w:type="dxa"/>
            <w:tcBorders>
              <w:top w:val="single" w:sz="4" w:space="0" w:color="auto"/>
              <w:left w:val="nil"/>
              <w:bottom w:val="single" w:sz="4" w:space="0" w:color="auto"/>
              <w:right w:val="single" w:sz="4" w:space="0" w:color="auto"/>
            </w:tcBorders>
            <w:shd w:val="clear" w:color="auto" w:fill="C6EFCE"/>
            <w:noWrap/>
          </w:tcPr>
          <w:p w14:paraId="08A7108E" w14:textId="77777777" w:rsidR="00146C1C" w:rsidRPr="004E2DDD" w:rsidRDefault="00146C1C" w:rsidP="0001477B">
            <w:pPr>
              <w:spacing w:after="200" w:line="276" w:lineRule="auto"/>
              <w:jc w:val="center"/>
              <w:rPr>
                <w:rFonts w:eastAsia="Calibri" w:cstheme="minorHAnsi"/>
                <w:noProof/>
                <w:sz w:val="20"/>
                <w:szCs w:val="20"/>
              </w:rPr>
            </w:pPr>
            <w:r>
              <w:rPr>
                <w:noProof/>
                <w:color w:val="000000"/>
                <w:sz w:val="20"/>
              </w:rPr>
              <w:t>Broj</w:t>
            </w:r>
          </w:p>
        </w:tc>
        <w:tc>
          <w:tcPr>
            <w:tcW w:w="868" w:type="dxa"/>
            <w:tcBorders>
              <w:top w:val="single" w:sz="4" w:space="0" w:color="auto"/>
              <w:left w:val="nil"/>
              <w:bottom w:val="single" w:sz="4" w:space="0" w:color="auto"/>
              <w:right w:val="single" w:sz="4" w:space="0" w:color="auto"/>
            </w:tcBorders>
            <w:shd w:val="clear" w:color="auto" w:fill="C6EFCE"/>
            <w:noWrap/>
          </w:tcPr>
          <w:p w14:paraId="0C32C90B" w14:textId="77777777" w:rsidR="00146C1C" w:rsidRPr="004E2DDD" w:rsidRDefault="00146C1C" w:rsidP="0001477B">
            <w:pPr>
              <w:spacing w:after="200" w:line="276" w:lineRule="auto"/>
              <w:jc w:val="center"/>
              <w:rPr>
                <w:rFonts w:eastAsia="Calibri" w:cstheme="minorHAnsi"/>
                <w:noProof/>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135759FB" w14:textId="77777777" w:rsidR="00146C1C" w:rsidRPr="004E2DDD" w:rsidRDefault="00146C1C" w:rsidP="0001477B">
            <w:pPr>
              <w:spacing w:after="200" w:line="276" w:lineRule="auto"/>
              <w:jc w:val="center"/>
              <w:rPr>
                <w:rFonts w:eastAsia="Calibri" w:cstheme="minorHAnsi"/>
                <w:noProof/>
                <w:sz w:val="20"/>
                <w:szCs w:val="20"/>
                <w:highlight w:val="yellow"/>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1923A164" w14:textId="77777777" w:rsidR="00146C1C" w:rsidRPr="004E2DDD" w:rsidRDefault="00146C1C" w:rsidP="0001477B">
            <w:pPr>
              <w:spacing w:after="200" w:line="276" w:lineRule="auto"/>
              <w:jc w:val="center"/>
              <w:rPr>
                <w:rFonts w:eastAsia="Calibri" w:cstheme="minorHAnsi"/>
                <w:noProof/>
                <w:sz w:val="20"/>
                <w:szCs w:val="20"/>
                <w:highlight w:val="yellow"/>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06F33D71"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6798A457" w14:textId="2680FD2D" w:rsidR="00146C1C" w:rsidRPr="004E2DDD" w:rsidRDefault="00146C1C" w:rsidP="0001477B">
            <w:pPr>
              <w:spacing w:after="200" w:line="276" w:lineRule="auto"/>
              <w:rPr>
                <w:rFonts w:eastAsia="Calibri" w:cstheme="minorHAnsi"/>
                <w:noProof/>
                <w:sz w:val="20"/>
                <w:szCs w:val="20"/>
              </w:rPr>
            </w:pPr>
            <w:r>
              <w:rPr>
                <w:noProof/>
                <w:sz w:val="20"/>
              </w:rPr>
              <w:t>Rekonstruirat će se najmanje dva postrojenja na elektroenergetskom sustavu visokog napona (110kv/220kv/400kv).</w:t>
            </w:r>
          </w:p>
        </w:tc>
      </w:tr>
      <w:tr w:rsidR="009C2121" w:rsidRPr="004E2DDD" w14:paraId="04BAC7D7"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41D88CC" w14:textId="630D9DE9" w:rsidR="00146C1C" w:rsidRPr="004E2DDD" w:rsidRDefault="00516E3B" w:rsidP="0001477B">
            <w:pPr>
              <w:spacing w:after="0" w:line="276" w:lineRule="auto"/>
              <w:jc w:val="center"/>
              <w:rPr>
                <w:rFonts w:eastAsia="Calibri" w:cstheme="minorHAnsi"/>
                <w:noProof/>
                <w:sz w:val="20"/>
                <w:szCs w:val="20"/>
              </w:rPr>
            </w:pPr>
            <w:r>
              <w:rPr>
                <w:noProof/>
                <w:sz w:val="20"/>
              </w:rPr>
              <w:t>421</w:t>
            </w:r>
          </w:p>
        </w:tc>
        <w:tc>
          <w:tcPr>
            <w:tcW w:w="852" w:type="dxa"/>
            <w:tcBorders>
              <w:top w:val="single" w:sz="4" w:space="0" w:color="auto"/>
              <w:left w:val="nil"/>
              <w:bottom w:val="single" w:sz="4" w:space="0" w:color="auto"/>
              <w:right w:val="single" w:sz="4" w:space="0" w:color="auto"/>
            </w:tcBorders>
            <w:shd w:val="clear" w:color="auto" w:fill="C6EFCE"/>
            <w:noWrap/>
          </w:tcPr>
          <w:p w14:paraId="6C15BCF1" w14:textId="0EB582AE" w:rsidR="00146C1C" w:rsidRPr="004E2DDD" w:rsidRDefault="00146C1C" w:rsidP="0001477B">
            <w:pPr>
              <w:spacing w:after="200" w:line="276" w:lineRule="auto"/>
              <w:jc w:val="center"/>
              <w:rPr>
                <w:rFonts w:eastAsia="Calibri" w:cstheme="minorHAnsi"/>
                <w:noProof/>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18FE6AA8" w14:textId="77777777" w:rsidR="00146C1C" w:rsidRPr="004E2DDD" w:rsidRDefault="00146C1C" w:rsidP="0001477B">
            <w:pPr>
              <w:spacing w:after="200" w:line="276" w:lineRule="auto"/>
              <w:jc w:val="center"/>
              <w:rPr>
                <w:rFonts w:eastAsia="Calibri" w:cstheme="minorHAnsi"/>
                <w:noProof/>
                <w:sz w:val="20"/>
                <w:szCs w:val="20"/>
              </w:rPr>
            </w:pPr>
            <w:r>
              <w:rPr>
                <w:noProof/>
                <w:sz w:val="20"/>
              </w:rPr>
              <w:t>Ključna etapa</w:t>
            </w:r>
          </w:p>
        </w:tc>
        <w:tc>
          <w:tcPr>
            <w:tcW w:w="2552" w:type="dxa"/>
            <w:tcBorders>
              <w:top w:val="single" w:sz="4" w:space="0" w:color="auto"/>
              <w:left w:val="nil"/>
              <w:bottom w:val="single" w:sz="4" w:space="0" w:color="auto"/>
              <w:right w:val="single" w:sz="4" w:space="0" w:color="auto"/>
            </w:tcBorders>
            <w:shd w:val="clear" w:color="auto" w:fill="C6EFCE"/>
            <w:noWrap/>
          </w:tcPr>
          <w:p w14:paraId="734E614E" w14:textId="77777777" w:rsidR="00146C1C" w:rsidRPr="004E2DDD" w:rsidRDefault="00146C1C" w:rsidP="0001477B">
            <w:pPr>
              <w:spacing w:after="200" w:line="276" w:lineRule="auto"/>
              <w:rPr>
                <w:rFonts w:eastAsia="Calibri" w:cstheme="minorHAnsi"/>
                <w:noProof/>
                <w:sz w:val="20"/>
                <w:szCs w:val="20"/>
              </w:rPr>
            </w:pPr>
            <w:r>
              <w:rPr>
                <w:noProof/>
                <w:sz w:val="20"/>
              </w:rPr>
              <w:t>Ugovor o opremi za proširenje kapaciteta LNG terminala na otoku Krku</w:t>
            </w:r>
          </w:p>
        </w:tc>
        <w:tc>
          <w:tcPr>
            <w:tcW w:w="1952" w:type="dxa"/>
            <w:tcBorders>
              <w:top w:val="single" w:sz="4" w:space="0" w:color="auto"/>
              <w:left w:val="nil"/>
              <w:bottom w:val="single" w:sz="4" w:space="0" w:color="auto"/>
              <w:right w:val="single" w:sz="4" w:space="0" w:color="auto"/>
            </w:tcBorders>
            <w:shd w:val="clear" w:color="auto" w:fill="C6EFCE"/>
            <w:noWrap/>
          </w:tcPr>
          <w:p w14:paraId="20F7E8F8" w14:textId="77777777" w:rsidR="00146C1C" w:rsidRPr="004E2DDD" w:rsidRDefault="00146C1C" w:rsidP="0001477B">
            <w:pPr>
              <w:spacing w:after="200" w:line="276" w:lineRule="auto"/>
              <w:rPr>
                <w:rFonts w:eastAsia="Calibri" w:cstheme="minorHAnsi"/>
                <w:noProof/>
                <w:sz w:val="20"/>
                <w:szCs w:val="20"/>
              </w:rPr>
            </w:pPr>
            <w:r>
              <w:rPr>
                <w:noProof/>
                <w:sz w:val="20"/>
              </w:rPr>
              <w:t>Potpisan ugovor za opremu</w:t>
            </w:r>
          </w:p>
        </w:tc>
        <w:tc>
          <w:tcPr>
            <w:tcW w:w="1131" w:type="dxa"/>
            <w:tcBorders>
              <w:top w:val="single" w:sz="4" w:space="0" w:color="auto"/>
              <w:left w:val="nil"/>
              <w:bottom w:val="single" w:sz="4" w:space="0" w:color="auto"/>
              <w:right w:val="single" w:sz="4" w:space="0" w:color="auto"/>
            </w:tcBorders>
            <w:shd w:val="clear" w:color="auto" w:fill="C6EFCE"/>
            <w:noWrap/>
          </w:tcPr>
          <w:p w14:paraId="61B140D7" w14:textId="77777777" w:rsidR="00146C1C" w:rsidRPr="004E2DDD" w:rsidRDefault="00146C1C" w:rsidP="0001477B">
            <w:pPr>
              <w:spacing w:after="200" w:line="276" w:lineRule="auto"/>
              <w:jc w:val="center"/>
              <w:rPr>
                <w:rFonts w:eastAsia="Calibri" w:cstheme="minorHAnsi"/>
                <w:noProof/>
                <w:sz w:val="20"/>
                <w:szCs w:val="20"/>
                <w:lang w:val="en-IE"/>
              </w:rPr>
            </w:pPr>
          </w:p>
        </w:tc>
        <w:tc>
          <w:tcPr>
            <w:tcW w:w="868" w:type="dxa"/>
            <w:tcBorders>
              <w:top w:val="single" w:sz="4" w:space="0" w:color="auto"/>
              <w:left w:val="nil"/>
              <w:bottom w:val="single" w:sz="4" w:space="0" w:color="auto"/>
              <w:right w:val="single" w:sz="4" w:space="0" w:color="auto"/>
            </w:tcBorders>
            <w:shd w:val="clear" w:color="auto" w:fill="C6EFCE"/>
            <w:noWrap/>
          </w:tcPr>
          <w:p w14:paraId="681174A2" w14:textId="77777777" w:rsidR="00146C1C" w:rsidRPr="004E2DDD" w:rsidRDefault="00146C1C" w:rsidP="0001477B">
            <w:pPr>
              <w:spacing w:after="200" w:line="276" w:lineRule="auto"/>
              <w:jc w:val="center"/>
              <w:rPr>
                <w:rFonts w:eastAsia="Calibri" w:cstheme="minorHAnsi"/>
                <w:noProof/>
                <w:sz w:val="20"/>
                <w:szCs w:val="20"/>
                <w:lang w:val="en-IE"/>
              </w:rPr>
            </w:pPr>
          </w:p>
        </w:tc>
        <w:tc>
          <w:tcPr>
            <w:tcW w:w="850" w:type="dxa"/>
            <w:tcBorders>
              <w:top w:val="single" w:sz="4" w:space="0" w:color="auto"/>
              <w:left w:val="nil"/>
              <w:bottom w:val="single" w:sz="4" w:space="0" w:color="auto"/>
              <w:right w:val="single" w:sz="4" w:space="0" w:color="auto"/>
            </w:tcBorders>
            <w:shd w:val="clear" w:color="auto" w:fill="C6EFCE"/>
            <w:noWrap/>
          </w:tcPr>
          <w:p w14:paraId="00B466B6" w14:textId="77777777" w:rsidR="00146C1C" w:rsidRPr="004E2DDD" w:rsidRDefault="00146C1C" w:rsidP="0001477B">
            <w:pPr>
              <w:spacing w:after="200" w:line="276" w:lineRule="auto"/>
              <w:jc w:val="center"/>
              <w:rPr>
                <w:rFonts w:eastAsia="Calibri" w:cstheme="minorHAnsi"/>
                <w:noProof/>
                <w:sz w:val="20"/>
                <w:szCs w:val="20"/>
                <w:lang w:val="en-IE"/>
              </w:rPr>
            </w:pPr>
          </w:p>
        </w:tc>
        <w:tc>
          <w:tcPr>
            <w:tcW w:w="567" w:type="dxa"/>
            <w:tcBorders>
              <w:top w:val="single" w:sz="4" w:space="0" w:color="auto"/>
              <w:left w:val="nil"/>
              <w:bottom w:val="single" w:sz="4" w:space="0" w:color="auto"/>
              <w:right w:val="single" w:sz="4" w:space="0" w:color="auto"/>
            </w:tcBorders>
            <w:shd w:val="clear" w:color="auto" w:fill="C6EFCE"/>
            <w:noWrap/>
          </w:tcPr>
          <w:p w14:paraId="23D51143" w14:textId="77777777" w:rsidR="00146C1C" w:rsidRPr="004E2DDD" w:rsidRDefault="00146C1C" w:rsidP="0001477B">
            <w:pPr>
              <w:spacing w:after="200" w:line="276" w:lineRule="auto"/>
              <w:jc w:val="center"/>
              <w:rPr>
                <w:rFonts w:eastAsia="Calibri" w:cstheme="minorHAnsi"/>
                <w:noProof/>
                <w:sz w:val="20"/>
                <w:szCs w:val="20"/>
              </w:rPr>
            </w:pPr>
            <w:r>
              <w:rPr>
                <w:noProof/>
                <w:sz w:val="20"/>
              </w:rPr>
              <w:t>4.</w:t>
            </w:r>
          </w:p>
        </w:tc>
        <w:tc>
          <w:tcPr>
            <w:tcW w:w="567" w:type="dxa"/>
            <w:tcBorders>
              <w:top w:val="single" w:sz="4" w:space="0" w:color="auto"/>
              <w:left w:val="nil"/>
              <w:bottom w:val="single" w:sz="4" w:space="0" w:color="auto"/>
              <w:right w:val="single" w:sz="4" w:space="0" w:color="auto"/>
            </w:tcBorders>
            <w:shd w:val="clear" w:color="auto" w:fill="C6EFCE"/>
            <w:noWrap/>
          </w:tcPr>
          <w:p w14:paraId="4003F336"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2023.</w:t>
            </w:r>
          </w:p>
        </w:tc>
        <w:tc>
          <w:tcPr>
            <w:tcW w:w="4160" w:type="dxa"/>
            <w:tcBorders>
              <w:top w:val="single" w:sz="4" w:space="0" w:color="auto"/>
              <w:left w:val="nil"/>
              <w:bottom w:val="single" w:sz="4" w:space="0" w:color="auto"/>
              <w:right w:val="single" w:sz="4" w:space="0" w:color="auto"/>
            </w:tcBorders>
            <w:shd w:val="clear" w:color="auto" w:fill="C6EFCE"/>
            <w:noWrap/>
          </w:tcPr>
          <w:p w14:paraId="7296229D" w14:textId="345A8600" w:rsidR="00146C1C" w:rsidRPr="004E2DDD" w:rsidRDefault="00146C1C" w:rsidP="0001477B">
            <w:pPr>
              <w:spacing w:after="200" w:line="276" w:lineRule="auto"/>
              <w:rPr>
                <w:rFonts w:eastAsia="Calibri" w:cstheme="minorHAnsi"/>
                <w:noProof/>
                <w:sz w:val="20"/>
                <w:szCs w:val="20"/>
              </w:rPr>
            </w:pPr>
            <w:r>
              <w:rPr>
                <w:noProof/>
                <w:sz w:val="20"/>
              </w:rPr>
              <w:t>Potpisat će se ugovor o opremi za proširenje kapaciteta LNG terminala na Krku, s ciljem njegova povećanja na 700 000 m³ na sat (m³/h).</w:t>
            </w:r>
          </w:p>
        </w:tc>
      </w:tr>
      <w:tr w:rsidR="009C2121" w:rsidRPr="004E2DDD" w14:paraId="032EC428"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C913EAD" w14:textId="3E974FE8" w:rsidR="00146C1C" w:rsidRPr="004E2DDD" w:rsidRDefault="00D85183" w:rsidP="0001477B">
            <w:pPr>
              <w:spacing w:after="0" w:line="276" w:lineRule="auto"/>
              <w:jc w:val="center"/>
              <w:rPr>
                <w:rFonts w:eastAsia="Calibri" w:cstheme="minorHAnsi"/>
                <w:noProof/>
                <w:sz w:val="20"/>
                <w:szCs w:val="20"/>
              </w:rPr>
            </w:pPr>
            <w:r>
              <w:rPr>
                <w:noProof/>
                <w:sz w:val="20"/>
              </w:rPr>
              <w:t>422</w:t>
            </w:r>
          </w:p>
        </w:tc>
        <w:tc>
          <w:tcPr>
            <w:tcW w:w="852" w:type="dxa"/>
            <w:tcBorders>
              <w:top w:val="single" w:sz="4" w:space="0" w:color="auto"/>
              <w:left w:val="nil"/>
              <w:bottom w:val="single" w:sz="4" w:space="0" w:color="auto"/>
              <w:right w:val="single" w:sz="4" w:space="0" w:color="auto"/>
            </w:tcBorders>
            <w:shd w:val="clear" w:color="auto" w:fill="C6EFCE"/>
            <w:noWrap/>
          </w:tcPr>
          <w:p w14:paraId="3B1E35D6" w14:textId="4873EB33" w:rsidR="00146C1C" w:rsidRPr="004E2DDD" w:rsidRDefault="00146C1C" w:rsidP="0001477B">
            <w:pPr>
              <w:spacing w:after="200" w:line="276" w:lineRule="auto"/>
              <w:jc w:val="center"/>
              <w:rPr>
                <w:rFonts w:eastAsia="Calibri" w:cstheme="minorHAnsi"/>
                <w:noProof/>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1104150F" w14:textId="77777777" w:rsidR="00146C1C" w:rsidRPr="004E2DDD" w:rsidRDefault="00146C1C" w:rsidP="0001477B">
            <w:pPr>
              <w:spacing w:after="200" w:line="276" w:lineRule="auto"/>
              <w:jc w:val="center"/>
              <w:rPr>
                <w:rFonts w:eastAsia="Calibri" w:cstheme="minorHAnsi"/>
                <w:noProof/>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64A88A68" w14:textId="77777777" w:rsidR="00146C1C" w:rsidRPr="004E2DDD" w:rsidRDefault="00146C1C" w:rsidP="0001477B">
            <w:pPr>
              <w:spacing w:after="200" w:line="276" w:lineRule="auto"/>
              <w:rPr>
                <w:rFonts w:eastAsia="Calibri" w:cstheme="minorHAnsi"/>
                <w:noProof/>
                <w:sz w:val="20"/>
                <w:szCs w:val="20"/>
              </w:rPr>
            </w:pPr>
            <w:r>
              <w:rPr>
                <w:noProof/>
                <w:sz w:val="20"/>
              </w:rPr>
              <w:t>Proširenje kapaciteta LNG terminala na otoku Krku u funkciji</w:t>
            </w:r>
          </w:p>
        </w:tc>
        <w:tc>
          <w:tcPr>
            <w:tcW w:w="1952" w:type="dxa"/>
            <w:tcBorders>
              <w:top w:val="single" w:sz="4" w:space="0" w:color="auto"/>
              <w:left w:val="nil"/>
              <w:bottom w:val="single" w:sz="4" w:space="0" w:color="auto"/>
              <w:right w:val="single" w:sz="4" w:space="0" w:color="auto"/>
            </w:tcBorders>
            <w:shd w:val="clear" w:color="auto" w:fill="C6EFCE"/>
            <w:noWrap/>
          </w:tcPr>
          <w:p w14:paraId="30D2AD32" w14:textId="77777777" w:rsidR="00146C1C" w:rsidRPr="00BC0323" w:rsidRDefault="00146C1C" w:rsidP="0001477B">
            <w:pPr>
              <w:spacing w:after="200" w:line="276" w:lineRule="auto"/>
              <w:rPr>
                <w:rFonts w:eastAsia="Calibri" w:cstheme="minorHAnsi"/>
                <w:noProof/>
                <w:sz w:val="20"/>
                <w:szCs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1D4B22D8" w14:textId="4A1A8EB7" w:rsidR="00146C1C" w:rsidRPr="004E2DDD" w:rsidRDefault="00146C1C" w:rsidP="0001477B">
            <w:pPr>
              <w:spacing w:after="200" w:line="276" w:lineRule="auto"/>
              <w:jc w:val="center"/>
              <w:rPr>
                <w:rFonts w:eastAsia="Calibri" w:cstheme="minorHAnsi"/>
                <w:noProof/>
                <w:sz w:val="20"/>
                <w:szCs w:val="20"/>
              </w:rPr>
            </w:pPr>
            <w:r>
              <w:rPr>
                <w:noProof/>
                <w:sz w:val="20"/>
              </w:rPr>
              <w:t xml:space="preserve">m³ na sat </w:t>
            </w:r>
          </w:p>
        </w:tc>
        <w:tc>
          <w:tcPr>
            <w:tcW w:w="868" w:type="dxa"/>
            <w:tcBorders>
              <w:top w:val="single" w:sz="4" w:space="0" w:color="auto"/>
              <w:left w:val="nil"/>
              <w:bottom w:val="single" w:sz="4" w:space="0" w:color="auto"/>
              <w:right w:val="single" w:sz="4" w:space="0" w:color="auto"/>
            </w:tcBorders>
            <w:shd w:val="clear" w:color="auto" w:fill="C6EFCE"/>
            <w:noWrap/>
          </w:tcPr>
          <w:p w14:paraId="66847D7A" w14:textId="58FC2750" w:rsidR="00146C1C" w:rsidRPr="004E2DDD" w:rsidRDefault="00146C1C" w:rsidP="0001477B">
            <w:pPr>
              <w:spacing w:after="200" w:line="276" w:lineRule="auto"/>
              <w:jc w:val="center"/>
              <w:rPr>
                <w:rFonts w:eastAsia="Calibri" w:cstheme="minorHAnsi"/>
                <w:noProof/>
                <w:sz w:val="20"/>
                <w:szCs w:val="20"/>
              </w:rPr>
            </w:pPr>
            <w:r>
              <w:rPr>
                <w:noProof/>
                <w:sz w:val="20"/>
              </w:rPr>
              <w:t>250 000</w:t>
            </w:r>
          </w:p>
        </w:tc>
        <w:tc>
          <w:tcPr>
            <w:tcW w:w="850" w:type="dxa"/>
            <w:tcBorders>
              <w:top w:val="single" w:sz="4" w:space="0" w:color="auto"/>
              <w:left w:val="nil"/>
              <w:bottom w:val="single" w:sz="4" w:space="0" w:color="auto"/>
              <w:right w:val="single" w:sz="4" w:space="0" w:color="auto"/>
            </w:tcBorders>
            <w:shd w:val="clear" w:color="auto" w:fill="C6EFCE"/>
            <w:noWrap/>
          </w:tcPr>
          <w:p w14:paraId="03CE9654" w14:textId="11E9E0D8" w:rsidR="00146C1C" w:rsidRPr="004E2DDD" w:rsidRDefault="00146C1C" w:rsidP="0001477B">
            <w:pPr>
              <w:spacing w:after="200" w:line="276" w:lineRule="auto"/>
              <w:jc w:val="center"/>
              <w:rPr>
                <w:rFonts w:eastAsia="Calibri" w:cstheme="minorHAnsi"/>
                <w:noProof/>
                <w:sz w:val="20"/>
                <w:szCs w:val="20"/>
              </w:rPr>
            </w:pPr>
            <w:r>
              <w:rPr>
                <w:noProof/>
                <w:sz w:val="20"/>
              </w:rPr>
              <w:t>700 000</w:t>
            </w:r>
          </w:p>
        </w:tc>
        <w:tc>
          <w:tcPr>
            <w:tcW w:w="567" w:type="dxa"/>
            <w:tcBorders>
              <w:top w:val="single" w:sz="4" w:space="0" w:color="auto"/>
              <w:left w:val="nil"/>
              <w:bottom w:val="single" w:sz="4" w:space="0" w:color="auto"/>
              <w:right w:val="single" w:sz="4" w:space="0" w:color="auto"/>
            </w:tcBorders>
            <w:shd w:val="clear" w:color="auto" w:fill="C6EFCE"/>
            <w:noWrap/>
          </w:tcPr>
          <w:p w14:paraId="2769C24C" w14:textId="77777777" w:rsidR="00146C1C" w:rsidRPr="004E2DDD" w:rsidRDefault="00146C1C" w:rsidP="0001477B">
            <w:pPr>
              <w:spacing w:after="200" w:line="276" w:lineRule="auto"/>
              <w:jc w:val="center"/>
              <w:rPr>
                <w:rFonts w:eastAsia="Calibri" w:cstheme="minorHAnsi"/>
                <w:noProof/>
                <w:sz w:val="20"/>
                <w:szCs w:val="20"/>
              </w:rPr>
            </w:pPr>
            <w:r>
              <w:rPr>
                <w:noProof/>
                <w:sz w:val="20"/>
              </w:rPr>
              <w:t>3.</w:t>
            </w:r>
          </w:p>
        </w:tc>
        <w:tc>
          <w:tcPr>
            <w:tcW w:w="567" w:type="dxa"/>
            <w:tcBorders>
              <w:top w:val="single" w:sz="4" w:space="0" w:color="auto"/>
              <w:left w:val="nil"/>
              <w:bottom w:val="single" w:sz="4" w:space="0" w:color="auto"/>
              <w:right w:val="single" w:sz="4" w:space="0" w:color="auto"/>
            </w:tcBorders>
            <w:shd w:val="clear" w:color="auto" w:fill="C6EFCE"/>
            <w:noWrap/>
          </w:tcPr>
          <w:p w14:paraId="1F4FB6C7"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2025.</w:t>
            </w:r>
          </w:p>
        </w:tc>
        <w:tc>
          <w:tcPr>
            <w:tcW w:w="4160" w:type="dxa"/>
            <w:tcBorders>
              <w:top w:val="single" w:sz="4" w:space="0" w:color="auto"/>
              <w:left w:val="nil"/>
              <w:bottom w:val="single" w:sz="4" w:space="0" w:color="auto"/>
              <w:right w:val="single" w:sz="4" w:space="0" w:color="auto"/>
            </w:tcBorders>
            <w:shd w:val="clear" w:color="auto" w:fill="C6EFCE"/>
            <w:noWrap/>
          </w:tcPr>
          <w:p w14:paraId="5023A99D" w14:textId="4D86905B" w:rsidR="00146C1C" w:rsidRPr="004E2DDD" w:rsidRDefault="00146C1C" w:rsidP="0001477B">
            <w:pPr>
              <w:spacing w:after="200" w:line="276" w:lineRule="auto"/>
              <w:rPr>
                <w:rFonts w:eastAsia="Calibri" w:cstheme="minorHAnsi"/>
                <w:noProof/>
                <w:sz w:val="20"/>
                <w:szCs w:val="20"/>
              </w:rPr>
            </w:pPr>
            <w:r>
              <w:rPr>
                <w:noProof/>
                <w:sz w:val="20"/>
              </w:rPr>
              <w:t xml:space="preserve">Proširenje kapaciteta LNG terminala na otoku Krku bit će u funkciji, s povećanim kapacitetom uplinjavanja od 700 000 m³/h. Kapacitet LNG terminala na otoku Krku povećat će se sa sadašnjih 250 000 m³/h na 700 000 m³/h. Proširenje će se ostvariti ugradnjom dodatne jedinice za ponovno uplinjavanje na postojeću plutajuću jedinicu za skladištenje i ponovno uplinjavanje (FSRU). </w:t>
            </w:r>
          </w:p>
        </w:tc>
      </w:tr>
      <w:tr w:rsidR="009C2121" w:rsidRPr="004E2DDD" w14:paraId="0A5E99EC"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427D706" w14:textId="04F17DED" w:rsidR="00146C1C" w:rsidRPr="004E2DDD" w:rsidRDefault="00D85183" w:rsidP="0001477B">
            <w:pPr>
              <w:spacing w:after="0" w:line="276" w:lineRule="auto"/>
              <w:jc w:val="center"/>
              <w:rPr>
                <w:rFonts w:eastAsia="Calibri" w:cstheme="minorHAnsi"/>
                <w:noProof/>
                <w:sz w:val="20"/>
                <w:szCs w:val="20"/>
              </w:rPr>
            </w:pPr>
            <w:r>
              <w:rPr>
                <w:noProof/>
                <w:sz w:val="20"/>
              </w:rPr>
              <w:t>423</w:t>
            </w:r>
          </w:p>
        </w:tc>
        <w:tc>
          <w:tcPr>
            <w:tcW w:w="852" w:type="dxa"/>
            <w:tcBorders>
              <w:top w:val="single" w:sz="4" w:space="0" w:color="auto"/>
              <w:left w:val="nil"/>
              <w:bottom w:val="single" w:sz="4" w:space="0" w:color="auto"/>
              <w:right w:val="single" w:sz="4" w:space="0" w:color="auto"/>
            </w:tcBorders>
            <w:shd w:val="clear" w:color="auto" w:fill="C6EFCE"/>
            <w:noWrap/>
          </w:tcPr>
          <w:p w14:paraId="7770C643" w14:textId="493ECB42" w:rsidR="00146C1C" w:rsidRPr="004E2DDD" w:rsidRDefault="00146C1C" w:rsidP="0001477B">
            <w:pPr>
              <w:spacing w:after="200" w:line="276" w:lineRule="auto"/>
              <w:jc w:val="center"/>
              <w:rPr>
                <w:rFonts w:eastAsia="Calibri" w:cstheme="minorHAnsi"/>
                <w:noProof/>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3C72FB51" w14:textId="77777777" w:rsidR="00146C1C" w:rsidRPr="004E2DDD" w:rsidRDefault="00146C1C" w:rsidP="0001477B">
            <w:pPr>
              <w:spacing w:after="200" w:line="276" w:lineRule="auto"/>
              <w:jc w:val="center"/>
              <w:rPr>
                <w:rFonts w:eastAsia="Calibri" w:cstheme="minorHAnsi"/>
                <w:noProof/>
                <w:sz w:val="20"/>
                <w:szCs w:val="20"/>
              </w:rPr>
            </w:pPr>
            <w:r>
              <w:rPr>
                <w:noProof/>
                <w:sz w:val="20"/>
              </w:rPr>
              <w:t>Ključna etapa</w:t>
            </w:r>
          </w:p>
        </w:tc>
        <w:tc>
          <w:tcPr>
            <w:tcW w:w="2552" w:type="dxa"/>
            <w:tcBorders>
              <w:top w:val="single" w:sz="4" w:space="0" w:color="auto"/>
              <w:left w:val="nil"/>
              <w:bottom w:val="single" w:sz="4" w:space="0" w:color="auto"/>
              <w:right w:val="single" w:sz="4" w:space="0" w:color="auto"/>
            </w:tcBorders>
            <w:shd w:val="clear" w:color="auto" w:fill="C6EFCE"/>
            <w:noWrap/>
          </w:tcPr>
          <w:p w14:paraId="22201963" w14:textId="77777777" w:rsidR="00146C1C" w:rsidRPr="004E2DDD" w:rsidRDefault="00146C1C" w:rsidP="0001477B">
            <w:pPr>
              <w:spacing w:after="200" w:line="276" w:lineRule="auto"/>
              <w:rPr>
                <w:rFonts w:eastAsia="Calibri" w:cstheme="minorHAnsi"/>
                <w:noProof/>
                <w:sz w:val="20"/>
                <w:szCs w:val="20"/>
              </w:rPr>
            </w:pPr>
            <w:r>
              <w:rPr>
                <w:noProof/>
                <w:sz w:val="20"/>
              </w:rPr>
              <w:t>Ugovor za izgradnju plinovoda Zlobin–Bosiljevo</w:t>
            </w:r>
          </w:p>
        </w:tc>
        <w:tc>
          <w:tcPr>
            <w:tcW w:w="1952" w:type="dxa"/>
            <w:tcBorders>
              <w:top w:val="single" w:sz="4" w:space="0" w:color="auto"/>
              <w:left w:val="nil"/>
              <w:bottom w:val="single" w:sz="4" w:space="0" w:color="auto"/>
              <w:right w:val="single" w:sz="4" w:space="0" w:color="auto"/>
            </w:tcBorders>
            <w:shd w:val="clear" w:color="auto" w:fill="C6EFCE"/>
            <w:noWrap/>
          </w:tcPr>
          <w:p w14:paraId="447A9EF7" w14:textId="02F9812C" w:rsidR="00146C1C" w:rsidRPr="004E2DDD" w:rsidRDefault="00146C1C" w:rsidP="0001477B">
            <w:pPr>
              <w:spacing w:after="200" w:line="276" w:lineRule="auto"/>
              <w:rPr>
                <w:rFonts w:eastAsia="Calibri" w:cstheme="minorHAnsi"/>
                <w:noProof/>
                <w:sz w:val="20"/>
                <w:szCs w:val="20"/>
              </w:rPr>
            </w:pPr>
            <w:r>
              <w:rPr>
                <w:noProof/>
                <w:sz w:val="20"/>
              </w:rPr>
              <w:t>Potpisan ugovor za izgradnju</w:t>
            </w:r>
          </w:p>
        </w:tc>
        <w:tc>
          <w:tcPr>
            <w:tcW w:w="1131" w:type="dxa"/>
            <w:tcBorders>
              <w:top w:val="single" w:sz="4" w:space="0" w:color="auto"/>
              <w:left w:val="nil"/>
              <w:bottom w:val="single" w:sz="4" w:space="0" w:color="auto"/>
              <w:right w:val="single" w:sz="4" w:space="0" w:color="auto"/>
            </w:tcBorders>
            <w:shd w:val="clear" w:color="auto" w:fill="C6EFCE"/>
            <w:noWrap/>
          </w:tcPr>
          <w:p w14:paraId="2F3145D2" w14:textId="77777777" w:rsidR="00146C1C" w:rsidRPr="004E2DDD" w:rsidRDefault="00146C1C" w:rsidP="0001477B">
            <w:pPr>
              <w:spacing w:after="200" w:line="276" w:lineRule="auto"/>
              <w:jc w:val="center"/>
              <w:rPr>
                <w:rFonts w:eastAsia="Calibri" w:cstheme="minorHAnsi"/>
                <w:noProof/>
                <w:sz w:val="20"/>
                <w:szCs w:val="20"/>
                <w:lang w:val="en-IE"/>
              </w:rPr>
            </w:pPr>
          </w:p>
        </w:tc>
        <w:tc>
          <w:tcPr>
            <w:tcW w:w="868" w:type="dxa"/>
            <w:tcBorders>
              <w:top w:val="single" w:sz="4" w:space="0" w:color="auto"/>
              <w:left w:val="nil"/>
              <w:bottom w:val="single" w:sz="4" w:space="0" w:color="auto"/>
              <w:right w:val="single" w:sz="4" w:space="0" w:color="auto"/>
            </w:tcBorders>
            <w:shd w:val="clear" w:color="auto" w:fill="C6EFCE"/>
            <w:noWrap/>
          </w:tcPr>
          <w:p w14:paraId="105045D6" w14:textId="77777777" w:rsidR="00146C1C" w:rsidRPr="004E2DDD" w:rsidRDefault="00146C1C" w:rsidP="0001477B">
            <w:pPr>
              <w:spacing w:after="200" w:line="276" w:lineRule="auto"/>
              <w:jc w:val="center"/>
              <w:rPr>
                <w:rFonts w:eastAsia="Calibri" w:cstheme="minorHAnsi"/>
                <w:noProof/>
                <w:sz w:val="20"/>
                <w:szCs w:val="20"/>
                <w:lang w:val="en-IE"/>
              </w:rPr>
            </w:pPr>
          </w:p>
        </w:tc>
        <w:tc>
          <w:tcPr>
            <w:tcW w:w="850" w:type="dxa"/>
            <w:tcBorders>
              <w:top w:val="single" w:sz="4" w:space="0" w:color="auto"/>
              <w:left w:val="nil"/>
              <w:bottom w:val="single" w:sz="4" w:space="0" w:color="auto"/>
              <w:right w:val="single" w:sz="4" w:space="0" w:color="auto"/>
            </w:tcBorders>
            <w:shd w:val="clear" w:color="auto" w:fill="C6EFCE"/>
            <w:noWrap/>
          </w:tcPr>
          <w:p w14:paraId="7293CD39" w14:textId="77777777" w:rsidR="00146C1C" w:rsidRPr="004E2DDD" w:rsidRDefault="00146C1C" w:rsidP="0001477B">
            <w:pPr>
              <w:spacing w:after="200" w:line="276" w:lineRule="auto"/>
              <w:jc w:val="center"/>
              <w:rPr>
                <w:rFonts w:eastAsia="Calibri" w:cstheme="minorHAnsi"/>
                <w:noProof/>
                <w:sz w:val="20"/>
                <w:szCs w:val="20"/>
                <w:lang w:val="en-IE"/>
              </w:rPr>
            </w:pPr>
          </w:p>
        </w:tc>
        <w:tc>
          <w:tcPr>
            <w:tcW w:w="567" w:type="dxa"/>
            <w:tcBorders>
              <w:top w:val="single" w:sz="4" w:space="0" w:color="auto"/>
              <w:left w:val="nil"/>
              <w:bottom w:val="single" w:sz="4" w:space="0" w:color="auto"/>
              <w:right w:val="single" w:sz="4" w:space="0" w:color="auto"/>
            </w:tcBorders>
            <w:shd w:val="clear" w:color="auto" w:fill="C6EFCE"/>
            <w:noWrap/>
          </w:tcPr>
          <w:p w14:paraId="2B350389" w14:textId="77777777" w:rsidR="00146C1C" w:rsidRPr="004E2DDD" w:rsidRDefault="00146C1C" w:rsidP="0001477B">
            <w:pPr>
              <w:spacing w:after="200" w:line="276" w:lineRule="auto"/>
              <w:jc w:val="center"/>
              <w:rPr>
                <w:rFonts w:eastAsia="Calibri" w:cstheme="minorHAnsi"/>
                <w:noProof/>
                <w:sz w:val="20"/>
                <w:szCs w:val="20"/>
              </w:rPr>
            </w:pPr>
            <w:r>
              <w:rPr>
                <w:noProof/>
                <w:sz w:val="20"/>
              </w:rPr>
              <w:t>3.</w:t>
            </w:r>
          </w:p>
        </w:tc>
        <w:tc>
          <w:tcPr>
            <w:tcW w:w="567" w:type="dxa"/>
            <w:tcBorders>
              <w:top w:val="single" w:sz="4" w:space="0" w:color="auto"/>
              <w:left w:val="nil"/>
              <w:bottom w:val="single" w:sz="4" w:space="0" w:color="auto"/>
              <w:right w:val="single" w:sz="4" w:space="0" w:color="auto"/>
            </w:tcBorders>
            <w:shd w:val="clear" w:color="auto" w:fill="C6EFCE"/>
            <w:noWrap/>
          </w:tcPr>
          <w:p w14:paraId="2BD5741D"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2023.</w:t>
            </w:r>
          </w:p>
        </w:tc>
        <w:tc>
          <w:tcPr>
            <w:tcW w:w="4160" w:type="dxa"/>
            <w:tcBorders>
              <w:top w:val="single" w:sz="4" w:space="0" w:color="auto"/>
              <w:left w:val="nil"/>
              <w:bottom w:val="single" w:sz="4" w:space="0" w:color="auto"/>
              <w:right w:val="single" w:sz="4" w:space="0" w:color="auto"/>
            </w:tcBorders>
            <w:shd w:val="clear" w:color="auto" w:fill="C6EFCE"/>
            <w:noWrap/>
          </w:tcPr>
          <w:p w14:paraId="36D4521B" w14:textId="004CE499" w:rsidR="00146C1C" w:rsidRPr="004E2DDD" w:rsidRDefault="00146C1C" w:rsidP="0001477B">
            <w:pPr>
              <w:spacing w:after="200" w:line="276" w:lineRule="auto"/>
              <w:rPr>
                <w:rFonts w:eastAsia="Calibri" w:cstheme="minorHAnsi"/>
                <w:noProof/>
                <w:sz w:val="20"/>
                <w:szCs w:val="20"/>
              </w:rPr>
            </w:pPr>
            <w:r>
              <w:rPr>
                <w:noProof/>
                <w:sz w:val="20"/>
              </w:rPr>
              <w:t>Potpisat će se ugovor za izgradnju plinovoda Zlobin–Bosiljevo</w:t>
            </w:r>
          </w:p>
        </w:tc>
      </w:tr>
      <w:tr w:rsidR="009C2121" w:rsidRPr="004E2DDD" w14:paraId="6915D63D"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6A43AA7B" w14:textId="79EE77AF" w:rsidR="00146C1C" w:rsidRPr="004E2DDD" w:rsidRDefault="00D85183" w:rsidP="0001477B">
            <w:pPr>
              <w:spacing w:after="0" w:line="276" w:lineRule="auto"/>
              <w:jc w:val="center"/>
              <w:rPr>
                <w:rFonts w:eastAsia="Calibri" w:cstheme="minorHAnsi"/>
                <w:noProof/>
                <w:sz w:val="20"/>
                <w:szCs w:val="20"/>
              </w:rPr>
            </w:pPr>
            <w:r>
              <w:rPr>
                <w:noProof/>
                <w:sz w:val="20"/>
              </w:rPr>
              <w:t>424</w:t>
            </w:r>
          </w:p>
        </w:tc>
        <w:tc>
          <w:tcPr>
            <w:tcW w:w="852" w:type="dxa"/>
            <w:tcBorders>
              <w:top w:val="single" w:sz="4" w:space="0" w:color="auto"/>
              <w:left w:val="nil"/>
              <w:bottom w:val="single" w:sz="4" w:space="0" w:color="auto"/>
              <w:right w:val="single" w:sz="4" w:space="0" w:color="auto"/>
            </w:tcBorders>
            <w:shd w:val="clear" w:color="auto" w:fill="C6EFCE"/>
            <w:noWrap/>
          </w:tcPr>
          <w:p w14:paraId="40F00FEB" w14:textId="27C87728" w:rsidR="00146C1C" w:rsidRPr="00426D0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549F7F0A" w14:textId="77777777" w:rsidR="00146C1C" w:rsidRPr="004E2DDD" w:rsidRDefault="00146C1C" w:rsidP="0001477B">
            <w:pPr>
              <w:spacing w:after="200" w:line="276" w:lineRule="auto"/>
              <w:jc w:val="center"/>
              <w:rPr>
                <w:rFonts w:eastAsia="Calibri" w:cstheme="minorHAnsi"/>
                <w:noProof/>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05D98637" w14:textId="77777777" w:rsidR="00146C1C" w:rsidRPr="004E2DDD" w:rsidRDefault="00146C1C" w:rsidP="0001477B">
            <w:pPr>
              <w:spacing w:after="200" w:line="276" w:lineRule="auto"/>
              <w:rPr>
                <w:rFonts w:eastAsia="Calibri" w:cstheme="minorHAnsi"/>
                <w:noProof/>
                <w:sz w:val="20"/>
                <w:szCs w:val="20"/>
              </w:rPr>
            </w:pPr>
            <w:r>
              <w:rPr>
                <w:noProof/>
                <w:sz w:val="20"/>
              </w:rPr>
              <w:t xml:space="preserve">Izgradnja proširenog plinovoda Zlobin–Bosiljevo </w:t>
            </w:r>
          </w:p>
        </w:tc>
        <w:tc>
          <w:tcPr>
            <w:tcW w:w="1952" w:type="dxa"/>
            <w:tcBorders>
              <w:top w:val="single" w:sz="4" w:space="0" w:color="auto"/>
              <w:left w:val="nil"/>
              <w:bottom w:val="single" w:sz="4" w:space="0" w:color="auto"/>
              <w:right w:val="single" w:sz="4" w:space="0" w:color="auto"/>
            </w:tcBorders>
            <w:shd w:val="clear" w:color="auto" w:fill="C6EFCE"/>
            <w:noWrap/>
          </w:tcPr>
          <w:p w14:paraId="04FEAED2" w14:textId="77777777" w:rsidR="00146C1C" w:rsidRPr="00BC0323" w:rsidRDefault="00146C1C" w:rsidP="0001477B">
            <w:pPr>
              <w:spacing w:after="200" w:line="276" w:lineRule="auto"/>
              <w:rPr>
                <w:rFonts w:eastAsia="Calibri" w:cstheme="minorHAnsi"/>
                <w:noProof/>
                <w:sz w:val="20"/>
                <w:szCs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398562AA" w14:textId="77777777" w:rsidR="00146C1C" w:rsidRPr="004E2DDD" w:rsidRDefault="00146C1C" w:rsidP="0001477B">
            <w:pPr>
              <w:spacing w:after="200" w:line="276" w:lineRule="auto"/>
              <w:jc w:val="center"/>
              <w:rPr>
                <w:rFonts w:eastAsia="Calibri" w:cstheme="minorHAnsi"/>
                <w:noProof/>
                <w:sz w:val="20"/>
                <w:szCs w:val="20"/>
              </w:rPr>
            </w:pPr>
            <w:r>
              <w:rPr>
                <w:noProof/>
                <w:sz w:val="20"/>
              </w:rPr>
              <w:t>km</w:t>
            </w:r>
          </w:p>
        </w:tc>
        <w:tc>
          <w:tcPr>
            <w:tcW w:w="868" w:type="dxa"/>
            <w:tcBorders>
              <w:top w:val="single" w:sz="4" w:space="0" w:color="auto"/>
              <w:left w:val="nil"/>
              <w:bottom w:val="single" w:sz="4" w:space="0" w:color="auto"/>
              <w:right w:val="single" w:sz="4" w:space="0" w:color="auto"/>
            </w:tcBorders>
            <w:shd w:val="clear" w:color="auto" w:fill="C6EFCE"/>
            <w:noWrap/>
          </w:tcPr>
          <w:p w14:paraId="4D26EC53" w14:textId="77777777" w:rsidR="00146C1C" w:rsidRPr="004E2DDD" w:rsidRDefault="00146C1C" w:rsidP="0001477B">
            <w:pPr>
              <w:spacing w:after="200" w:line="276" w:lineRule="auto"/>
              <w:jc w:val="center"/>
              <w:rPr>
                <w:rFonts w:eastAsia="Calibri" w:cstheme="minorHAnsi"/>
                <w:noProof/>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6944FA73" w14:textId="77777777" w:rsidR="00146C1C" w:rsidRPr="004E2DDD" w:rsidRDefault="00146C1C" w:rsidP="0001477B">
            <w:pPr>
              <w:spacing w:after="200" w:line="276" w:lineRule="auto"/>
              <w:jc w:val="center"/>
              <w:rPr>
                <w:rFonts w:eastAsia="Calibri" w:cstheme="minorHAnsi"/>
                <w:noProof/>
                <w:sz w:val="20"/>
                <w:szCs w:val="20"/>
              </w:rPr>
            </w:pPr>
            <w:r>
              <w:rPr>
                <w:noProof/>
                <w:sz w:val="20"/>
              </w:rPr>
              <w:t>58</w:t>
            </w:r>
          </w:p>
        </w:tc>
        <w:tc>
          <w:tcPr>
            <w:tcW w:w="567" w:type="dxa"/>
            <w:tcBorders>
              <w:top w:val="single" w:sz="4" w:space="0" w:color="auto"/>
              <w:left w:val="nil"/>
              <w:bottom w:val="single" w:sz="4" w:space="0" w:color="auto"/>
              <w:right w:val="single" w:sz="4" w:space="0" w:color="auto"/>
            </w:tcBorders>
            <w:shd w:val="clear" w:color="auto" w:fill="C6EFCE"/>
            <w:noWrap/>
          </w:tcPr>
          <w:p w14:paraId="164906DD" w14:textId="6C400450" w:rsidR="00146C1C" w:rsidRPr="004E2DDD" w:rsidRDefault="00146C1C" w:rsidP="0001477B">
            <w:pPr>
              <w:spacing w:after="200" w:line="276" w:lineRule="auto"/>
              <w:jc w:val="center"/>
              <w:rPr>
                <w:rFonts w:eastAsia="Calibri" w:cstheme="minorHAnsi"/>
                <w:noProof/>
                <w:sz w:val="20"/>
                <w:szCs w:val="20"/>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0A991425"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2025.</w:t>
            </w:r>
          </w:p>
        </w:tc>
        <w:tc>
          <w:tcPr>
            <w:tcW w:w="4160" w:type="dxa"/>
            <w:tcBorders>
              <w:top w:val="single" w:sz="4" w:space="0" w:color="auto"/>
              <w:left w:val="nil"/>
              <w:bottom w:val="single" w:sz="4" w:space="0" w:color="auto"/>
              <w:right w:val="single" w:sz="4" w:space="0" w:color="auto"/>
            </w:tcBorders>
            <w:shd w:val="clear" w:color="auto" w:fill="C6EFCE"/>
            <w:noWrap/>
          </w:tcPr>
          <w:p w14:paraId="2DA68A56" w14:textId="592BEA54" w:rsidR="00146C1C" w:rsidRPr="004E2DDD" w:rsidRDefault="00146C1C" w:rsidP="0001477B">
            <w:pPr>
              <w:spacing w:after="200" w:line="276" w:lineRule="auto"/>
              <w:rPr>
                <w:rFonts w:eastAsia="Calibri" w:cstheme="minorHAnsi"/>
                <w:noProof/>
                <w:sz w:val="20"/>
                <w:szCs w:val="20"/>
              </w:rPr>
            </w:pPr>
            <w:r>
              <w:rPr>
                <w:noProof/>
                <w:sz w:val="20"/>
              </w:rPr>
              <w:t>Izgradit će se prošireni plinovod Zlobin – Bosiljevo duljine 58 km.</w:t>
            </w:r>
          </w:p>
        </w:tc>
      </w:tr>
      <w:tr w:rsidR="009C2121" w:rsidRPr="004E2DDD" w14:paraId="142BDCFD"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5C8C991" w14:textId="3AD24B16" w:rsidR="00146C1C" w:rsidRPr="004E2DDD" w:rsidRDefault="00F86C22" w:rsidP="0001477B">
            <w:pPr>
              <w:spacing w:after="0" w:line="276" w:lineRule="auto"/>
              <w:jc w:val="center"/>
              <w:rPr>
                <w:rFonts w:eastAsia="Calibri" w:cstheme="minorHAnsi"/>
                <w:noProof/>
                <w:sz w:val="20"/>
                <w:szCs w:val="20"/>
              </w:rPr>
            </w:pPr>
            <w:r>
              <w:rPr>
                <w:noProof/>
                <w:sz w:val="20"/>
              </w:rPr>
              <w:t>425</w:t>
            </w:r>
          </w:p>
        </w:tc>
        <w:tc>
          <w:tcPr>
            <w:tcW w:w="852" w:type="dxa"/>
            <w:tcBorders>
              <w:top w:val="single" w:sz="4" w:space="0" w:color="auto"/>
              <w:left w:val="nil"/>
              <w:bottom w:val="single" w:sz="4" w:space="0" w:color="auto"/>
              <w:right w:val="single" w:sz="4" w:space="0" w:color="auto"/>
            </w:tcBorders>
            <w:shd w:val="clear" w:color="auto" w:fill="C6EFCE"/>
            <w:noWrap/>
          </w:tcPr>
          <w:p w14:paraId="02E96645" w14:textId="276C3F30" w:rsidR="00146C1C" w:rsidRPr="00426D0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4F050715" w14:textId="77777777" w:rsidR="00146C1C" w:rsidRPr="004E2DDD" w:rsidRDefault="00146C1C" w:rsidP="0001477B">
            <w:pPr>
              <w:spacing w:after="200" w:line="276" w:lineRule="auto"/>
              <w:jc w:val="center"/>
              <w:rPr>
                <w:rFonts w:eastAsia="Calibri" w:cstheme="minorHAnsi"/>
                <w:noProof/>
                <w:sz w:val="20"/>
                <w:szCs w:val="20"/>
              </w:rPr>
            </w:pPr>
            <w:r>
              <w:rPr>
                <w:noProof/>
                <w:sz w:val="20"/>
              </w:rPr>
              <w:t>Ključna etapa</w:t>
            </w:r>
          </w:p>
        </w:tc>
        <w:tc>
          <w:tcPr>
            <w:tcW w:w="2552" w:type="dxa"/>
            <w:tcBorders>
              <w:top w:val="single" w:sz="4" w:space="0" w:color="auto"/>
              <w:left w:val="nil"/>
              <w:bottom w:val="single" w:sz="4" w:space="0" w:color="auto"/>
              <w:right w:val="single" w:sz="4" w:space="0" w:color="auto"/>
            </w:tcBorders>
            <w:shd w:val="clear" w:color="auto" w:fill="C6EFCE"/>
            <w:noWrap/>
          </w:tcPr>
          <w:p w14:paraId="0EED9C4E" w14:textId="77777777" w:rsidR="00146C1C" w:rsidRPr="004E2DDD" w:rsidRDefault="00146C1C" w:rsidP="0001477B">
            <w:pPr>
              <w:spacing w:after="200" w:line="276" w:lineRule="auto"/>
              <w:rPr>
                <w:rFonts w:eastAsia="Calibri" w:cstheme="minorHAnsi"/>
                <w:noProof/>
                <w:sz w:val="20"/>
                <w:szCs w:val="20"/>
              </w:rPr>
            </w:pPr>
            <w:r>
              <w:rPr>
                <w:noProof/>
                <w:sz w:val="20"/>
              </w:rPr>
              <w:t>Raspisan natječaj za nabavu cijevi za plinovodni sustav Bosiljevo–Sisak–Kozarac</w:t>
            </w:r>
          </w:p>
        </w:tc>
        <w:tc>
          <w:tcPr>
            <w:tcW w:w="1952" w:type="dxa"/>
            <w:tcBorders>
              <w:top w:val="single" w:sz="4" w:space="0" w:color="auto"/>
              <w:left w:val="nil"/>
              <w:bottom w:val="single" w:sz="4" w:space="0" w:color="auto"/>
              <w:right w:val="single" w:sz="4" w:space="0" w:color="auto"/>
            </w:tcBorders>
            <w:shd w:val="clear" w:color="auto" w:fill="C6EFCE"/>
            <w:noWrap/>
          </w:tcPr>
          <w:p w14:paraId="4C92277D" w14:textId="77777777" w:rsidR="00146C1C" w:rsidRPr="004E2DDD" w:rsidRDefault="00146C1C" w:rsidP="0001477B">
            <w:pPr>
              <w:spacing w:after="200" w:line="276" w:lineRule="auto"/>
              <w:rPr>
                <w:rFonts w:eastAsia="Calibri" w:cstheme="minorHAnsi"/>
                <w:noProof/>
                <w:sz w:val="20"/>
                <w:szCs w:val="20"/>
              </w:rPr>
            </w:pPr>
            <w:r>
              <w:rPr>
                <w:noProof/>
                <w:sz w:val="20"/>
              </w:rPr>
              <w:t>Raspisan natječaj za nabavu cijevi</w:t>
            </w:r>
          </w:p>
        </w:tc>
        <w:tc>
          <w:tcPr>
            <w:tcW w:w="1131" w:type="dxa"/>
            <w:tcBorders>
              <w:top w:val="single" w:sz="4" w:space="0" w:color="auto"/>
              <w:left w:val="nil"/>
              <w:bottom w:val="single" w:sz="4" w:space="0" w:color="auto"/>
              <w:right w:val="single" w:sz="4" w:space="0" w:color="auto"/>
            </w:tcBorders>
            <w:shd w:val="clear" w:color="auto" w:fill="C6EFCE"/>
            <w:noWrap/>
          </w:tcPr>
          <w:p w14:paraId="1E01C75F" w14:textId="77777777" w:rsidR="00146C1C" w:rsidRPr="00BC0323" w:rsidRDefault="00146C1C" w:rsidP="0001477B">
            <w:pPr>
              <w:spacing w:after="200" w:line="276" w:lineRule="auto"/>
              <w:jc w:val="center"/>
              <w:rPr>
                <w:rFonts w:eastAsia="Calibri" w:cstheme="minorHAnsi"/>
                <w:noProof/>
                <w:sz w:val="20"/>
                <w:szCs w:val="20"/>
                <w:lang w:val="fr-BE"/>
              </w:rPr>
            </w:pPr>
          </w:p>
        </w:tc>
        <w:tc>
          <w:tcPr>
            <w:tcW w:w="868" w:type="dxa"/>
            <w:tcBorders>
              <w:top w:val="single" w:sz="4" w:space="0" w:color="auto"/>
              <w:left w:val="nil"/>
              <w:bottom w:val="single" w:sz="4" w:space="0" w:color="auto"/>
              <w:right w:val="single" w:sz="4" w:space="0" w:color="auto"/>
            </w:tcBorders>
            <w:shd w:val="clear" w:color="auto" w:fill="C6EFCE"/>
            <w:noWrap/>
          </w:tcPr>
          <w:p w14:paraId="454A3CA3" w14:textId="77777777" w:rsidR="00146C1C" w:rsidRPr="00BC0323" w:rsidRDefault="00146C1C" w:rsidP="0001477B">
            <w:pPr>
              <w:spacing w:after="200" w:line="276" w:lineRule="auto"/>
              <w:jc w:val="center"/>
              <w:rPr>
                <w:rFonts w:eastAsia="Calibri" w:cstheme="minorHAnsi"/>
                <w:noProof/>
                <w:sz w:val="20"/>
                <w:szCs w:val="20"/>
                <w:lang w:val="fr-BE"/>
              </w:rPr>
            </w:pPr>
          </w:p>
        </w:tc>
        <w:tc>
          <w:tcPr>
            <w:tcW w:w="850" w:type="dxa"/>
            <w:tcBorders>
              <w:top w:val="single" w:sz="4" w:space="0" w:color="auto"/>
              <w:left w:val="nil"/>
              <w:bottom w:val="single" w:sz="4" w:space="0" w:color="auto"/>
              <w:right w:val="single" w:sz="4" w:space="0" w:color="auto"/>
            </w:tcBorders>
            <w:shd w:val="clear" w:color="auto" w:fill="C6EFCE"/>
            <w:noWrap/>
          </w:tcPr>
          <w:p w14:paraId="4C050ABD" w14:textId="77777777" w:rsidR="00146C1C" w:rsidRPr="00BC0323" w:rsidRDefault="00146C1C" w:rsidP="0001477B">
            <w:pPr>
              <w:spacing w:after="200" w:line="276" w:lineRule="auto"/>
              <w:jc w:val="center"/>
              <w:rPr>
                <w:rFonts w:eastAsia="Calibri" w:cstheme="minorHAnsi"/>
                <w:noProof/>
                <w:sz w:val="20"/>
                <w:szCs w:val="20"/>
                <w:lang w:val="fr-BE"/>
              </w:rPr>
            </w:pPr>
          </w:p>
        </w:tc>
        <w:tc>
          <w:tcPr>
            <w:tcW w:w="567" w:type="dxa"/>
            <w:tcBorders>
              <w:top w:val="single" w:sz="4" w:space="0" w:color="auto"/>
              <w:left w:val="nil"/>
              <w:bottom w:val="single" w:sz="4" w:space="0" w:color="auto"/>
              <w:right w:val="single" w:sz="4" w:space="0" w:color="auto"/>
            </w:tcBorders>
            <w:shd w:val="clear" w:color="auto" w:fill="C6EFCE"/>
            <w:noWrap/>
          </w:tcPr>
          <w:p w14:paraId="7879C01C" w14:textId="77777777" w:rsidR="00146C1C" w:rsidRPr="004E2DDD" w:rsidRDefault="00146C1C" w:rsidP="0001477B">
            <w:pPr>
              <w:spacing w:after="200" w:line="276" w:lineRule="auto"/>
              <w:jc w:val="center"/>
              <w:rPr>
                <w:rFonts w:eastAsia="Calibri" w:cstheme="minorHAnsi"/>
                <w:noProof/>
                <w:sz w:val="20"/>
                <w:szCs w:val="20"/>
              </w:rPr>
            </w:pPr>
            <w:r>
              <w:rPr>
                <w:noProof/>
                <w:sz w:val="20"/>
              </w:rPr>
              <w:t>1.</w:t>
            </w:r>
          </w:p>
        </w:tc>
        <w:tc>
          <w:tcPr>
            <w:tcW w:w="567" w:type="dxa"/>
            <w:tcBorders>
              <w:top w:val="single" w:sz="4" w:space="0" w:color="auto"/>
              <w:left w:val="nil"/>
              <w:bottom w:val="single" w:sz="4" w:space="0" w:color="auto"/>
              <w:right w:val="single" w:sz="4" w:space="0" w:color="auto"/>
            </w:tcBorders>
            <w:shd w:val="clear" w:color="auto" w:fill="C6EFCE"/>
            <w:noWrap/>
          </w:tcPr>
          <w:p w14:paraId="71CBEF00"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2024.</w:t>
            </w:r>
          </w:p>
        </w:tc>
        <w:tc>
          <w:tcPr>
            <w:tcW w:w="4160" w:type="dxa"/>
            <w:tcBorders>
              <w:top w:val="single" w:sz="4" w:space="0" w:color="auto"/>
              <w:left w:val="nil"/>
              <w:bottom w:val="single" w:sz="4" w:space="0" w:color="auto"/>
              <w:right w:val="single" w:sz="4" w:space="0" w:color="auto"/>
            </w:tcBorders>
            <w:shd w:val="clear" w:color="auto" w:fill="C6EFCE"/>
            <w:noWrap/>
          </w:tcPr>
          <w:p w14:paraId="379CC484" w14:textId="6CA60E9C" w:rsidR="00146C1C" w:rsidRPr="004E2DDD" w:rsidRDefault="00146C1C" w:rsidP="0001477B">
            <w:pPr>
              <w:spacing w:after="200" w:line="276" w:lineRule="auto"/>
              <w:rPr>
                <w:rFonts w:eastAsia="Calibri" w:cstheme="minorHAnsi"/>
                <w:noProof/>
                <w:sz w:val="20"/>
                <w:szCs w:val="20"/>
              </w:rPr>
            </w:pPr>
            <w:r>
              <w:rPr>
                <w:noProof/>
                <w:sz w:val="20"/>
              </w:rPr>
              <w:t>Raspisan je natječaj za nabavu cijevi za plinovodni sustav Bosiljevo–Sisak–Kozarac.</w:t>
            </w:r>
          </w:p>
        </w:tc>
      </w:tr>
      <w:tr w:rsidR="009C2121" w:rsidRPr="004E2DDD" w14:paraId="10B85584"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71C99200" w14:textId="38A43B8D" w:rsidR="00146C1C" w:rsidRPr="004E2DDD" w:rsidRDefault="00114C40" w:rsidP="0001477B">
            <w:pPr>
              <w:spacing w:after="0" w:line="276" w:lineRule="auto"/>
              <w:jc w:val="center"/>
              <w:rPr>
                <w:rFonts w:eastAsia="Calibri" w:cstheme="minorHAnsi"/>
                <w:noProof/>
                <w:sz w:val="20"/>
                <w:szCs w:val="20"/>
              </w:rPr>
            </w:pPr>
            <w:r>
              <w:rPr>
                <w:noProof/>
                <w:sz w:val="20"/>
              </w:rPr>
              <w:t>426</w:t>
            </w:r>
          </w:p>
        </w:tc>
        <w:tc>
          <w:tcPr>
            <w:tcW w:w="852" w:type="dxa"/>
            <w:tcBorders>
              <w:top w:val="single" w:sz="4" w:space="0" w:color="auto"/>
              <w:left w:val="nil"/>
              <w:bottom w:val="single" w:sz="4" w:space="0" w:color="auto"/>
              <w:right w:val="single" w:sz="4" w:space="0" w:color="auto"/>
            </w:tcBorders>
            <w:shd w:val="clear" w:color="auto" w:fill="C6EFCE"/>
            <w:noWrap/>
          </w:tcPr>
          <w:p w14:paraId="5CF2FDC3" w14:textId="1D0EB9A8" w:rsidR="00146C1C" w:rsidRPr="00426D0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70FE141A" w14:textId="77777777" w:rsidR="00146C1C" w:rsidRPr="004E2DDD" w:rsidRDefault="00146C1C" w:rsidP="0001477B">
            <w:pPr>
              <w:spacing w:after="200" w:line="276" w:lineRule="auto"/>
              <w:jc w:val="center"/>
              <w:rPr>
                <w:rFonts w:eastAsia="Calibri" w:cstheme="minorHAnsi"/>
                <w:noProof/>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5E5629B9" w14:textId="77777777" w:rsidR="00146C1C" w:rsidRPr="004E2DDD" w:rsidRDefault="00146C1C" w:rsidP="0001477B">
            <w:pPr>
              <w:spacing w:after="200" w:line="276" w:lineRule="auto"/>
              <w:rPr>
                <w:rFonts w:eastAsia="Calibri" w:cstheme="minorHAnsi"/>
                <w:noProof/>
                <w:sz w:val="20"/>
                <w:szCs w:val="20"/>
              </w:rPr>
            </w:pPr>
            <w:r>
              <w:rPr>
                <w:noProof/>
                <w:sz w:val="20"/>
              </w:rPr>
              <w:t xml:space="preserve">Izgradnja proširenog plinovoda Bosiljevo–Sisak–Kozarac </w:t>
            </w:r>
          </w:p>
        </w:tc>
        <w:tc>
          <w:tcPr>
            <w:tcW w:w="1952" w:type="dxa"/>
            <w:tcBorders>
              <w:top w:val="single" w:sz="4" w:space="0" w:color="auto"/>
              <w:left w:val="nil"/>
              <w:bottom w:val="single" w:sz="4" w:space="0" w:color="auto"/>
              <w:right w:val="single" w:sz="4" w:space="0" w:color="auto"/>
            </w:tcBorders>
            <w:shd w:val="clear" w:color="auto" w:fill="C6EFCE"/>
            <w:noWrap/>
          </w:tcPr>
          <w:p w14:paraId="2A8B76D9" w14:textId="77777777" w:rsidR="00146C1C" w:rsidRPr="00BC0323" w:rsidRDefault="00146C1C" w:rsidP="0001477B">
            <w:pPr>
              <w:spacing w:after="200" w:line="276" w:lineRule="auto"/>
              <w:rPr>
                <w:rFonts w:eastAsia="Calibri" w:cstheme="minorHAnsi"/>
                <w:noProof/>
                <w:sz w:val="20"/>
                <w:szCs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435B381A" w14:textId="77777777" w:rsidR="00146C1C" w:rsidRPr="004E2DDD" w:rsidRDefault="00146C1C" w:rsidP="0001477B">
            <w:pPr>
              <w:spacing w:after="200" w:line="276" w:lineRule="auto"/>
              <w:jc w:val="center"/>
              <w:rPr>
                <w:rFonts w:eastAsia="Calibri" w:cstheme="minorHAnsi"/>
                <w:noProof/>
                <w:sz w:val="20"/>
                <w:szCs w:val="20"/>
              </w:rPr>
            </w:pPr>
            <w:r>
              <w:rPr>
                <w:noProof/>
                <w:sz w:val="20"/>
              </w:rPr>
              <w:t>km</w:t>
            </w:r>
          </w:p>
        </w:tc>
        <w:tc>
          <w:tcPr>
            <w:tcW w:w="868" w:type="dxa"/>
            <w:tcBorders>
              <w:top w:val="single" w:sz="4" w:space="0" w:color="auto"/>
              <w:left w:val="nil"/>
              <w:bottom w:val="single" w:sz="4" w:space="0" w:color="auto"/>
              <w:right w:val="single" w:sz="4" w:space="0" w:color="auto"/>
            </w:tcBorders>
            <w:shd w:val="clear" w:color="auto" w:fill="C6EFCE"/>
            <w:noWrap/>
          </w:tcPr>
          <w:p w14:paraId="1D840C0C" w14:textId="77777777" w:rsidR="00146C1C" w:rsidRPr="004E2DDD" w:rsidRDefault="00146C1C" w:rsidP="0001477B">
            <w:pPr>
              <w:spacing w:after="200" w:line="276" w:lineRule="auto"/>
              <w:jc w:val="center"/>
              <w:rPr>
                <w:rFonts w:eastAsia="Calibri" w:cstheme="minorHAnsi"/>
                <w:noProof/>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6DCEF096" w14:textId="77777777" w:rsidR="00146C1C" w:rsidRPr="004E2DDD" w:rsidRDefault="00146C1C" w:rsidP="0001477B">
            <w:pPr>
              <w:spacing w:after="200" w:line="276" w:lineRule="auto"/>
              <w:jc w:val="center"/>
              <w:rPr>
                <w:rFonts w:eastAsia="Calibri" w:cstheme="minorHAnsi"/>
                <w:noProof/>
                <w:sz w:val="20"/>
                <w:szCs w:val="20"/>
              </w:rPr>
            </w:pPr>
            <w:r>
              <w:rPr>
                <w:noProof/>
                <w:sz w:val="20"/>
              </w:rPr>
              <w:t>122</w:t>
            </w:r>
          </w:p>
        </w:tc>
        <w:tc>
          <w:tcPr>
            <w:tcW w:w="567" w:type="dxa"/>
            <w:tcBorders>
              <w:top w:val="single" w:sz="4" w:space="0" w:color="auto"/>
              <w:left w:val="nil"/>
              <w:bottom w:val="single" w:sz="4" w:space="0" w:color="auto"/>
              <w:right w:val="single" w:sz="4" w:space="0" w:color="auto"/>
            </w:tcBorders>
            <w:shd w:val="clear" w:color="auto" w:fill="C6EFCE"/>
            <w:noWrap/>
          </w:tcPr>
          <w:p w14:paraId="36F0AE97" w14:textId="77777777" w:rsidR="00146C1C" w:rsidRPr="004E2DDD" w:rsidRDefault="00146C1C" w:rsidP="0001477B">
            <w:pPr>
              <w:spacing w:after="200" w:line="276" w:lineRule="auto"/>
              <w:jc w:val="center"/>
              <w:rPr>
                <w:rFonts w:eastAsia="Calibri" w:cstheme="minorHAnsi"/>
                <w:noProof/>
                <w:sz w:val="20"/>
                <w:szCs w:val="20"/>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4A66B9B0"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61EE5ED1" w14:textId="7B760C98" w:rsidR="00146C1C" w:rsidRPr="004E2DDD" w:rsidRDefault="00146C1C" w:rsidP="0001477B">
            <w:pPr>
              <w:spacing w:after="200" w:line="276" w:lineRule="auto"/>
              <w:rPr>
                <w:rFonts w:eastAsia="Calibri" w:cstheme="minorHAnsi"/>
                <w:noProof/>
                <w:sz w:val="20"/>
                <w:szCs w:val="20"/>
              </w:rPr>
            </w:pPr>
            <w:r>
              <w:rPr>
                <w:noProof/>
                <w:sz w:val="20"/>
              </w:rPr>
              <w:t>Izgradit će se prošireni plinovod Bosiljevo–Sisak–Kozarac duljine 122 km.</w:t>
            </w:r>
          </w:p>
        </w:tc>
      </w:tr>
      <w:tr w:rsidR="009C2121" w:rsidRPr="004E2DDD" w14:paraId="76457124"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AB5576A" w14:textId="4582CCE0" w:rsidR="00146C1C" w:rsidRPr="004E2DDD" w:rsidRDefault="00D85183" w:rsidP="0001477B">
            <w:pPr>
              <w:spacing w:after="0" w:line="276" w:lineRule="auto"/>
              <w:jc w:val="center"/>
              <w:rPr>
                <w:rFonts w:eastAsia="Calibri" w:cstheme="minorHAnsi"/>
                <w:noProof/>
                <w:sz w:val="20"/>
                <w:szCs w:val="20"/>
              </w:rPr>
            </w:pPr>
            <w:r>
              <w:rPr>
                <w:noProof/>
                <w:sz w:val="20"/>
              </w:rPr>
              <w:t>427</w:t>
            </w:r>
          </w:p>
        </w:tc>
        <w:tc>
          <w:tcPr>
            <w:tcW w:w="852" w:type="dxa"/>
            <w:tcBorders>
              <w:top w:val="single" w:sz="4" w:space="0" w:color="auto"/>
              <w:left w:val="nil"/>
              <w:bottom w:val="single" w:sz="4" w:space="0" w:color="auto"/>
              <w:right w:val="single" w:sz="4" w:space="0" w:color="auto"/>
            </w:tcBorders>
            <w:shd w:val="clear" w:color="auto" w:fill="C6EFCE"/>
            <w:noWrap/>
          </w:tcPr>
          <w:p w14:paraId="69E7224C" w14:textId="12C7E3C0" w:rsidR="00146C1C" w:rsidRPr="00426D0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631B9E91" w14:textId="77777777" w:rsidR="00146C1C" w:rsidRPr="004E2DDD" w:rsidRDefault="00146C1C" w:rsidP="0001477B">
            <w:pPr>
              <w:spacing w:after="200" w:line="276" w:lineRule="auto"/>
              <w:jc w:val="center"/>
              <w:rPr>
                <w:rFonts w:eastAsia="Calibri" w:cstheme="minorHAnsi"/>
                <w:noProof/>
                <w:sz w:val="20"/>
                <w:szCs w:val="20"/>
              </w:rPr>
            </w:pPr>
            <w:r>
              <w:rPr>
                <w:noProof/>
                <w:sz w:val="20"/>
              </w:rPr>
              <w:t>Ključna etapa</w:t>
            </w:r>
          </w:p>
        </w:tc>
        <w:tc>
          <w:tcPr>
            <w:tcW w:w="2552" w:type="dxa"/>
            <w:tcBorders>
              <w:top w:val="single" w:sz="4" w:space="0" w:color="auto"/>
              <w:left w:val="nil"/>
              <w:bottom w:val="single" w:sz="4" w:space="0" w:color="auto"/>
              <w:right w:val="single" w:sz="4" w:space="0" w:color="auto"/>
            </w:tcBorders>
            <w:shd w:val="clear" w:color="auto" w:fill="C6EFCE"/>
            <w:noWrap/>
          </w:tcPr>
          <w:p w14:paraId="359EFC2A" w14:textId="77777777" w:rsidR="00146C1C" w:rsidRPr="004E2DDD" w:rsidRDefault="00146C1C" w:rsidP="0001477B">
            <w:pPr>
              <w:spacing w:after="200" w:line="276" w:lineRule="auto"/>
              <w:rPr>
                <w:rFonts w:eastAsia="Calibri" w:cstheme="minorHAnsi"/>
                <w:noProof/>
                <w:sz w:val="20"/>
                <w:szCs w:val="20"/>
              </w:rPr>
            </w:pPr>
            <w:r>
              <w:rPr>
                <w:noProof/>
                <w:sz w:val="20"/>
              </w:rPr>
              <w:t>Natječaj za nabavu cijevi za dionicu Lučko-Zabok interkonekcije Hrvatska–Slovenija</w:t>
            </w:r>
          </w:p>
        </w:tc>
        <w:tc>
          <w:tcPr>
            <w:tcW w:w="1952" w:type="dxa"/>
            <w:tcBorders>
              <w:top w:val="single" w:sz="4" w:space="0" w:color="auto"/>
              <w:left w:val="nil"/>
              <w:bottom w:val="single" w:sz="4" w:space="0" w:color="auto"/>
              <w:right w:val="single" w:sz="4" w:space="0" w:color="auto"/>
            </w:tcBorders>
            <w:shd w:val="clear" w:color="auto" w:fill="C6EFCE"/>
            <w:noWrap/>
          </w:tcPr>
          <w:p w14:paraId="2F3CA8C8" w14:textId="77777777" w:rsidR="00146C1C" w:rsidRPr="004E2DDD" w:rsidRDefault="00146C1C" w:rsidP="0001477B">
            <w:pPr>
              <w:spacing w:after="200" w:line="276" w:lineRule="auto"/>
              <w:rPr>
                <w:rFonts w:eastAsia="Calibri" w:cstheme="minorHAnsi"/>
                <w:noProof/>
                <w:sz w:val="20"/>
                <w:szCs w:val="20"/>
              </w:rPr>
            </w:pPr>
            <w:r>
              <w:rPr>
                <w:noProof/>
                <w:sz w:val="20"/>
              </w:rPr>
              <w:t>Raspisan natječaj za nabavu cijevi</w:t>
            </w:r>
          </w:p>
        </w:tc>
        <w:tc>
          <w:tcPr>
            <w:tcW w:w="1131" w:type="dxa"/>
            <w:tcBorders>
              <w:top w:val="single" w:sz="4" w:space="0" w:color="auto"/>
              <w:left w:val="nil"/>
              <w:bottom w:val="single" w:sz="4" w:space="0" w:color="auto"/>
              <w:right w:val="single" w:sz="4" w:space="0" w:color="auto"/>
            </w:tcBorders>
            <w:shd w:val="clear" w:color="auto" w:fill="C6EFCE"/>
            <w:noWrap/>
          </w:tcPr>
          <w:p w14:paraId="4523CC1C" w14:textId="77777777" w:rsidR="00146C1C" w:rsidRPr="00BC0323" w:rsidRDefault="00146C1C" w:rsidP="0001477B">
            <w:pPr>
              <w:spacing w:after="200" w:line="276" w:lineRule="auto"/>
              <w:jc w:val="center"/>
              <w:rPr>
                <w:rFonts w:eastAsia="Calibri" w:cstheme="minorHAnsi"/>
                <w:noProof/>
                <w:sz w:val="20"/>
                <w:szCs w:val="20"/>
                <w:lang w:val="fr-BE"/>
              </w:rPr>
            </w:pPr>
          </w:p>
        </w:tc>
        <w:tc>
          <w:tcPr>
            <w:tcW w:w="868" w:type="dxa"/>
            <w:tcBorders>
              <w:top w:val="single" w:sz="4" w:space="0" w:color="auto"/>
              <w:left w:val="nil"/>
              <w:bottom w:val="single" w:sz="4" w:space="0" w:color="auto"/>
              <w:right w:val="single" w:sz="4" w:space="0" w:color="auto"/>
            </w:tcBorders>
            <w:shd w:val="clear" w:color="auto" w:fill="C6EFCE"/>
            <w:noWrap/>
          </w:tcPr>
          <w:p w14:paraId="095A24A5" w14:textId="77777777" w:rsidR="00146C1C" w:rsidRPr="00BC0323" w:rsidRDefault="00146C1C" w:rsidP="0001477B">
            <w:pPr>
              <w:spacing w:after="200" w:line="276" w:lineRule="auto"/>
              <w:jc w:val="center"/>
              <w:rPr>
                <w:rFonts w:eastAsia="Calibri" w:cstheme="minorHAnsi"/>
                <w:noProof/>
                <w:sz w:val="20"/>
                <w:szCs w:val="20"/>
                <w:lang w:val="fr-BE"/>
              </w:rPr>
            </w:pPr>
          </w:p>
        </w:tc>
        <w:tc>
          <w:tcPr>
            <w:tcW w:w="850" w:type="dxa"/>
            <w:tcBorders>
              <w:top w:val="single" w:sz="4" w:space="0" w:color="auto"/>
              <w:left w:val="nil"/>
              <w:bottom w:val="single" w:sz="4" w:space="0" w:color="auto"/>
              <w:right w:val="single" w:sz="4" w:space="0" w:color="auto"/>
            </w:tcBorders>
            <w:shd w:val="clear" w:color="auto" w:fill="C6EFCE"/>
            <w:noWrap/>
          </w:tcPr>
          <w:p w14:paraId="623C7294" w14:textId="77777777" w:rsidR="00146C1C" w:rsidRPr="00BC0323" w:rsidRDefault="00146C1C" w:rsidP="0001477B">
            <w:pPr>
              <w:spacing w:after="200" w:line="276" w:lineRule="auto"/>
              <w:jc w:val="center"/>
              <w:rPr>
                <w:rFonts w:eastAsia="Calibri" w:cstheme="minorHAnsi"/>
                <w:noProof/>
                <w:sz w:val="20"/>
                <w:szCs w:val="20"/>
                <w:lang w:val="fr-BE"/>
              </w:rPr>
            </w:pPr>
          </w:p>
        </w:tc>
        <w:tc>
          <w:tcPr>
            <w:tcW w:w="567" w:type="dxa"/>
            <w:tcBorders>
              <w:top w:val="single" w:sz="4" w:space="0" w:color="auto"/>
              <w:left w:val="nil"/>
              <w:bottom w:val="single" w:sz="4" w:space="0" w:color="auto"/>
              <w:right w:val="single" w:sz="4" w:space="0" w:color="auto"/>
            </w:tcBorders>
            <w:shd w:val="clear" w:color="auto" w:fill="C6EFCE"/>
            <w:noWrap/>
          </w:tcPr>
          <w:p w14:paraId="44049126" w14:textId="77777777" w:rsidR="00146C1C" w:rsidRPr="004E2DDD" w:rsidRDefault="00146C1C" w:rsidP="0001477B">
            <w:pPr>
              <w:spacing w:after="200" w:line="276" w:lineRule="auto"/>
              <w:jc w:val="center"/>
              <w:rPr>
                <w:rFonts w:eastAsia="Calibri" w:cstheme="minorHAnsi"/>
                <w:noProof/>
                <w:sz w:val="20"/>
                <w:szCs w:val="20"/>
              </w:rPr>
            </w:pPr>
            <w:r>
              <w:rPr>
                <w:noProof/>
                <w:sz w:val="20"/>
              </w:rPr>
              <w:t>1.</w:t>
            </w:r>
          </w:p>
        </w:tc>
        <w:tc>
          <w:tcPr>
            <w:tcW w:w="567" w:type="dxa"/>
            <w:tcBorders>
              <w:top w:val="single" w:sz="4" w:space="0" w:color="auto"/>
              <w:left w:val="nil"/>
              <w:bottom w:val="single" w:sz="4" w:space="0" w:color="auto"/>
              <w:right w:val="single" w:sz="4" w:space="0" w:color="auto"/>
            </w:tcBorders>
            <w:shd w:val="clear" w:color="auto" w:fill="C6EFCE"/>
            <w:noWrap/>
          </w:tcPr>
          <w:p w14:paraId="7E414288"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2024.</w:t>
            </w:r>
          </w:p>
        </w:tc>
        <w:tc>
          <w:tcPr>
            <w:tcW w:w="4160" w:type="dxa"/>
            <w:tcBorders>
              <w:top w:val="single" w:sz="4" w:space="0" w:color="auto"/>
              <w:left w:val="nil"/>
              <w:bottom w:val="single" w:sz="4" w:space="0" w:color="auto"/>
              <w:right w:val="single" w:sz="4" w:space="0" w:color="auto"/>
            </w:tcBorders>
            <w:shd w:val="clear" w:color="auto" w:fill="C6EFCE"/>
            <w:noWrap/>
          </w:tcPr>
          <w:p w14:paraId="28A2528B" w14:textId="173D0CEB" w:rsidR="00146C1C" w:rsidRPr="004E2DDD" w:rsidRDefault="00146C1C" w:rsidP="0001477B">
            <w:pPr>
              <w:spacing w:after="200" w:line="276" w:lineRule="auto"/>
              <w:rPr>
                <w:rFonts w:eastAsia="Calibri" w:cstheme="minorHAnsi"/>
                <w:noProof/>
                <w:sz w:val="20"/>
                <w:szCs w:val="20"/>
              </w:rPr>
            </w:pPr>
            <w:r>
              <w:rPr>
                <w:noProof/>
                <w:sz w:val="20"/>
              </w:rPr>
              <w:t>Raspisat će se natječaj za nabavu cijevi za dionicu Lučko-Zabok interkonekcije Hrvatska–Slovenija.</w:t>
            </w:r>
          </w:p>
        </w:tc>
      </w:tr>
      <w:tr w:rsidR="009C2121" w:rsidRPr="004E2DDD" w14:paraId="6874A754" w14:textId="77777777" w:rsidTr="009C2121">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61125954" w14:textId="0E48FF6D" w:rsidR="00146C1C" w:rsidRPr="004E2DDD" w:rsidRDefault="00D85183" w:rsidP="0001477B">
            <w:pPr>
              <w:spacing w:after="0" w:line="276" w:lineRule="auto"/>
              <w:jc w:val="center"/>
              <w:rPr>
                <w:rFonts w:eastAsia="Calibri" w:cstheme="minorHAnsi"/>
                <w:noProof/>
                <w:sz w:val="20"/>
                <w:szCs w:val="20"/>
              </w:rPr>
            </w:pPr>
            <w:r>
              <w:rPr>
                <w:noProof/>
                <w:sz w:val="20"/>
              </w:rPr>
              <w:t>428</w:t>
            </w:r>
          </w:p>
        </w:tc>
        <w:tc>
          <w:tcPr>
            <w:tcW w:w="852" w:type="dxa"/>
            <w:tcBorders>
              <w:top w:val="single" w:sz="4" w:space="0" w:color="auto"/>
              <w:left w:val="nil"/>
              <w:bottom w:val="single" w:sz="4" w:space="0" w:color="auto"/>
              <w:right w:val="single" w:sz="4" w:space="0" w:color="auto"/>
            </w:tcBorders>
            <w:shd w:val="clear" w:color="auto" w:fill="C6EFCE"/>
            <w:noWrap/>
          </w:tcPr>
          <w:p w14:paraId="17F9D10C" w14:textId="2581BC40" w:rsidR="00146C1C" w:rsidRPr="00426D0B"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65D5718E" w14:textId="77777777" w:rsidR="00146C1C" w:rsidRPr="004E2DDD" w:rsidRDefault="00146C1C" w:rsidP="0001477B">
            <w:pPr>
              <w:spacing w:after="200" w:line="276" w:lineRule="auto"/>
              <w:jc w:val="center"/>
              <w:rPr>
                <w:rFonts w:eastAsia="Calibri" w:cstheme="minorHAnsi"/>
                <w:noProof/>
                <w:sz w:val="20"/>
                <w:szCs w:val="20"/>
              </w:rPr>
            </w:pPr>
            <w:r>
              <w:rPr>
                <w:noProof/>
                <w:sz w:val="20"/>
              </w:rPr>
              <w:t>Ciljna vrijednost</w:t>
            </w:r>
          </w:p>
        </w:tc>
        <w:tc>
          <w:tcPr>
            <w:tcW w:w="2552" w:type="dxa"/>
            <w:tcBorders>
              <w:top w:val="single" w:sz="4" w:space="0" w:color="auto"/>
              <w:left w:val="nil"/>
              <w:bottom w:val="single" w:sz="4" w:space="0" w:color="auto"/>
              <w:right w:val="single" w:sz="4" w:space="0" w:color="auto"/>
            </w:tcBorders>
            <w:shd w:val="clear" w:color="auto" w:fill="C6EFCE"/>
            <w:noWrap/>
          </w:tcPr>
          <w:p w14:paraId="48723744" w14:textId="77777777" w:rsidR="00146C1C" w:rsidRPr="004E2DDD" w:rsidRDefault="00146C1C" w:rsidP="0001477B">
            <w:pPr>
              <w:spacing w:after="200" w:line="276" w:lineRule="auto"/>
              <w:rPr>
                <w:rFonts w:eastAsia="Calibri" w:cstheme="minorHAnsi"/>
                <w:noProof/>
                <w:sz w:val="20"/>
                <w:szCs w:val="20"/>
              </w:rPr>
            </w:pPr>
            <w:r>
              <w:rPr>
                <w:noProof/>
                <w:sz w:val="20"/>
              </w:rPr>
              <w:t>Izgradnja proširene dionice Lučko–Zabok interkonekcije Hrvatska–Slovenija.</w:t>
            </w:r>
          </w:p>
        </w:tc>
        <w:tc>
          <w:tcPr>
            <w:tcW w:w="1952" w:type="dxa"/>
            <w:tcBorders>
              <w:top w:val="single" w:sz="4" w:space="0" w:color="auto"/>
              <w:left w:val="nil"/>
              <w:bottom w:val="single" w:sz="4" w:space="0" w:color="auto"/>
              <w:right w:val="single" w:sz="4" w:space="0" w:color="auto"/>
            </w:tcBorders>
            <w:shd w:val="clear" w:color="auto" w:fill="C6EFCE"/>
            <w:noWrap/>
          </w:tcPr>
          <w:p w14:paraId="60BF0E02" w14:textId="77777777" w:rsidR="00146C1C" w:rsidRPr="00BC0323" w:rsidRDefault="00146C1C" w:rsidP="0001477B">
            <w:pPr>
              <w:spacing w:after="200" w:line="276" w:lineRule="auto"/>
              <w:rPr>
                <w:rFonts w:eastAsia="Calibri" w:cstheme="minorHAnsi"/>
                <w:noProof/>
                <w:sz w:val="20"/>
                <w:szCs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1C89488E" w14:textId="77777777" w:rsidR="00146C1C" w:rsidRPr="004E2DDD" w:rsidRDefault="00146C1C" w:rsidP="0001477B">
            <w:pPr>
              <w:spacing w:after="200" w:line="276" w:lineRule="auto"/>
              <w:jc w:val="center"/>
              <w:rPr>
                <w:rFonts w:eastAsia="Calibri" w:cstheme="minorHAnsi"/>
                <w:noProof/>
                <w:sz w:val="20"/>
                <w:szCs w:val="20"/>
              </w:rPr>
            </w:pPr>
            <w:r>
              <w:rPr>
                <w:noProof/>
                <w:sz w:val="20"/>
              </w:rPr>
              <w:t>km</w:t>
            </w:r>
          </w:p>
        </w:tc>
        <w:tc>
          <w:tcPr>
            <w:tcW w:w="868" w:type="dxa"/>
            <w:tcBorders>
              <w:top w:val="single" w:sz="4" w:space="0" w:color="auto"/>
              <w:left w:val="nil"/>
              <w:bottom w:val="single" w:sz="4" w:space="0" w:color="auto"/>
              <w:right w:val="single" w:sz="4" w:space="0" w:color="auto"/>
            </w:tcBorders>
            <w:shd w:val="clear" w:color="auto" w:fill="C6EFCE"/>
            <w:noWrap/>
          </w:tcPr>
          <w:p w14:paraId="59B143A7" w14:textId="77777777" w:rsidR="00146C1C" w:rsidRPr="004E2DDD" w:rsidRDefault="00146C1C" w:rsidP="0001477B">
            <w:pPr>
              <w:spacing w:after="200" w:line="276" w:lineRule="auto"/>
              <w:jc w:val="center"/>
              <w:rPr>
                <w:rFonts w:eastAsia="Calibri" w:cstheme="minorHAnsi"/>
                <w:noProof/>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007D563B" w14:textId="77777777" w:rsidR="00146C1C" w:rsidRPr="004E2DDD" w:rsidRDefault="00146C1C" w:rsidP="0001477B">
            <w:pPr>
              <w:spacing w:after="200" w:line="276" w:lineRule="auto"/>
              <w:jc w:val="center"/>
              <w:rPr>
                <w:rFonts w:eastAsia="Calibri" w:cstheme="minorHAnsi"/>
                <w:noProof/>
                <w:sz w:val="20"/>
                <w:szCs w:val="20"/>
              </w:rPr>
            </w:pPr>
            <w:r>
              <w:rPr>
                <w:noProof/>
                <w:sz w:val="20"/>
              </w:rPr>
              <w:t>36</w:t>
            </w:r>
          </w:p>
        </w:tc>
        <w:tc>
          <w:tcPr>
            <w:tcW w:w="567" w:type="dxa"/>
            <w:tcBorders>
              <w:top w:val="single" w:sz="4" w:space="0" w:color="auto"/>
              <w:left w:val="nil"/>
              <w:bottom w:val="single" w:sz="4" w:space="0" w:color="auto"/>
              <w:right w:val="single" w:sz="4" w:space="0" w:color="auto"/>
            </w:tcBorders>
            <w:shd w:val="clear" w:color="auto" w:fill="C6EFCE"/>
            <w:noWrap/>
          </w:tcPr>
          <w:p w14:paraId="6361D2DF" w14:textId="77777777" w:rsidR="00146C1C" w:rsidRPr="004E2DDD" w:rsidRDefault="00146C1C" w:rsidP="0001477B">
            <w:pPr>
              <w:spacing w:after="200" w:line="276" w:lineRule="auto"/>
              <w:jc w:val="center"/>
              <w:rPr>
                <w:rFonts w:eastAsia="Calibri" w:cstheme="minorHAnsi"/>
                <w:noProof/>
                <w:sz w:val="20"/>
                <w:szCs w:val="20"/>
              </w:rPr>
            </w:pPr>
            <w:r>
              <w:rPr>
                <w:noProof/>
                <w:sz w:val="20"/>
              </w:rPr>
              <w:t>2.</w:t>
            </w:r>
          </w:p>
        </w:tc>
        <w:tc>
          <w:tcPr>
            <w:tcW w:w="567" w:type="dxa"/>
            <w:tcBorders>
              <w:top w:val="single" w:sz="4" w:space="0" w:color="auto"/>
              <w:left w:val="nil"/>
              <w:bottom w:val="single" w:sz="4" w:space="0" w:color="auto"/>
              <w:right w:val="single" w:sz="4" w:space="0" w:color="auto"/>
            </w:tcBorders>
            <w:shd w:val="clear" w:color="auto" w:fill="C6EFCE"/>
            <w:noWrap/>
          </w:tcPr>
          <w:p w14:paraId="3AE3B31E" w14:textId="77777777" w:rsidR="00146C1C" w:rsidRPr="004E2DDD" w:rsidRDefault="00146C1C" w:rsidP="0001477B">
            <w:pPr>
              <w:spacing w:after="200" w:line="276" w:lineRule="auto"/>
              <w:jc w:val="center"/>
              <w:rPr>
                <w:rFonts w:eastAsia="Calibri" w:cstheme="minorHAnsi"/>
                <w:noProof/>
                <w:sz w:val="20"/>
                <w:szCs w:val="20"/>
              </w:rPr>
            </w:pPr>
            <w:r>
              <w:rPr>
                <w:noProof/>
                <w:sz w:val="20"/>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4C5B5FBD" w14:textId="24220BB6" w:rsidR="00146C1C" w:rsidRPr="004E2DDD" w:rsidRDefault="00146C1C" w:rsidP="0001477B">
            <w:pPr>
              <w:spacing w:after="200" w:line="276" w:lineRule="auto"/>
              <w:rPr>
                <w:rFonts w:eastAsia="Calibri" w:cstheme="minorHAnsi"/>
                <w:noProof/>
                <w:sz w:val="20"/>
                <w:szCs w:val="20"/>
              </w:rPr>
            </w:pPr>
            <w:r>
              <w:rPr>
                <w:noProof/>
                <w:sz w:val="20"/>
              </w:rPr>
              <w:t xml:space="preserve">Izgradit će se proširena dionica plinovoda Lučko–Zabok interkonekcije Hrvatska–Slovenija duljine 36 km. </w:t>
            </w:r>
          </w:p>
        </w:tc>
      </w:tr>
    </w:tbl>
    <w:p w14:paraId="7B88C24A" w14:textId="77777777" w:rsidR="00146C1C" w:rsidRPr="00BC0323" w:rsidRDefault="00146C1C">
      <w:pPr>
        <w:rPr>
          <w:rFonts w:ascii="Segoe UI" w:eastAsia="Times New Roman" w:hAnsi="Segoe UI" w:cs="Segoe UI"/>
          <w:noProof/>
          <w:sz w:val="18"/>
          <w:szCs w:val="18"/>
          <w:lang w:eastAsia="en-IE"/>
        </w:rPr>
      </w:pPr>
    </w:p>
    <w:p w14:paraId="1D31D5F8" w14:textId="77777777" w:rsidR="00146C1C" w:rsidRDefault="00146C1C" w:rsidP="0001477B">
      <w:pPr>
        <w:pStyle w:val="paragraph"/>
        <w:spacing w:before="0" w:beforeAutospacing="0" w:after="0" w:afterAutospacing="0"/>
        <w:jc w:val="both"/>
        <w:textAlignment w:val="baseline"/>
        <w:rPr>
          <w:rFonts w:ascii="Segoe UI" w:hAnsi="Segoe UI" w:cs="Segoe UI"/>
          <w:noProof/>
          <w:sz w:val="18"/>
          <w:szCs w:val="18"/>
        </w:rPr>
        <w:sectPr w:rsidR="00146C1C" w:rsidSect="00146C1C">
          <w:headerReference w:type="even" r:id="rId420"/>
          <w:headerReference w:type="default" r:id="rId421"/>
          <w:footerReference w:type="even" r:id="rId422"/>
          <w:footerReference w:type="default" r:id="rId423"/>
          <w:headerReference w:type="first" r:id="rId424"/>
          <w:footerReference w:type="first" r:id="rId425"/>
          <w:pgSz w:w="15840" w:h="12240" w:orient="landscape"/>
          <w:pgMar w:top="1440" w:right="1440" w:bottom="1440" w:left="1440" w:header="708" w:footer="708" w:gutter="0"/>
          <w:cols w:space="708"/>
          <w:docGrid w:linePitch="360"/>
        </w:sectPr>
      </w:pPr>
    </w:p>
    <w:p w14:paraId="334174F5" w14:textId="221DCD45" w:rsidR="00146C1C" w:rsidRPr="004931D3" w:rsidRDefault="009C2121" w:rsidP="002A5D6D">
      <w:pPr>
        <w:pStyle w:val="paragraph"/>
        <w:spacing w:before="0" w:beforeAutospacing="0" w:after="240" w:afterAutospacing="0"/>
        <w:jc w:val="both"/>
        <w:textAlignment w:val="baseline"/>
        <w:rPr>
          <w:noProof/>
        </w:rPr>
      </w:pPr>
      <w:r>
        <w:rPr>
          <w:b/>
          <w:noProof/>
        </w:rPr>
        <w:t>X. KOMPONENTA 7.2.: ENERGETSKA OBNOVA ZGRADA (POGLAVLJE O PLANU REPowerEU)</w:t>
      </w:r>
    </w:p>
    <w:p w14:paraId="7130B1FE" w14:textId="4D5E8865" w:rsidR="00146C1C" w:rsidRPr="004931D3" w:rsidRDefault="00146C1C" w:rsidP="0001477B">
      <w:pPr>
        <w:pStyle w:val="paragraph"/>
        <w:spacing w:before="0" w:beforeAutospacing="0" w:after="0" w:afterAutospacing="0"/>
        <w:jc w:val="both"/>
        <w:textAlignment w:val="baseline"/>
        <w:rPr>
          <w:noProof/>
        </w:rPr>
      </w:pPr>
      <w:r>
        <w:rPr>
          <w:noProof/>
        </w:rPr>
        <w:t>Glavni cilj komponente je smanjiti ovisnost o fosilnim gorivima i ubrzati zelenu tranziciju u cijelom gospodarstvu.</w:t>
      </w:r>
      <w:r>
        <w:rPr>
          <w:noProof/>
          <w:color w:val="000000" w:themeColor="text1"/>
        </w:rPr>
        <w:t xml:space="preserve"> </w:t>
      </w:r>
      <w:r>
        <w:rPr>
          <w:noProof/>
        </w:rPr>
        <w:t xml:space="preserve">To se planira postići mjerama povezanima s obnovom zgrada, suzbijanjem energetskog siromaštva i poboljšanjem zelenih vještina. Navedene mjere namijenjene su povećanju energetske učinkovitosti zgrada, smanjenju ovisnosti o fosilnim gorivima, suzbijanju energetskog siromaštva, povećanju energetske sigurnosti i podupiranju prekvalifikacije radne snage radi stjecanja zelenih vještina. </w:t>
      </w:r>
    </w:p>
    <w:p w14:paraId="7429590D" w14:textId="77777777" w:rsidR="00146C1C" w:rsidRPr="004931D3" w:rsidRDefault="00146C1C" w:rsidP="0001477B">
      <w:pPr>
        <w:pStyle w:val="paragraph"/>
        <w:spacing w:before="0" w:beforeAutospacing="0" w:after="0" w:afterAutospacing="0"/>
        <w:jc w:val="both"/>
        <w:textAlignment w:val="baseline"/>
        <w:rPr>
          <w:noProof/>
        </w:rPr>
      </w:pPr>
    </w:p>
    <w:p w14:paraId="5C3D845E" w14:textId="77777777" w:rsidR="000633BB" w:rsidRDefault="000633BB" w:rsidP="000633BB">
      <w:pPr>
        <w:pStyle w:val="paragraph"/>
        <w:spacing w:after="0"/>
        <w:jc w:val="both"/>
        <w:textAlignment w:val="baseline"/>
        <w:rPr>
          <w:noProof/>
        </w:rPr>
      </w:pPr>
      <w:r>
        <w:rPr>
          <w:noProof/>
        </w:rPr>
        <w:t>Od pet mjera u okviru ove komponente dvije imaju prekograničnu ili višedržavnu dimenziju, a to su ulaganja u energetsku obnovu zgrada i obnovu zgrada oštećenih u potresu s energetskom obnovom.</w:t>
      </w:r>
    </w:p>
    <w:p w14:paraId="74FBCA5C" w14:textId="3F0BFF90" w:rsidR="00F82D28" w:rsidRPr="004931D3" w:rsidRDefault="000633BB" w:rsidP="000633BB">
      <w:pPr>
        <w:pStyle w:val="paragraph"/>
        <w:spacing w:before="0" w:beforeAutospacing="0" w:after="0" w:afterAutospacing="0"/>
        <w:jc w:val="both"/>
        <w:textAlignment w:val="baseline"/>
        <w:rPr>
          <w:noProof/>
        </w:rPr>
      </w:pPr>
      <w:r>
        <w:rPr>
          <w:noProof/>
        </w:rPr>
        <w:t>Ulaganja i reforme doprinijet će ispunjenju preporuka upućenih Hrvatskoj o potrebi za smanjenjem potražnje za energijom poboljšanjem energetske učinkovitosti, osobito u stambenim zgradama (preporuka 3.3. iz 2019., preporuka 3.4. iz 2022. i preporuke 3.1. i 3.5 iz 2023.), potrebi za usmjeravanjem napora na pružanje i stjecanje vještina potrebnih za zelenu tranziciju (preporuka 3.7. iz 2023.) i za povećanjem uvođenja i korištenja energije iz obnovljivih izvora (preporuka 3.3. iz 2019., preporuka 3.8. iz 2020., preporuka 3.2. iz 2022., preprouke 3.1. i 3.2. iz 2023.).</w:t>
      </w:r>
    </w:p>
    <w:p w14:paraId="5E2D5C4A" w14:textId="77777777" w:rsidR="00146C1C" w:rsidRPr="004931D3" w:rsidRDefault="00146C1C" w:rsidP="0001477B">
      <w:pPr>
        <w:pStyle w:val="paragraph"/>
        <w:spacing w:before="0" w:beforeAutospacing="0" w:after="0" w:afterAutospacing="0"/>
        <w:jc w:val="both"/>
        <w:textAlignment w:val="baseline"/>
        <w:rPr>
          <w:noProof/>
          <w:color w:val="000000" w:themeColor="text1"/>
        </w:rPr>
      </w:pPr>
    </w:p>
    <w:p w14:paraId="0D3A65B7" w14:textId="7632E7F4" w:rsidR="00146C1C" w:rsidRPr="004931D3" w:rsidRDefault="00146C1C" w:rsidP="0001477B">
      <w:pPr>
        <w:pStyle w:val="paragraph"/>
        <w:spacing w:before="0" w:beforeAutospacing="0" w:after="0" w:afterAutospacing="0"/>
        <w:jc w:val="both"/>
        <w:textAlignment w:val="baseline"/>
        <w:rPr>
          <w:noProof/>
          <w:color w:val="000000" w:themeColor="text1"/>
        </w:rPr>
      </w:pPr>
      <w:r>
        <w:rPr>
          <w:noProof/>
          <w:color w:val="000000" w:themeColor="text1"/>
        </w:rPr>
        <w:t>Očekuje se da nijedna mjera u ovoj komponenti ne nanosi bitnu štetu okolišnim ciljevima u smislu članka 17. Uredbe (EU) 2020/852, uzimajući u obzir opis mjera i korake ublažavanja utvrđene u planu za oporavak i otpornost u skladu s Tehničkim smjernicama za primjenu načela nenanošenja bitne štete (C(2023) 6454 final).</w:t>
      </w:r>
    </w:p>
    <w:p w14:paraId="145CE75D" w14:textId="77777777" w:rsidR="00146C1C" w:rsidRPr="004931D3" w:rsidRDefault="00146C1C" w:rsidP="0001477B">
      <w:pPr>
        <w:pStyle w:val="paragraph"/>
        <w:spacing w:before="0" w:beforeAutospacing="0" w:after="0" w:afterAutospacing="0"/>
        <w:jc w:val="both"/>
        <w:textAlignment w:val="baseline"/>
        <w:rPr>
          <w:noProof/>
        </w:rPr>
      </w:pPr>
    </w:p>
    <w:p w14:paraId="4B249202" w14:textId="4B6AB14B" w:rsidR="00146C1C" w:rsidRPr="004931D3" w:rsidRDefault="009C2121" w:rsidP="00461010">
      <w:pPr>
        <w:pStyle w:val="paragraph"/>
        <w:spacing w:before="0" w:beforeAutospacing="0" w:after="0" w:afterAutospacing="0"/>
        <w:jc w:val="both"/>
        <w:textAlignment w:val="baseline"/>
        <w:rPr>
          <w:noProof/>
        </w:rPr>
      </w:pPr>
      <w:r>
        <w:rPr>
          <w:rStyle w:val="normaltextrun"/>
          <w:b/>
          <w:noProof/>
          <w:u w:val="single"/>
        </w:rPr>
        <w:t xml:space="preserve">X.1. </w:t>
      </w:r>
      <w:r>
        <w:rPr>
          <w:rStyle w:val="tabchar"/>
          <w:noProof/>
        </w:rPr>
        <w:tab/>
      </w:r>
      <w:r>
        <w:rPr>
          <w:rStyle w:val="normaltextrun"/>
          <w:b/>
          <w:noProof/>
          <w:u w:val="single"/>
        </w:rPr>
        <w:t>Opis reformi i ulaganja za programe bespovratne financijske potpore</w:t>
      </w:r>
      <w:r>
        <w:rPr>
          <w:rStyle w:val="eop"/>
          <w:noProof/>
        </w:rPr>
        <w:t> </w:t>
      </w:r>
    </w:p>
    <w:p w14:paraId="6729050C" w14:textId="77777777" w:rsidR="00146C1C" w:rsidRPr="004931D3" w:rsidRDefault="00146C1C" w:rsidP="0001477B">
      <w:pPr>
        <w:pStyle w:val="paragraph"/>
        <w:spacing w:before="0" w:beforeAutospacing="0" w:after="0" w:afterAutospacing="0"/>
        <w:jc w:val="both"/>
        <w:textAlignment w:val="baseline"/>
        <w:rPr>
          <w:rStyle w:val="normaltextrun"/>
          <w:noProof/>
        </w:rPr>
      </w:pPr>
    </w:p>
    <w:p w14:paraId="2BB378D9" w14:textId="0899E497" w:rsidR="00146C1C" w:rsidRDefault="00146C1C" w:rsidP="00146C1C">
      <w:pPr>
        <w:pStyle w:val="paragraph"/>
        <w:spacing w:before="0" w:beforeAutospacing="0" w:after="0" w:afterAutospacing="0"/>
        <w:ind w:left="720"/>
        <w:jc w:val="both"/>
        <w:rPr>
          <w:noProof/>
          <w:color w:val="000000" w:themeColor="text1"/>
          <w:u w:val="single"/>
        </w:rPr>
      </w:pPr>
      <w:r>
        <w:rPr>
          <w:noProof/>
          <w:u w:val="single"/>
          <w:shd w:val="clear" w:color="auto" w:fill="FFFFFF" w:themeFill="background1"/>
        </w:rPr>
        <w:t>Reforma C7.2. R1 – Proširena mjera:</w:t>
      </w:r>
      <w:r>
        <w:rPr>
          <w:noProof/>
          <w:color w:val="000000" w:themeColor="text1"/>
          <w:u w:val="single"/>
        </w:rPr>
        <w:t xml:space="preserve"> Povećanje učinkovitosti, smanjenje administrativnog opterećenja i digitalizacija procesa obnove</w:t>
      </w:r>
    </w:p>
    <w:p w14:paraId="1F2FEE5B" w14:textId="77777777" w:rsidR="00146C1C" w:rsidRPr="004931D3" w:rsidRDefault="00146C1C" w:rsidP="0001477B">
      <w:pPr>
        <w:pStyle w:val="paragraph"/>
        <w:spacing w:before="0" w:beforeAutospacing="0" w:after="0" w:afterAutospacing="0"/>
        <w:jc w:val="both"/>
        <w:textAlignment w:val="baseline"/>
        <w:rPr>
          <w:rStyle w:val="eop"/>
          <w:noProof/>
        </w:rPr>
      </w:pPr>
    </w:p>
    <w:p w14:paraId="0CD7E484" w14:textId="26FA0ECF" w:rsidR="00146C1C" w:rsidRDefault="00146C1C" w:rsidP="0001477B">
      <w:pPr>
        <w:pStyle w:val="paragraph"/>
        <w:spacing w:before="0" w:beforeAutospacing="0" w:after="0" w:afterAutospacing="0"/>
        <w:jc w:val="both"/>
        <w:rPr>
          <w:noProof/>
          <w:color w:val="000000" w:themeColor="text1"/>
        </w:rPr>
      </w:pPr>
      <w:r>
        <w:rPr>
          <w:noProof/>
          <w:color w:val="000000" w:themeColor="text1"/>
        </w:rPr>
        <w:t xml:space="preserve">Cilj je mjere proširenje reforme C6.1. R3: Povećanje učinkovitosti, smanjenje administrativnog opterećenja i digitalizacija procesa obnove u okviru inicijative 6.1.: Obnova zgrada. Prošireni dio mjere obuhvaćat će: </w:t>
      </w:r>
    </w:p>
    <w:p w14:paraId="51664C0E" w14:textId="189B379B" w:rsidR="00146C1C" w:rsidRDefault="00146C1C" w:rsidP="00146C1C">
      <w:pPr>
        <w:pStyle w:val="paragraph"/>
        <w:numPr>
          <w:ilvl w:val="0"/>
          <w:numId w:val="9"/>
        </w:numPr>
        <w:spacing w:before="0" w:beforeAutospacing="0" w:after="0" w:afterAutospacing="0"/>
        <w:jc w:val="both"/>
        <w:rPr>
          <w:noProof/>
          <w:color w:val="000000" w:themeColor="text1"/>
        </w:rPr>
      </w:pPr>
      <w:r>
        <w:rPr>
          <w:noProof/>
          <w:color w:val="000000" w:themeColor="text1"/>
        </w:rPr>
        <w:t xml:space="preserve">provođenje najmanje šest participativnih radionica za razvoj projekata energetske obnove, zelene infrastrukture i zelene gradnje u nekoliko jedinica lokalne samouprave, </w:t>
      </w:r>
    </w:p>
    <w:p w14:paraId="5C80A673" w14:textId="06F84E74" w:rsidR="00146C1C" w:rsidRDefault="00146C1C" w:rsidP="00146C1C">
      <w:pPr>
        <w:pStyle w:val="paragraph"/>
        <w:numPr>
          <w:ilvl w:val="0"/>
          <w:numId w:val="9"/>
        </w:numPr>
        <w:spacing w:before="0" w:beforeAutospacing="0" w:after="0" w:afterAutospacing="0"/>
        <w:jc w:val="both"/>
        <w:rPr>
          <w:noProof/>
          <w:color w:val="000000" w:themeColor="text1"/>
        </w:rPr>
      </w:pPr>
      <w:r>
        <w:rPr>
          <w:noProof/>
          <w:color w:val="000000" w:themeColor="text1"/>
        </w:rPr>
        <w:t xml:space="preserve">izradu programa i vodiča za provođenje participativnih radionica za predstavnike jedinica lokalne samouprave, </w:t>
      </w:r>
    </w:p>
    <w:p w14:paraId="667A9F9F" w14:textId="39AF324B" w:rsidR="00146C1C" w:rsidRDefault="00146C1C" w:rsidP="00252248">
      <w:pPr>
        <w:pStyle w:val="paragraph"/>
        <w:numPr>
          <w:ilvl w:val="0"/>
          <w:numId w:val="9"/>
        </w:numPr>
        <w:spacing w:before="0" w:beforeAutospacing="0" w:after="240" w:afterAutospacing="0"/>
        <w:jc w:val="both"/>
        <w:rPr>
          <w:noProof/>
          <w:color w:val="000000" w:themeColor="text1"/>
        </w:rPr>
      </w:pPr>
      <w:r>
        <w:rPr>
          <w:noProof/>
          <w:color w:val="000000" w:themeColor="text1"/>
        </w:rPr>
        <w:t>osmišljavanje i objavu edukativnih materijala o energetskoj obnovi, zelenoj infrastrukturi i zelenoj gradnji u svrhu informiranja javnosti. Ti materijali i zaključci provedenih radionica stavit će se na raspolaganje javnosti barem na portalu „one-stop-shop” usluge.</w:t>
      </w:r>
    </w:p>
    <w:p w14:paraId="094A8DE7" w14:textId="3906F635" w:rsidR="00146C1C" w:rsidRDefault="00146C1C" w:rsidP="0001477B">
      <w:pPr>
        <w:pStyle w:val="paragraph"/>
        <w:spacing w:before="0" w:beforeAutospacing="0" w:after="0" w:afterAutospacing="0"/>
        <w:jc w:val="both"/>
        <w:rPr>
          <w:noProof/>
          <w:color w:val="000000" w:themeColor="text1"/>
        </w:rPr>
      </w:pPr>
      <w:r>
        <w:rPr>
          <w:noProof/>
          <w:color w:val="000000" w:themeColor="text1"/>
        </w:rPr>
        <w:t>Provedba mjere bit će dovršena do 30. rujna 2025.</w:t>
      </w:r>
    </w:p>
    <w:p w14:paraId="0C32830E" w14:textId="77777777" w:rsidR="00146C1C" w:rsidRPr="004931D3" w:rsidRDefault="00146C1C" w:rsidP="0001477B">
      <w:pPr>
        <w:pStyle w:val="paragraph"/>
        <w:spacing w:before="0" w:beforeAutospacing="0" w:after="0" w:afterAutospacing="0"/>
        <w:jc w:val="both"/>
        <w:textAlignment w:val="baseline"/>
        <w:rPr>
          <w:rStyle w:val="eop"/>
          <w:bCs/>
          <w:noProof/>
        </w:rPr>
      </w:pPr>
    </w:p>
    <w:p w14:paraId="08DA630A" w14:textId="3D9F0E04" w:rsidR="00146C1C" w:rsidRDefault="00146C1C" w:rsidP="00146C1C">
      <w:pPr>
        <w:pStyle w:val="paragraph"/>
        <w:spacing w:before="0" w:beforeAutospacing="0" w:after="0" w:afterAutospacing="0"/>
        <w:ind w:left="720"/>
        <w:jc w:val="both"/>
        <w:rPr>
          <w:noProof/>
          <w:color w:val="000000" w:themeColor="text1"/>
          <w:u w:val="single"/>
        </w:rPr>
      </w:pPr>
      <w:r>
        <w:rPr>
          <w:noProof/>
          <w:color w:val="000000" w:themeColor="text1"/>
          <w:u w:val="single"/>
        </w:rPr>
        <w:t>Reforma C7.2. R2 – Proširena mjera: Uvođenje novog modela strategija zelene urbane obnove i provedba pilot-projekta razvoja zelene infrastrukture i kružnog gospodarenja prostorom i zgradama</w:t>
      </w:r>
    </w:p>
    <w:p w14:paraId="3D163DE4" w14:textId="77777777" w:rsidR="00146C1C" w:rsidRDefault="00146C1C" w:rsidP="0001477B">
      <w:pPr>
        <w:pStyle w:val="paragraph"/>
        <w:spacing w:before="0" w:beforeAutospacing="0" w:after="0" w:afterAutospacing="0"/>
        <w:jc w:val="both"/>
        <w:rPr>
          <w:noProof/>
          <w:color w:val="000000" w:themeColor="text1"/>
          <w:u w:val="single"/>
        </w:rPr>
      </w:pPr>
    </w:p>
    <w:p w14:paraId="58D37BFE" w14:textId="3934CC92" w:rsidR="00146C1C" w:rsidRDefault="00146C1C" w:rsidP="00252248">
      <w:pPr>
        <w:pStyle w:val="paragraph"/>
        <w:spacing w:before="0" w:beforeAutospacing="0" w:after="240" w:afterAutospacing="0"/>
        <w:jc w:val="both"/>
        <w:rPr>
          <w:noProof/>
          <w:color w:val="000000" w:themeColor="text1"/>
        </w:rPr>
      </w:pPr>
      <w:r>
        <w:rPr>
          <w:noProof/>
          <w:color w:val="000000" w:themeColor="text1"/>
        </w:rPr>
        <w:t>Cilj je mjere proširenje reforme C6.1. R5: Uvođenje novog modela strategija zelene urbane obnove i provedba pilot-projekta razvoja zelene infrastrukture i kružnog gospodarenja prostorom i zgradama u okviru inicijative 6.1.: Obnova zgrada. Prošireni dio mjere sastojat će se od izrade i donošenja dodatnih strategija zelene urbane obnove i provedbe dodatnih pilot-projekata razvoja zelene infrastrukture i kružnog gospodarenja prostorom i zgradama.</w:t>
      </w:r>
    </w:p>
    <w:p w14:paraId="4448A3AD" w14:textId="77777777" w:rsidR="00146C1C" w:rsidRDefault="00146C1C" w:rsidP="0001477B">
      <w:pPr>
        <w:pStyle w:val="paragraph"/>
        <w:spacing w:before="0" w:beforeAutospacing="0" w:after="0" w:afterAutospacing="0"/>
        <w:jc w:val="both"/>
        <w:rPr>
          <w:noProof/>
          <w:color w:val="000000" w:themeColor="text1"/>
        </w:rPr>
      </w:pPr>
      <w:r>
        <w:rPr>
          <w:noProof/>
          <w:color w:val="000000" w:themeColor="text1"/>
        </w:rPr>
        <w:t>Provedba mjere bit će dovršena do 30. lipnja 2026.</w:t>
      </w:r>
    </w:p>
    <w:p w14:paraId="31BC0CF9" w14:textId="77777777" w:rsidR="00146C1C" w:rsidRPr="004931D3" w:rsidRDefault="00146C1C" w:rsidP="0001477B">
      <w:pPr>
        <w:pStyle w:val="paragraph"/>
        <w:spacing w:before="0" w:beforeAutospacing="0" w:after="0" w:afterAutospacing="0"/>
        <w:jc w:val="both"/>
        <w:textAlignment w:val="baseline"/>
        <w:rPr>
          <w:rStyle w:val="eop"/>
          <w:noProof/>
        </w:rPr>
      </w:pPr>
    </w:p>
    <w:p w14:paraId="164A803B" w14:textId="77777777" w:rsidR="00146C1C" w:rsidRPr="004931D3" w:rsidRDefault="00146C1C" w:rsidP="0001477B">
      <w:pPr>
        <w:pStyle w:val="paragraph"/>
        <w:spacing w:before="0" w:beforeAutospacing="0" w:after="0" w:afterAutospacing="0"/>
        <w:jc w:val="both"/>
        <w:textAlignment w:val="baseline"/>
        <w:rPr>
          <w:rFonts w:ascii="Segoe UI" w:hAnsi="Segoe UI" w:cs="Segoe UI"/>
          <w:noProof/>
          <w:sz w:val="18"/>
          <w:szCs w:val="18"/>
        </w:rPr>
      </w:pPr>
    </w:p>
    <w:p w14:paraId="43260DC2" w14:textId="77777777" w:rsidR="00146C1C" w:rsidRPr="004931D3" w:rsidRDefault="00146C1C" w:rsidP="0001477B">
      <w:pPr>
        <w:pStyle w:val="paragraph"/>
        <w:spacing w:before="0" w:beforeAutospacing="0" w:after="0" w:afterAutospacing="0"/>
        <w:jc w:val="both"/>
        <w:textAlignment w:val="baseline"/>
        <w:rPr>
          <w:rStyle w:val="normaltextrun"/>
          <w:b/>
          <w:bCs/>
          <w:noProof/>
          <w:highlight w:val="yellow"/>
          <w:u w:val="single"/>
        </w:rPr>
        <w:sectPr w:rsidR="00146C1C" w:rsidRPr="004931D3">
          <w:headerReference w:type="even" r:id="rId426"/>
          <w:headerReference w:type="default" r:id="rId427"/>
          <w:footerReference w:type="even" r:id="rId428"/>
          <w:footerReference w:type="default" r:id="rId429"/>
          <w:headerReference w:type="first" r:id="rId430"/>
          <w:footerReference w:type="first" r:id="rId431"/>
          <w:pgSz w:w="12240" w:h="15840"/>
          <w:pgMar w:top="1440" w:right="1440" w:bottom="1440" w:left="1440" w:header="708" w:footer="708" w:gutter="0"/>
          <w:cols w:space="708"/>
          <w:docGrid w:linePitch="360"/>
        </w:sectPr>
      </w:pPr>
    </w:p>
    <w:p w14:paraId="25EA9967" w14:textId="13B48EC0" w:rsidR="00146C1C" w:rsidRPr="004931D3" w:rsidRDefault="009C2121" w:rsidP="0001477B">
      <w:pPr>
        <w:pStyle w:val="paragraph"/>
        <w:spacing w:before="0" w:beforeAutospacing="0" w:after="0" w:afterAutospacing="0"/>
        <w:jc w:val="both"/>
        <w:textAlignment w:val="baseline"/>
        <w:rPr>
          <w:rFonts w:ascii="Segoe UI" w:hAnsi="Segoe UI" w:cs="Segoe UI"/>
          <w:noProof/>
          <w:sz w:val="18"/>
          <w:szCs w:val="18"/>
        </w:rPr>
      </w:pPr>
      <w:r>
        <w:rPr>
          <w:rStyle w:val="normaltextrun"/>
          <w:b/>
          <w:noProof/>
          <w:u w:val="single"/>
        </w:rPr>
        <w:t xml:space="preserve">X.2. </w:t>
      </w:r>
      <w:r>
        <w:rPr>
          <w:rStyle w:val="tabchar"/>
          <w:rFonts w:ascii="Calibri" w:hAnsi="Calibri"/>
          <w:noProof/>
        </w:rPr>
        <w:tab/>
      </w:r>
      <w:r>
        <w:rPr>
          <w:rStyle w:val="normaltextrun"/>
          <w:b/>
          <w:noProof/>
          <w:u w:val="single"/>
        </w:rPr>
        <w:t>Ključne etape, ciljne vrijednosti, pokazatelji i vremenski raspored za praćenje i provedbu programa bespovratne financijske potpore</w:t>
      </w:r>
      <w:r>
        <w:rPr>
          <w:rStyle w:val="eop"/>
          <w:noProof/>
        </w:rPr>
        <w:t> </w:t>
      </w:r>
    </w:p>
    <w:p w14:paraId="45D061DB" w14:textId="77777777" w:rsidR="00146C1C" w:rsidRPr="004931D3" w:rsidRDefault="00146C1C" w:rsidP="0001477B">
      <w:pPr>
        <w:pStyle w:val="paragraph"/>
        <w:spacing w:before="0" w:beforeAutospacing="0" w:after="0" w:afterAutospacing="0"/>
        <w:jc w:val="both"/>
        <w:textAlignment w:val="baseline"/>
        <w:rPr>
          <w:rFonts w:ascii="Segoe UI" w:hAnsi="Segoe UI" w:cs="Segoe UI"/>
          <w:noProof/>
          <w:sz w:val="18"/>
          <w:szCs w:val="18"/>
        </w:rPr>
      </w:pPr>
    </w:p>
    <w:tbl>
      <w:tblPr>
        <w:tblW w:w="14866" w:type="dxa"/>
        <w:jc w:val="center"/>
        <w:tblCellMar>
          <w:top w:w="28" w:type="dxa"/>
          <w:left w:w="28" w:type="dxa"/>
          <w:bottom w:w="28" w:type="dxa"/>
          <w:right w:w="28" w:type="dxa"/>
        </w:tblCellMar>
        <w:tblLook w:val="04A0" w:firstRow="1" w:lastRow="0" w:firstColumn="1" w:lastColumn="0" w:noHBand="0" w:noVBand="1"/>
      </w:tblPr>
      <w:tblGrid>
        <w:gridCol w:w="732"/>
        <w:gridCol w:w="1130"/>
        <w:gridCol w:w="871"/>
        <w:gridCol w:w="2541"/>
        <w:gridCol w:w="1717"/>
        <w:gridCol w:w="944"/>
        <w:gridCol w:w="851"/>
        <w:gridCol w:w="850"/>
        <w:gridCol w:w="426"/>
        <w:gridCol w:w="662"/>
        <w:gridCol w:w="4157"/>
      </w:tblGrid>
      <w:tr w:rsidR="00146C1C" w:rsidRPr="004931D3" w14:paraId="037A660D" w14:textId="77777777" w:rsidTr="00252248">
        <w:trPr>
          <w:tblHeader/>
          <w:jc w:val="center"/>
        </w:trPr>
        <w:tc>
          <w:tcPr>
            <w:tcW w:w="7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46EDF1"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231928"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8EEDF"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40A49A"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F75546"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Calibri" w:hAnsi="Calibri"/>
                <w:noProof/>
              </w:rPr>
              <w:br/>
            </w:r>
            <w:r>
              <w:rPr>
                <w:rFonts w:ascii="Times New Roman" w:hAnsi="Times New Roman"/>
                <w:b/>
                <w:noProof/>
                <w:sz w:val="18"/>
              </w:rPr>
              <w:t>(za ključne etape)</w:t>
            </w:r>
          </w:p>
        </w:tc>
        <w:tc>
          <w:tcPr>
            <w:tcW w:w="2645"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88F5A83"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Calibri" w:hAnsi="Calibri"/>
                <w:noProof/>
              </w:rPr>
              <w:br/>
            </w:r>
            <w:r>
              <w:rPr>
                <w:rFonts w:ascii="Times New Roman" w:hAnsi="Times New Roman"/>
                <w:b/>
                <w:noProof/>
                <w:sz w:val="18"/>
              </w:rPr>
              <w:t>(za ciljne vrijednosti)</w:t>
            </w:r>
          </w:p>
        </w:tc>
        <w:tc>
          <w:tcPr>
            <w:tcW w:w="1088" w:type="dxa"/>
            <w:gridSpan w:val="2"/>
            <w:tcBorders>
              <w:top w:val="single" w:sz="4" w:space="0" w:color="auto"/>
              <w:left w:val="nil"/>
              <w:bottom w:val="single" w:sz="4" w:space="0" w:color="auto"/>
              <w:right w:val="single" w:sz="4" w:space="0" w:color="auto"/>
            </w:tcBorders>
            <w:shd w:val="clear" w:color="auto" w:fill="BDD7EE"/>
            <w:hideMark/>
          </w:tcPr>
          <w:p w14:paraId="5E903CA3"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41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732C61"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146C1C" w:rsidRPr="004931D3" w14:paraId="5C1FA37A" w14:textId="77777777" w:rsidTr="00252248">
        <w:trPr>
          <w:tblHeader/>
          <w:jc w:val="center"/>
        </w:trPr>
        <w:tc>
          <w:tcPr>
            <w:tcW w:w="732" w:type="dxa"/>
            <w:vMerge/>
            <w:tcBorders>
              <w:top w:val="single" w:sz="4" w:space="0" w:color="auto"/>
              <w:left w:val="single" w:sz="4" w:space="0" w:color="auto"/>
              <w:bottom w:val="single" w:sz="4" w:space="0" w:color="auto"/>
              <w:right w:val="single" w:sz="4" w:space="0" w:color="auto"/>
            </w:tcBorders>
            <w:hideMark/>
          </w:tcPr>
          <w:p w14:paraId="09A9A7EA"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1130" w:type="dxa"/>
            <w:vMerge/>
            <w:tcBorders>
              <w:top w:val="single" w:sz="4" w:space="0" w:color="auto"/>
              <w:left w:val="single" w:sz="4" w:space="0" w:color="auto"/>
              <w:bottom w:val="single" w:sz="4" w:space="0" w:color="auto"/>
              <w:right w:val="single" w:sz="4" w:space="0" w:color="auto"/>
            </w:tcBorders>
            <w:hideMark/>
          </w:tcPr>
          <w:p w14:paraId="4C9B6F68"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856" w:type="dxa"/>
            <w:vMerge/>
            <w:tcBorders>
              <w:top w:val="single" w:sz="4" w:space="0" w:color="auto"/>
              <w:left w:val="single" w:sz="4" w:space="0" w:color="auto"/>
              <w:bottom w:val="single" w:sz="4" w:space="0" w:color="auto"/>
              <w:right w:val="single" w:sz="4" w:space="0" w:color="auto"/>
            </w:tcBorders>
            <w:hideMark/>
          </w:tcPr>
          <w:p w14:paraId="020DD9DA"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2541" w:type="dxa"/>
            <w:vMerge/>
            <w:tcBorders>
              <w:top w:val="single" w:sz="4" w:space="0" w:color="auto"/>
              <w:left w:val="single" w:sz="4" w:space="0" w:color="auto"/>
              <w:bottom w:val="single" w:sz="4" w:space="0" w:color="auto"/>
              <w:right w:val="single" w:sz="4" w:space="0" w:color="auto"/>
            </w:tcBorders>
            <w:hideMark/>
          </w:tcPr>
          <w:p w14:paraId="686B3757"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14:paraId="7436F8D2"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944" w:type="dxa"/>
            <w:tcBorders>
              <w:top w:val="nil"/>
              <w:left w:val="single" w:sz="4" w:space="0" w:color="auto"/>
              <w:bottom w:val="single" w:sz="4" w:space="0" w:color="auto"/>
              <w:right w:val="single" w:sz="4" w:space="0" w:color="auto"/>
            </w:tcBorders>
            <w:shd w:val="clear" w:color="auto" w:fill="BDD7EE"/>
            <w:hideMark/>
          </w:tcPr>
          <w:p w14:paraId="7BF47690"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51" w:type="dxa"/>
            <w:tcBorders>
              <w:top w:val="nil"/>
              <w:left w:val="nil"/>
              <w:bottom w:val="single" w:sz="4" w:space="0" w:color="auto"/>
              <w:right w:val="single" w:sz="4" w:space="0" w:color="auto"/>
            </w:tcBorders>
            <w:shd w:val="clear" w:color="auto" w:fill="BDD7EE"/>
            <w:hideMark/>
          </w:tcPr>
          <w:p w14:paraId="6C757044"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50" w:type="dxa"/>
            <w:tcBorders>
              <w:top w:val="nil"/>
              <w:left w:val="nil"/>
              <w:bottom w:val="single" w:sz="4" w:space="0" w:color="auto"/>
              <w:right w:val="single" w:sz="4" w:space="0" w:color="auto"/>
            </w:tcBorders>
            <w:shd w:val="clear" w:color="auto" w:fill="BDD7EE"/>
            <w:hideMark/>
          </w:tcPr>
          <w:p w14:paraId="7060C794"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426" w:type="dxa"/>
            <w:tcBorders>
              <w:top w:val="nil"/>
              <w:left w:val="nil"/>
              <w:bottom w:val="single" w:sz="4" w:space="0" w:color="auto"/>
              <w:right w:val="single" w:sz="4" w:space="0" w:color="auto"/>
            </w:tcBorders>
            <w:shd w:val="clear" w:color="auto" w:fill="BDD7EE"/>
            <w:hideMark/>
          </w:tcPr>
          <w:p w14:paraId="4BD561BD"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662" w:type="dxa"/>
            <w:tcBorders>
              <w:top w:val="nil"/>
              <w:left w:val="nil"/>
              <w:bottom w:val="single" w:sz="4" w:space="0" w:color="auto"/>
              <w:right w:val="single" w:sz="4" w:space="0" w:color="auto"/>
            </w:tcBorders>
            <w:shd w:val="clear" w:color="auto" w:fill="BDD7EE"/>
            <w:hideMark/>
          </w:tcPr>
          <w:p w14:paraId="54137BEE"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4157" w:type="dxa"/>
            <w:vMerge/>
            <w:tcBorders>
              <w:bottom w:val="single" w:sz="4" w:space="0" w:color="auto"/>
              <w:right w:val="single" w:sz="4" w:space="0" w:color="auto"/>
            </w:tcBorders>
            <w:hideMark/>
          </w:tcPr>
          <w:p w14:paraId="0A86455C" w14:textId="77777777" w:rsidR="00146C1C" w:rsidRPr="004931D3" w:rsidRDefault="00146C1C" w:rsidP="0001477B">
            <w:pPr>
              <w:spacing w:after="0" w:line="276" w:lineRule="auto"/>
              <w:rPr>
                <w:rFonts w:ascii="Times New Roman" w:eastAsia="Times New Roman" w:hAnsi="Times New Roman" w:cs="Times New Roman"/>
                <w:b/>
                <w:noProof/>
                <w:lang w:val="en-IE" w:eastAsia="en-GB"/>
              </w:rPr>
            </w:pPr>
          </w:p>
        </w:tc>
      </w:tr>
      <w:tr w:rsidR="00146C1C" w:rsidRPr="004931D3" w14:paraId="5EFE4157" w14:textId="77777777" w:rsidTr="00252248">
        <w:trPr>
          <w:jc w:val="center"/>
        </w:trPr>
        <w:tc>
          <w:tcPr>
            <w:tcW w:w="732" w:type="dxa"/>
            <w:tcBorders>
              <w:top w:val="single" w:sz="4" w:space="0" w:color="auto"/>
              <w:left w:val="single" w:sz="4" w:space="0" w:color="auto"/>
              <w:bottom w:val="single" w:sz="4" w:space="0" w:color="auto"/>
              <w:right w:val="single" w:sz="4" w:space="0" w:color="auto"/>
            </w:tcBorders>
            <w:shd w:val="clear" w:color="auto" w:fill="C6EFCE"/>
            <w:noWrap/>
          </w:tcPr>
          <w:p w14:paraId="44CF5CFB" w14:textId="5958BA9F" w:rsidR="00146C1C" w:rsidRPr="00533EE6" w:rsidRDefault="00D85183" w:rsidP="0001477B">
            <w:pPr>
              <w:spacing w:after="0" w:line="276" w:lineRule="auto"/>
              <w:jc w:val="center"/>
              <w:rPr>
                <w:noProof/>
                <w:sz w:val="20"/>
                <w:szCs w:val="20"/>
              </w:rPr>
            </w:pPr>
            <w:r>
              <w:rPr>
                <w:noProof/>
                <w:sz w:val="20"/>
              </w:rPr>
              <w:t>429</w:t>
            </w:r>
          </w:p>
          <w:p w14:paraId="622EE4F8" w14:textId="77777777" w:rsidR="00146C1C" w:rsidRPr="00533EE6" w:rsidRDefault="00146C1C" w:rsidP="0001477B">
            <w:pPr>
              <w:spacing w:after="0" w:line="276" w:lineRule="auto"/>
              <w:jc w:val="center"/>
              <w:rPr>
                <w:noProof/>
                <w:sz w:val="20"/>
                <w:szCs w:val="20"/>
                <w:lang w:val="en-IE"/>
              </w:rPr>
            </w:pPr>
          </w:p>
        </w:tc>
        <w:tc>
          <w:tcPr>
            <w:tcW w:w="1130" w:type="dxa"/>
            <w:tcBorders>
              <w:top w:val="single" w:sz="4" w:space="0" w:color="auto"/>
              <w:left w:val="nil"/>
              <w:bottom w:val="single" w:sz="4" w:space="0" w:color="auto"/>
              <w:right w:val="single" w:sz="4" w:space="0" w:color="auto"/>
            </w:tcBorders>
            <w:shd w:val="clear" w:color="auto" w:fill="C6EFCE"/>
            <w:noWrap/>
          </w:tcPr>
          <w:p w14:paraId="3C12EB7D" w14:textId="2DBF5A9C" w:rsidR="00146C1C" w:rsidRPr="00533EE6" w:rsidRDefault="00146C1C" w:rsidP="0001477B">
            <w:pPr>
              <w:spacing w:after="200" w:line="276" w:lineRule="auto"/>
              <w:jc w:val="center"/>
              <w:rPr>
                <w:noProof/>
                <w:color w:val="000000" w:themeColor="text1"/>
                <w:sz w:val="20"/>
                <w:szCs w:val="20"/>
              </w:rPr>
            </w:pPr>
            <w:r>
              <w:rPr>
                <w:noProof/>
                <w:color w:val="000000" w:themeColor="text1"/>
                <w:sz w:val="20"/>
              </w:rPr>
              <w:t>C7.2. R1</w:t>
            </w:r>
          </w:p>
        </w:tc>
        <w:tc>
          <w:tcPr>
            <w:tcW w:w="856" w:type="dxa"/>
            <w:tcBorders>
              <w:top w:val="single" w:sz="4" w:space="0" w:color="auto"/>
              <w:left w:val="nil"/>
              <w:bottom w:val="single" w:sz="4" w:space="0" w:color="auto"/>
              <w:right w:val="single" w:sz="4" w:space="0" w:color="auto"/>
            </w:tcBorders>
            <w:shd w:val="clear" w:color="auto" w:fill="C6EFCE"/>
            <w:noWrap/>
          </w:tcPr>
          <w:p w14:paraId="3CE0FBBE" w14:textId="77777777" w:rsidR="00146C1C" w:rsidRPr="004A21CA" w:rsidRDefault="00146C1C" w:rsidP="0001477B">
            <w:pPr>
              <w:spacing w:after="200" w:line="276" w:lineRule="auto"/>
              <w:jc w:val="center"/>
              <w:rPr>
                <w:rFonts w:eastAsia="Calibri" w:cstheme="minorHAnsi"/>
                <w:noProof/>
                <w:sz w:val="20"/>
                <w:szCs w:val="20"/>
                <w:highlight w:val="yellow"/>
              </w:rPr>
            </w:pPr>
            <w:r>
              <w:rPr>
                <w:noProof/>
                <w:sz w:val="20"/>
              </w:rPr>
              <w:t>Ciljna vrijednost</w:t>
            </w:r>
          </w:p>
        </w:tc>
        <w:tc>
          <w:tcPr>
            <w:tcW w:w="2541" w:type="dxa"/>
            <w:tcBorders>
              <w:top w:val="single" w:sz="4" w:space="0" w:color="auto"/>
              <w:left w:val="nil"/>
              <w:bottom w:val="single" w:sz="4" w:space="0" w:color="auto"/>
              <w:right w:val="single" w:sz="4" w:space="0" w:color="auto"/>
            </w:tcBorders>
            <w:shd w:val="clear" w:color="auto" w:fill="C6EFCE"/>
            <w:noWrap/>
          </w:tcPr>
          <w:p w14:paraId="1E267FFE" w14:textId="68FB769F" w:rsidR="00146C1C" w:rsidRPr="004A21CA" w:rsidRDefault="00146C1C" w:rsidP="0001477B">
            <w:pPr>
              <w:spacing w:after="200" w:line="276" w:lineRule="auto"/>
              <w:rPr>
                <w:rFonts w:eastAsia="Times New Roman"/>
                <w:noProof/>
                <w:sz w:val="20"/>
                <w:szCs w:val="20"/>
              </w:rPr>
            </w:pPr>
            <w:r>
              <w:rPr>
                <w:noProof/>
                <w:sz w:val="20"/>
              </w:rPr>
              <w:t xml:space="preserve">Provedene participativne radionice za razvoj projekata energetske obnove, zelene infrastrukture i zelene gradnje </w:t>
            </w:r>
          </w:p>
        </w:tc>
        <w:tc>
          <w:tcPr>
            <w:tcW w:w="1717" w:type="dxa"/>
            <w:tcBorders>
              <w:top w:val="single" w:sz="4" w:space="0" w:color="auto"/>
              <w:left w:val="nil"/>
              <w:bottom w:val="single" w:sz="4" w:space="0" w:color="auto"/>
              <w:right w:val="single" w:sz="4" w:space="0" w:color="auto"/>
            </w:tcBorders>
            <w:shd w:val="clear" w:color="auto" w:fill="C6EFCE"/>
            <w:noWrap/>
          </w:tcPr>
          <w:p w14:paraId="4608F031" w14:textId="77777777" w:rsidR="00146C1C" w:rsidRPr="004A21CA" w:rsidRDefault="00146C1C" w:rsidP="0001477B">
            <w:pPr>
              <w:spacing w:after="200" w:line="276" w:lineRule="auto"/>
              <w:rPr>
                <w:rFonts w:eastAsia="Calibri" w:cstheme="minorHAnsi"/>
                <w:noProof/>
                <w:sz w:val="20"/>
                <w:szCs w:val="20"/>
                <w:lang w:val="en-IE"/>
              </w:rPr>
            </w:pPr>
          </w:p>
        </w:tc>
        <w:tc>
          <w:tcPr>
            <w:tcW w:w="944" w:type="dxa"/>
            <w:tcBorders>
              <w:top w:val="single" w:sz="4" w:space="0" w:color="auto"/>
              <w:left w:val="nil"/>
              <w:bottom w:val="single" w:sz="4" w:space="0" w:color="auto"/>
              <w:right w:val="single" w:sz="4" w:space="0" w:color="auto"/>
            </w:tcBorders>
            <w:shd w:val="clear" w:color="auto" w:fill="C6EFCE"/>
            <w:noWrap/>
          </w:tcPr>
          <w:p w14:paraId="5FF35520" w14:textId="77777777" w:rsidR="00146C1C" w:rsidRPr="004A21CA" w:rsidRDefault="00146C1C" w:rsidP="0001477B">
            <w:pPr>
              <w:spacing w:after="200" w:line="276" w:lineRule="auto"/>
              <w:jc w:val="center"/>
              <w:rPr>
                <w:rFonts w:eastAsia="Calibri" w:cstheme="minorHAnsi"/>
                <w:noProof/>
                <w:sz w:val="20"/>
                <w:szCs w:val="20"/>
              </w:rPr>
            </w:pPr>
            <w:r>
              <w:rPr>
                <w:noProof/>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151597DA" w14:textId="77777777" w:rsidR="00146C1C" w:rsidRPr="004A21CA" w:rsidRDefault="00146C1C" w:rsidP="0001477B">
            <w:pPr>
              <w:spacing w:after="200" w:line="276" w:lineRule="auto"/>
              <w:jc w:val="center"/>
              <w:rPr>
                <w:rFonts w:eastAsia="Calibri" w:cstheme="minorHAnsi"/>
                <w:noProof/>
                <w:sz w:val="20"/>
                <w:szCs w:val="20"/>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786F36E5" w14:textId="77777777" w:rsidR="00146C1C" w:rsidRPr="004A21CA" w:rsidRDefault="00146C1C" w:rsidP="0001477B">
            <w:pPr>
              <w:spacing w:after="200" w:line="276" w:lineRule="auto"/>
              <w:jc w:val="center"/>
              <w:rPr>
                <w:rFonts w:eastAsia="Calibri" w:cstheme="minorHAnsi"/>
                <w:noProof/>
                <w:sz w:val="20"/>
                <w:szCs w:val="20"/>
              </w:rPr>
            </w:pPr>
            <w:r>
              <w:rPr>
                <w:noProof/>
                <w:sz w:val="20"/>
              </w:rPr>
              <w:t>6</w:t>
            </w:r>
          </w:p>
        </w:tc>
        <w:tc>
          <w:tcPr>
            <w:tcW w:w="426" w:type="dxa"/>
            <w:tcBorders>
              <w:top w:val="single" w:sz="4" w:space="0" w:color="auto"/>
              <w:left w:val="nil"/>
              <w:bottom w:val="single" w:sz="4" w:space="0" w:color="auto"/>
              <w:right w:val="single" w:sz="4" w:space="0" w:color="auto"/>
            </w:tcBorders>
            <w:shd w:val="clear" w:color="auto" w:fill="C6EFCE"/>
            <w:noWrap/>
          </w:tcPr>
          <w:p w14:paraId="5D99F1F1" w14:textId="77777777" w:rsidR="00146C1C" w:rsidRPr="004A21CA" w:rsidRDefault="00146C1C" w:rsidP="0001477B">
            <w:pPr>
              <w:spacing w:after="200" w:line="276" w:lineRule="auto"/>
              <w:jc w:val="center"/>
              <w:rPr>
                <w:rFonts w:eastAsia="Calibri" w:cstheme="minorHAnsi"/>
                <w:noProof/>
                <w:color w:val="000000"/>
                <w:sz w:val="20"/>
                <w:szCs w:val="20"/>
              </w:rPr>
            </w:pPr>
            <w:r>
              <w:rPr>
                <w:noProof/>
                <w:color w:val="000000"/>
                <w:sz w:val="20"/>
              </w:rPr>
              <w:t>3.</w:t>
            </w:r>
          </w:p>
        </w:tc>
        <w:tc>
          <w:tcPr>
            <w:tcW w:w="662" w:type="dxa"/>
            <w:tcBorders>
              <w:top w:val="single" w:sz="4" w:space="0" w:color="auto"/>
              <w:left w:val="nil"/>
              <w:bottom w:val="single" w:sz="4" w:space="0" w:color="auto"/>
              <w:right w:val="single" w:sz="4" w:space="0" w:color="auto"/>
            </w:tcBorders>
            <w:shd w:val="clear" w:color="auto" w:fill="C6EFCE"/>
            <w:noWrap/>
          </w:tcPr>
          <w:p w14:paraId="75E3830A" w14:textId="77777777" w:rsidR="00146C1C" w:rsidRPr="004A21CA" w:rsidRDefault="00146C1C" w:rsidP="0001477B">
            <w:pPr>
              <w:spacing w:after="200" w:line="276" w:lineRule="auto"/>
              <w:jc w:val="center"/>
              <w:rPr>
                <w:rFonts w:eastAsia="Calibri" w:cstheme="minorHAnsi"/>
                <w:noProof/>
                <w:color w:val="000000"/>
                <w:sz w:val="20"/>
                <w:szCs w:val="20"/>
              </w:rPr>
            </w:pPr>
            <w:r>
              <w:rPr>
                <w:noProof/>
                <w:color w:val="000000"/>
                <w:sz w:val="20"/>
              </w:rPr>
              <w:t>2025.</w:t>
            </w:r>
          </w:p>
        </w:tc>
        <w:tc>
          <w:tcPr>
            <w:tcW w:w="4157" w:type="dxa"/>
            <w:tcBorders>
              <w:top w:val="single" w:sz="4" w:space="0" w:color="auto"/>
              <w:left w:val="nil"/>
              <w:bottom w:val="single" w:sz="4" w:space="0" w:color="auto"/>
              <w:right w:val="single" w:sz="4" w:space="0" w:color="auto"/>
            </w:tcBorders>
            <w:shd w:val="clear" w:color="auto" w:fill="C6EFCE"/>
            <w:noWrap/>
          </w:tcPr>
          <w:p w14:paraId="34270454" w14:textId="3AEEFE6E" w:rsidR="00146C1C" w:rsidRDefault="00146C1C" w:rsidP="0001477B">
            <w:pPr>
              <w:spacing w:after="200" w:line="276" w:lineRule="auto"/>
              <w:rPr>
                <w:rFonts w:eastAsia="Times New Roman"/>
                <w:noProof/>
                <w:sz w:val="20"/>
                <w:szCs w:val="20"/>
              </w:rPr>
            </w:pPr>
            <w:r>
              <w:rPr>
                <w:noProof/>
                <w:sz w:val="20"/>
              </w:rPr>
              <w:t xml:space="preserve">Provest će se najmanje šest participativnih radionica za razvoj projekata energetske obnove, zelene infrastrukture i zelene gradnje u nekoliko jedinica lokalne samouprave. </w:t>
            </w:r>
          </w:p>
          <w:p w14:paraId="57DDE15B" w14:textId="77777777" w:rsidR="00146C1C" w:rsidRDefault="00146C1C" w:rsidP="0001477B">
            <w:pPr>
              <w:spacing w:after="200" w:line="276" w:lineRule="auto"/>
              <w:rPr>
                <w:rFonts w:eastAsia="Times New Roman"/>
                <w:noProof/>
                <w:sz w:val="20"/>
                <w:szCs w:val="20"/>
              </w:rPr>
            </w:pPr>
            <w:r>
              <w:rPr>
                <w:noProof/>
                <w:sz w:val="20"/>
              </w:rPr>
              <w:t xml:space="preserve">Izradit će se program i vodič za provođenje participativnih radionica za predstavnike jedinica lokalne samouprave.  </w:t>
            </w:r>
          </w:p>
          <w:p w14:paraId="10887BB3" w14:textId="7628BC3F" w:rsidR="00146C1C" w:rsidRPr="004A21CA" w:rsidRDefault="00146C1C" w:rsidP="00533EE6">
            <w:pPr>
              <w:spacing w:after="200" w:line="276" w:lineRule="auto"/>
              <w:rPr>
                <w:rFonts w:eastAsia="Times New Roman"/>
                <w:noProof/>
                <w:sz w:val="20"/>
                <w:szCs w:val="20"/>
              </w:rPr>
            </w:pPr>
            <w:r>
              <w:rPr>
                <w:noProof/>
                <w:sz w:val="20"/>
              </w:rPr>
              <w:t>Izradit će se edukativni materijali o energetskoj obnovi, zelenoj infrastrukturi i zelenoj gradnji. Ti edukativni materijali i zaključci provedenih radionica stavit će se na raspolaganje javnosti barem na portalu „one-stop-shop” usluge.</w:t>
            </w:r>
          </w:p>
        </w:tc>
      </w:tr>
      <w:tr w:rsidR="00146C1C" w:rsidRPr="004931D3" w14:paraId="298FF771" w14:textId="77777777" w:rsidTr="00252248">
        <w:trPr>
          <w:jc w:val="center"/>
        </w:trPr>
        <w:tc>
          <w:tcPr>
            <w:tcW w:w="732" w:type="dxa"/>
            <w:tcBorders>
              <w:top w:val="single" w:sz="4" w:space="0" w:color="auto"/>
              <w:left w:val="single" w:sz="4" w:space="0" w:color="auto"/>
              <w:bottom w:val="single" w:sz="4" w:space="0" w:color="auto"/>
              <w:right w:val="single" w:sz="4" w:space="0" w:color="auto"/>
            </w:tcBorders>
            <w:shd w:val="clear" w:color="auto" w:fill="C6EFCE"/>
            <w:noWrap/>
          </w:tcPr>
          <w:p w14:paraId="5B1D931A" w14:textId="66EC623E" w:rsidR="00146C1C" w:rsidRPr="00533EE6" w:rsidRDefault="0038050B" w:rsidP="0001477B">
            <w:pPr>
              <w:spacing w:after="0" w:line="276" w:lineRule="auto"/>
              <w:jc w:val="center"/>
              <w:rPr>
                <w:noProof/>
                <w:sz w:val="20"/>
                <w:szCs w:val="20"/>
              </w:rPr>
            </w:pPr>
            <w:r>
              <w:rPr>
                <w:noProof/>
                <w:sz w:val="20"/>
              </w:rPr>
              <w:t>430</w:t>
            </w:r>
          </w:p>
        </w:tc>
        <w:tc>
          <w:tcPr>
            <w:tcW w:w="1130" w:type="dxa"/>
            <w:tcBorders>
              <w:top w:val="single" w:sz="4" w:space="0" w:color="auto"/>
              <w:left w:val="nil"/>
              <w:bottom w:val="single" w:sz="4" w:space="0" w:color="auto"/>
              <w:right w:val="single" w:sz="4" w:space="0" w:color="auto"/>
            </w:tcBorders>
            <w:shd w:val="clear" w:color="auto" w:fill="C6EFCE"/>
            <w:noWrap/>
          </w:tcPr>
          <w:p w14:paraId="18A126E3" w14:textId="1B29459E" w:rsidR="00146C1C" w:rsidRPr="00533EE6" w:rsidRDefault="00146C1C" w:rsidP="0001477B">
            <w:pPr>
              <w:spacing w:after="200" w:line="276" w:lineRule="auto"/>
              <w:jc w:val="center"/>
              <w:rPr>
                <w:noProof/>
                <w:color w:val="000000" w:themeColor="text1"/>
                <w:sz w:val="20"/>
                <w:szCs w:val="20"/>
              </w:rPr>
            </w:pPr>
            <w:r>
              <w:rPr>
                <w:noProof/>
                <w:color w:val="000000" w:themeColor="text1"/>
                <w:sz w:val="20"/>
              </w:rPr>
              <w:t>C7.2. R2</w:t>
            </w:r>
          </w:p>
        </w:tc>
        <w:tc>
          <w:tcPr>
            <w:tcW w:w="856" w:type="dxa"/>
            <w:tcBorders>
              <w:top w:val="single" w:sz="4" w:space="0" w:color="auto"/>
              <w:left w:val="nil"/>
              <w:bottom w:val="single" w:sz="4" w:space="0" w:color="auto"/>
              <w:right w:val="single" w:sz="4" w:space="0" w:color="auto"/>
            </w:tcBorders>
            <w:shd w:val="clear" w:color="auto" w:fill="C6EFCE"/>
            <w:noWrap/>
          </w:tcPr>
          <w:p w14:paraId="795D8F27" w14:textId="77777777" w:rsidR="00146C1C" w:rsidRPr="004A21CA" w:rsidRDefault="00146C1C" w:rsidP="0001477B">
            <w:pPr>
              <w:spacing w:after="200" w:line="276" w:lineRule="auto"/>
              <w:jc w:val="center"/>
              <w:rPr>
                <w:rFonts w:eastAsia="Calibri"/>
                <w:noProof/>
                <w:sz w:val="20"/>
                <w:szCs w:val="20"/>
              </w:rPr>
            </w:pPr>
            <w:r>
              <w:rPr>
                <w:noProof/>
                <w:sz w:val="20"/>
              </w:rPr>
              <w:t>Ciljna vrijednost</w:t>
            </w:r>
          </w:p>
        </w:tc>
        <w:tc>
          <w:tcPr>
            <w:tcW w:w="2541" w:type="dxa"/>
            <w:tcBorders>
              <w:top w:val="single" w:sz="4" w:space="0" w:color="auto"/>
              <w:left w:val="nil"/>
              <w:bottom w:val="single" w:sz="4" w:space="0" w:color="auto"/>
              <w:right w:val="single" w:sz="4" w:space="0" w:color="auto"/>
            </w:tcBorders>
            <w:shd w:val="clear" w:color="auto" w:fill="C6EFCE"/>
            <w:noWrap/>
          </w:tcPr>
          <w:p w14:paraId="1549D052" w14:textId="77777777" w:rsidR="00146C1C" w:rsidRPr="004A21CA" w:rsidRDefault="00146C1C" w:rsidP="0001477B">
            <w:pPr>
              <w:spacing w:after="200" w:line="276" w:lineRule="auto"/>
              <w:rPr>
                <w:noProof/>
                <w:sz w:val="20"/>
                <w:szCs w:val="20"/>
              </w:rPr>
            </w:pPr>
            <w:r>
              <w:rPr>
                <w:noProof/>
                <w:sz w:val="20"/>
              </w:rPr>
              <w:t>Donošenje strategija zelene urbane obnove</w:t>
            </w:r>
          </w:p>
          <w:p w14:paraId="4BC984B9" w14:textId="77777777" w:rsidR="00146C1C" w:rsidRPr="004A21CA" w:rsidRDefault="00146C1C" w:rsidP="0001477B">
            <w:pPr>
              <w:spacing w:after="200" w:line="276" w:lineRule="auto"/>
              <w:rPr>
                <w:rFonts w:eastAsia="Calibri" w:cstheme="minorHAnsi"/>
                <w:noProof/>
                <w:sz w:val="20"/>
                <w:szCs w:val="20"/>
                <w:lang w:val="en-IE"/>
              </w:rPr>
            </w:pPr>
          </w:p>
        </w:tc>
        <w:tc>
          <w:tcPr>
            <w:tcW w:w="1717" w:type="dxa"/>
            <w:tcBorders>
              <w:top w:val="single" w:sz="4" w:space="0" w:color="auto"/>
              <w:left w:val="nil"/>
              <w:bottom w:val="single" w:sz="4" w:space="0" w:color="auto"/>
              <w:right w:val="single" w:sz="4" w:space="0" w:color="auto"/>
            </w:tcBorders>
            <w:shd w:val="clear" w:color="auto" w:fill="C6EFCE"/>
            <w:noWrap/>
          </w:tcPr>
          <w:p w14:paraId="0CF58A1F" w14:textId="77777777" w:rsidR="00146C1C" w:rsidRPr="004A21CA" w:rsidRDefault="00146C1C" w:rsidP="0001477B">
            <w:pPr>
              <w:spacing w:after="200" w:line="276" w:lineRule="auto"/>
              <w:rPr>
                <w:rFonts w:eastAsia="Calibri" w:cstheme="minorHAnsi"/>
                <w:noProof/>
                <w:sz w:val="20"/>
                <w:szCs w:val="20"/>
                <w:lang w:val="en-IE"/>
              </w:rPr>
            </w:pPr>
          </w:p>
        </w:tc>
        <w:tc>
          <w:tcPr>
            <w:tcW w:w="944" w:type="dxa"/>
            <w:tcBorders>
              <w:top w:val="single" w:sz="4" w:space="0" w:color="auto"/>
              <w:left w:val="nil"/>
              <w:bottom w:val="single" w:sz="4" w:space="0" w:color="auto"/>
              <w:right w:val="single" w:sz="4" w:space="0" w:color="auto"/>
            </w:tcBorders>
            <w:shd w:val="clear" w:color="auto" w:fill="C6EFCE"/>
            <w:noWrap/>
          </w:tcPr>
          <w:p w14:paraId="42C083BB" w14:textId="77777777" w:rsidR="00146C1C" w:rsidRPr="004A21CA" w:rsidRDefault="00146C1C" w:rsidP="0001477B">
            <w:pPr>
              <w:spacing w:after="200" w:line="276" w:lineRule="auto"/>
              <w:jc w:val="center"/>
              <w:rPr>
                <w:rFonts w:eastAsia="Calibri"/>
                <w:noProof/>
                <w:sz w:val="20"/>
                <w:szCs w:val="20"/>
              </w:rPr>
            </w:pPr>
            <w:r>
              <w:rPr>
                <w:noProof/>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6E8A66CF" w14:textId="77777777" w:rsidR="00146C1C" w:rsidRPr="004A21CA" w:rsidRDefault="00146C1C" w:rsidP="0001477B">
            <w:pPr>
              <w:spacing w:after="200" w:line="276" w:lineRule="auto"/>
              <w:jc w:val="center"/>
              <w:rPr>
                <w:rFonts w:eastAsia="Calibri"/>
                <w:noProof/>
                <w:sz w:val="20"/>
                <w:szCs w:val="20"/>
                <w:highlight w:val="yellow"/>
              </w:rPr>
            </w:pPr>
            <w:r>
              <w:rPr>
                <w:noProof/>
                <w:sz w:val="20"/>
              </w:rPr>
              <w:t>10</w:t>
            </w:r>
          </w:p>
        </w:tc>
        <w:tc>
          <w:tcPr>
            <w:tcW w:w="850" w:type="dxa"/>
            <w:tcBorders>
              <w:top w:val="single" w:sz="4" w:space="0" w:color="auto"/>
              <w:left w:val="nil"/>
              <w:bottom w:val="single" w:sz="4" w:space="0" w:color="auto"/>
              <w:right w:val="single" w:sz="4" w:space="0" w:color="auto"/>
            </w:tcBorders>
            <w:shd w:val="clear" w:color="auto" w:fill="C6EFCE"/>
            <w:noWrap/>
          </w:tcPr>
          <w:p w14:paraId="4E971726" w14:textId="77777777" w:rsidR="00146C1C" w:rsidRPr="004A21CA" w:rsidRDefault="00146C1C" w:rsidP="0001477B">
            <w:pPr>
              <w:spacing w:after="200" w:line="276" w:lineRule="auto"/>
              <w:jc w:val="center"/>
              <w:rPr>
                <w:rFonts w:eastAsia="Calibri"/>
                <w:noProof/>
                <w:sz w:val="20"/>
                <w:szCs w:val="20"/>
              </w:rPr>
            </w:pPr>
            <w:r>
              <w:rPr>
                <w:noProof/>
                <w:sz w:val="20"/>
              </w:rPr>
              <w:t>70</w:t>
            </w:r>
          </w:p>
        </w:tc>
        <w:tc>
          <w:tcPr>
            <w:tcW w:w="426" w:type="dxa"/>
            <w:tcBorders>
              <w:top w:val="single" w:sz="4" w:space="0" w:color="auto"/>
              <w:left w:val="nil"/>
              <w:bottom w:val="single" w:sz="4" w:space="0" w:color="auto"/>
              <w:right w:val="single" w:sz="4" w:space="0" w:color="auto"/>
            </w:tcBorders>
            <w:shd w:val="clear" w:color="auto" w:fill="C6EFCE"/>
            <w:noWrap/>
          </w:tcPr>
          <w:p w14:paraId="155FE1B4" w14:textId="38DE4818" w:rsidR="00146C1C" w:rsidRPr="004A21CA" w:rsidRDefault="00146C1C" w:rsidP="0001477B">
            <w:pPr>
              <w:spacing w:after="200" w:line="276" w:lineRule="auto"/>
              <w:jc w:val="center"/>
              <w:rPr>
                <w:rFonts w:eastAsia="Calibri"/>
                <w:noProof/>
                <w:sz w:val="20"/>
                <w:szCs w:val="20"/>
                <w:highlight w:val="yellow"/>
              </w:rPr>
            </w:pPr>
            <w:r>
              <w:rPr>
                <w:noProof/>
                <w:sz w:val="20"/>
              </w:rPr>
              <w:t>3.</w:t>
            </w:r>
          </w:p>
        </w:tc>
        <w:tc>
          <w:tcPr>
            <w:tcW w:w="662" w:type="dxa"/>
            <w:tcBorders>
              <w:top w:val="single" w:sz="4" w:space="0" w:color="auto"/>
              <w:left w:val="nil"/>
              <w:bottom w:val="single" w:sz="4" w:space="0" w:color="auto"/>
              <w:right w:val="single" w:sz="4" w:space="0" w:color="auto"/>
            </w:tcBorders>
            <w:shd w:val="clear" w:color="auto" w:fill="C6EFCE"/>
            <w:noWrap/>
          </w:tcPr>
          <w:p w14:paraId="1A626227" w14:textId="77777777" w:rsidR="00146C1C" w:rsidRPr="004A21CA" w:rsidRDefault="00146C1C" w:rsidP="0001477B">
            <w:pPr>
              <w:spacing w:after="200" w:line="276" w:lineRule="auto"/>
              <w:jc w:val="center"/>
              <w:rPr>
                <w:rFonts w:eastAsia="Calibri"/>
                <w:noProof/>
                <w:sz w:val="20"/>
                <w:szCs w:val="20"/>
              </w:rPr>
            </w:pPr>
            <w:r>
              <w:rPr>
                <w:noProof/>
                <w:sz w:val="20"/>
              </w:rPr>
              <w:t>2025.</w:t>
            </w:r>
          </w:p>
        </w:tc>
        <w:tc>
          <w:tcPr>
            <w:tcW w:w="4157" w:type="dxa"/>
            <w:tcBorders>
              <w:top w:val="single" w:sz="4" w:space="0" w:color="auto"/>
              <w:left w:val="nil"/>
              <w:bottom w:val="single" w:sz="4" w:space="0" w:color="auto"/>
              <w:right w:val="single" w:sz="4" w:space="0" w:color="auto"/>
            </w:tcBorders>
            <w:shd w:val="clear" w:color="auto" w:fill="C6EFCE"/>
            <w:noWrap/>
          </w:tcPr>
          <w:p w14:paraId="4B5C28A4" w14:textId="77777777" w:rsidR="00146C1C" w:rsidRPr="004A21CA" w:rsidRDefault="00146C1C" w:rsidP="0001477B">
            <w:pPr>
              <w:spacing w:after="200" w:line="276" w:lineRule="auto"/>
              <w:rPr>
                <w:noProof/>
                <w:sz w:val="20"/>
                <w:szCs w:val="20"/>
              </w:rPr>
            </w:pPr>
            <w:r>
              <w:rPr>
                <w:noProof/>
                <w:sz w:val="20"/>
              </w:rPr>
              <w:t>Donošenje najmanje 60 strategija zelene urbane obnove kako bi se osigurala osnova za razvoj održivog prostora, s naglaskom na razvoju zelene urbane infrastrukture i integriranju prirodnih rješenja, integriranju modela za kružno gospodarenje prostorom i zgradama, jačanju otpornosti na rizike i klimatske promjene te podupiranju sveukupnog održivog razvoja.</w:t>
            </w:r>
          </w:p>
        </w:tc>
      </w:tr>
      <w:tr w:rsidR="00146C1C" w:rsidRPr="004931D3" w14:paraId="44B306BF" w14:textId="77777777" w:rsidTr="00252248">
        <w:trPr>
          <w:jc w:val="center"/>
        </w:trPr>
        <w:tc>
          <w:tcPr>
            <w:tcW w:w="732" w:type="dxa"/>
            <w:tcBorders>
              <w:top w:val="single" w:sz="4" w:space="0" w:color="auto"/>
              <w:left w:val="single" w:sz="4" w:space="0" w:color="auto"/>
              <w:bottom w:val="single" w:sz="4" w:space="0" w:color="auto"/>
              <w:right w:val="single" w:sz="4" w:space="0" w:color="auto"/>
            </w:tcBorders>
            <w:shd w:val="clear" w:color="auto" w:fill="C6EFCE"/>
            <w:noWrap/>
          </w:tcPr>
          <w:p w14:paraId="1314780E" w14:textId="0E2DD26D" w:rsidR="00146C1C" w:rsidRPr="00533EE6" w:rsidRDefault="0038050B" w:rsidP="0001477B">
            <w:pPr>
              <w:spacing w:after="0" w:line="276" w:lineRule="auto"/>
              <w:jc w:val="center"/>
              <w:rPr>
                <w:noProof/>
                <w:sz w:val="20"/>
                <w:szCs w:val="20"/>
                <w:highlight w:val="yellow"/>
              </w:rPr>
            </w:pPr>
            <w:r>
              <w:rPr>
                <w:noProof/>
                <w:sz w:val="20"/>
              </w:rPr>
              <w:t>431</w:t>
            </w:r>
          </w:p>
        </w:tc>
        <w:tc>
          <w:tcPr>
            <w:tcW w:w="1130" w:type="dxa"/>
            <w:tcBorders>
              <w:top w:val="single" w:sz="4" w:space="0" w:color="auto"/>
              <w:left w:val="nil"/>
              <w:bottom w:val="single" w:sz="4" w:space="0" w:color="auto"/>
              <w:right w:val="single" w:sz="4" w:space="0" w:color="auto"/>
            </w:tcBorders>
            <w:shd w:val="clear" w:color="auto" w:fill="C6EFCE"/>
            <w:noWrap/>
          </w:tcPr>
          <w:p w14:paraId="134E67F0" w14:textId="1974ADD1" w:rsidR="00146C1C" w:rsidRPr="00533EE6" w:rsidRDefault="00146C1C" w:rsidP="0001477B">
            <w:pPr>
              <w:spacing w:after="200" w:line="276" w:lineRule="auto"/>
              <w:jc w:val="center"/>
              <w:rPr>
                <w:noProof/>
                <w:color w:val="000000" w:themeColor="text1"/>
                <w:sz w:val="20"/>
                <w:szCs w:val="20"/>
                <w:highlight w:val="yellow"/>
              </w:rPr>
            </w:pPr>
            <w:r>
              <w:rPr>
                <w:noProof/>
                <w:color w:val="000000" w:themeColor="text1"/>
                <w:sz w:val="20"/>
              </w:rPr>
              <w:t>C7.2. R2</w:t>
            </w:r>
          </w:p>
        </w:tc>
        <w:tc>
          <w:tcPr>
            <w:tcW w:w="856" w:type="dxa"/>
            <w:tcBorders>
              <w:top w:val="single" w:sz="4" w:space="0" w:color="auto"/>
              <w:left w:val="nil"/>
              <w:bottom w:val="single" w:sz="4" w:space="0" w:color="auto"/>
              <w:right w:val="single" w:sz="4" w:space="0" w:color="auto"/>
            </w:tcBorders>
            <w:shd w:val="clear" w:color="auto" w:fill="C6EFCE"/>
            <w:noWrap/>
          </w:tcPr>
          <w:p w14:paraId="41F6142A" w14:textId="77777777" w:rsidR="00146C1C" w:rsidRPr="004A21CA" w:rsidRDefault="00146C1C" w:rsidP="0001477B">
            <w:pPr>
              <w:spacing w:after="200" w:line="276" w:lineRule="auto"/>
              <w:jc w:val="center"/>
              <w:rPr>
                <w:rFonts w:eastAsia="Calibri" w:cstheme="minorHAnsi"/>
                <w:noProof/>
                <w:sz w:val="20"/>
                <w:szCs w:val="20"/>
              </w:rPr>
            </w:pPr>
            <w:r>
              <w:rPr>
                <w:noProof/>
                <w:sz w:val="20"/>
              </w:rPr>
              <w:t>Ciljna vrijednost</w:t>
            </w:r>
          </w:p>
        </w:tc>
        <w:tc>
          <w:tcPr>
            <w:tcW w:w="2541" w:type="dxa"/>
            <w:tcBorders>
              <w:top w:val="single" w:sz="4" w:space="0" w:color="auto"/>
              <w:left w:val="nil"/>
              <w:bottom w:val="single" w:sz="4" w:space="0" w:color="auto"/>
              <w:right w:val="single" w:sz="4" w:space="0" w:color="auto"/>
            </w:tcBorders>
            <w:shd w:val="clear" w:color="auto" w:fill="C6EFCE"/>
            <w:noWrap/>
          </w:tcPr>
          <w:p w14:paraId="18706F05" w14:textId="77777777" w:rsidR="00146C1C" w:rsidRPr="004A21CA" w:rsidRDefault="00146C1C" w:rsidP="0001477B">
            <w:pPr>
              <w:spacing w:after="200" w:line="276" w:lineRule="auto"/>
              <w:rPr>
                <w:noProof/>
                <w:sz w:val="20"/>
                <w:szCs w:val="20"/>
              </w:rPr>
            </w:pPr>
            <w:r>
              <w:rPr>
                <w:noProof/>
                <w:sz w:val="20"/>
              </w:rPr>
              <w:t>Provedba pilot-projekata utvrđenih u strategiji zelene urbane obnove i povezanih s nacionalnim programima o zelenoj infrastrukturi i kružnom gospodarenju prostorom i zgradama</w:t>
            </w:r>
          </w:p>
        </w:tc>
        <w:tc>
          <w:tcPr>
            <w:tcW w:w="1717" w:type="dxa"/>
            <w:tcBorders>
              <w:top w:val="single" w:sz="4" w:space="0" w:color="auto"/>
              <w:left w:val="nil"/>
              <w:bottom w:val="single" w:sz="4" w:space="0" w:color="auto"/>
              <w:right w:val="single" w:sz="4" w:space="0" w:color="auto"/>
            </w:tcBorders>
            <w:shd w:val="clear" w:color="auto" w:fill="C6EFCE"/>
            <w:noWrap/>
          </w:tcPr>
          <w:p w14:paraId="2C5FCB8A" w14:textId="77777777" w:rsidR="00146C1C" w:rsidRPr="00BC0323" w:rsidRDefault="00146C1C" w:rsidP="0001477B">
            <w:pPr>
              <w:spacing w:after="200" w:line="276" w:lineRule="auto"/>
              <w:rPr>
                <w:rFonts w:eastAsia="Calibri" w:cstheme="minorHAnsi"/>
                <w:noProof/>
                <w:sz w:val="20"/>
                <w:szCs w:val="20"/>
              </w:rPr>
            </w:pPr>
          </w:p>
        </w:tc>
        <w:tc>
          <w:tcPr>
            <w:tcW w:w="944" w:type="dxa"/>
            <w:tcBorders>
              <w:top w:val="single" w:sz="4" w:space="0" w:color="auto"/>
              <w:left w:val="nil"/>
              <w:bottom w:val="single" w:sz="4" w:space="0" w:color="auto"/>
              <w:right w:val="single" w:sz="4" w:space="0" w:color="auto"/>
            </w:tcBorders>
            <w:shd w:val="clear" w:color="auto" w:fill="C6EFCE"/>
            <w:noWrap/>
          </w:tcPr>
          <w:p w14:paraId="721033DD" w14:textId="77777777" w:rsidR="00146C1C" w:rsidRPr="004A21CA" w:rsidRDefault="00146C1C" w:rsidP="0001477B">
            <w:pPr>
              <w:spacing w:after="200" w:line="276" w:lineRule="auto"/>
              <w:jc w:val="center"/>
              <w:rPr>
                <w:rFonts w:eastAsia="Calibri" w:cstheme="minorHAnsi"/>
                <w:noProof/>
                <w:sz w:val="20"/>
                <w:szCs w:val="20"/>
              </w:rPr>
            </w:pPr>
            <w:r>
              <w:rPr>
                <w:noProof/>
                <w:sz w:val="20"/>
              </w:rPr>
              <w:t>Broj</w:t>
            </w:r>
          </w:p>
        </w:tc>
        <w:tc>
          <w:tcPr>
            <w:tcW w:w="851" w:type="dxa"/>
            <w:tcBorders>
              <w:top w:val="single" w:sz="4" w:space="0" w:color="auto"/>
              <w:left w:val="nil"/>
              <w:bottom w:val="single" w:sz="4" w:space="0" w:color="auto"/>
              <w:right w:val="single" w:sz="4" w:space="0" w:color="auto"/>
            </w:tcBorders>
            <w:shd w:val="clear" w:color="auto" w:fill="C6EFCE"/>
            <w:noWrap/>
          </w:tcPr>
          <w:p w14:paraId="72A2911B" w14:textId="77777777" w:rsidR="00146C1C" w:rsidRPr="004A21CA" w:rsidRDefault="00146C1C" w:rsidP="0001477B">
            <w:pPr>
              <w:spacing w:after="200" w:line="276" w:lineRule="auto"/>
              <w:jc w:val="center"/>
              <w:rPr>
                <w:rFonts w:eastAsia="Calibri"/>
                <w:noProof/>
                <w:sz w:val="20"/>
                <w:szCs w:val="20"/>
                <w:highlight w:val="yellow"/>
              </w:rPr>
            </w:pPr>
            <w:r>
              <w:rPr>
                <w:noProof/>
                <w:sz w:val="20"/>
              </w:rPr>
              <w:t>0</w:t>
            </w:r>
          </w:p>
        </w:tc>
        <w:tc>
          <w:tcPr>
            <w:tcW w:w="850" w:type="dxa"/>
            <w:tcBorders>
              <w:top w:val="single" w:sz="4" w:space="0" w:color="auto"/>
              <w:left w:val="nil"/>
              <w:bottom w:val="single" w:sz="4" w:space="0" w:color="auto"/>
              <w:right w:val="single" w:sz="4" w:space="0" w:color="auto"/>
            </w:tcBorders>
            <w:shd w:val="clear" w:color="auto" w:fill="C6EFCE"/>
            <w:noWrap/>
          </w:tcPr>
          <w:p w14:paraId="61A5A155" w14:textId="77777777" w:rsidR="00146C1C" w:rsidRPr="004A21CA" w:rsidRDefault="00146C1C" w:rsidP="0001477B">
            <w:pPr>
              <w:spacing w:after="200" w:line="276" w:lineRule="auto"/>
              <w:jc w:val="center"/>
              <w:rPr>
                <w:rFonts w:eastAsia="Calibri"/>
                <w:noProof/>
                <w:sz w:val="20"/>
                <w:szCs w:val="20"/>
              </w:rPr>
            </w:pPr>
            <w:r>
              <w:rPr>
                <w:noProof/>
                <w:sz w:val="20"/>
              </w:rPr>
              <w:t>15</w:t>
            </w:r>
          </w:p>
        </w:tc>
        <w:tc>
          <w:tcPr>
            <w:tcW w:w="426" w:type="dxa"/>
            <w:tcBorders>
              <w:top w:val="single" w:sz="4" w:space="0" w:color="auto"/>
              <w:left w:val="nil"/>
              <w:bottom w:val="single" w:sz="4" w:space="0" w:color="auto"/>
              <w:right w:val="single" w:sz="4" w:space="0" w:color="auto"/>
            </w:tcBorders>
            <w:shd w:val="clear" w:color="auto" w:fill="C6EFCE"/>
            <w:noWrap/>
          </w:tcPr>
          <w:p w14:paraId="2A2B22B5" w14:textId="77777777" w:rsidR="00146C1C" w:rsidRPr="004A21CA" w:rsidRDefault="00146C1C" w:rsidP="0001477B">
            <w:pPr>
              <w:spacing w:after="200" w:line="276" w:lineRule="auto"/>
              <w:jc w:val="center"/>
              <w:rPr>
                <w:rFonts w:eastAsia="Calibri" w:cstheme="minorHAnsi"/>
                <w:noProof/>
                <w:sz w:val="20"/>
                <w:szCs w:val="20"/>
              </w:rPr>
            </w:pPr>
            <w:r>
              <w:rPr>
                <w:noProof/>
                <w:sz w:val="20"/>
              </w:rPr>
              <w:t>2.</w:t>
            </w:r>
          </w:p>
        </w:tc>
        <w:tc>
          <w:tcPr>
            <w:tcW w:w="662" w:type="dxa"/>
            <w:tcBorders>
              <w:top w:val="single" w:sz="4" w:space="0" w:color="auto"/>
              <w:left w:val="nil"/>
              <w:bottom w:val="single" w:sz="4" w:space="0" w:color="auto"/>
              <w:right w:val="single" w:sz="4" w:space="0" w:color="auto"/>
            </w:tcBorders>
            <w:shd w:val="clear" w:color="auto" w:fill="C6EFCE"/>
            <w:noWrap/>
          </w:tcPr>
          <w:p w14:paraId="53DF31A6" w14:textId="77777777" w:rsidR="00146C1C" w:rsidRPr="004A21CA" w:rsidRDefault="00146C1C" w:rsidP="0001477B">
            <w:pPr>
              <w:spacing w:after="200" w:line="276" w:lineRule="auto"/>
              <w:jc w:val="center"/>
              <w:rPr>
                <w:rFonts w:eastAsia="Calibri" w:cstheme="minorHAnsi"/>
                <w:noProof/>
                <w:sz w:val="20"/>
                <w:szCs w:val="20"/>
              </w:rPr>
            </w:pPr>
            <w:r>
              <w:rPr>
                <w:noProof/>
                <w:sz w:val="20"/>
              </w:rPr>
              <w:t>2026.</w:t>
            </w:r>
          </w:p>
        </w:tc>
        <w:tc>
          <w:tcPr>
            <w:tcW w:w="4157" w:type="dxa"/>
            <w:tcBorders>
              <w:top w:val="single" w:sz="4" w:space="0" w:color="auto"/>
              <w:left w:val="nil"/>
              <w:bottom w:val="single" w:sz="4" w:space="0" w:color="auto"/>
              <w:right w:val="single" w:sz="4" w:space="0" w:color="auto"/>
            </w:tcBorders>
            <w:shd w:val="clear" w:color="auto" w:fill="C6EFCE"/>
            <w:noWrap/>
          </w:tcPr>
          <w:p w14:paraId="34809A7A" w14:textId="77777777" w:rsidR="00146C1C" w:rsidRPr="004A21CA" w:rsidRDefault="00146C1C" w:rsidP="0001477B">
            <w:pPr>
              <w:spacing w:after="200" w:line="276" w:lineRule="auto"/>
              <w:rPr>
                <w:rFonts w:eastAsia="Times New Roman"/>
                <w:noProof/>
                <w:sz w:val="20"/>
                <w:szCs w:val="20"/>
              </w:rPr>
            </w:pPr>
            <w:r>
              <w:rPr>
                <w:noProof/>
                <w:color w:val="000000" w:themeColor="text1"/>
                <w:sz w:val="20"/>
              </w:rPr>
              <w:t>Provedba najmanje 15 pilot-projekata utvrđenih u strategiji zelene urbane obnove i povezanih s nacionalnim programima o zelenoj infrastrukturi i kružnom gospodarenju prostorom i zgradama.</w:t>
            </w:r>
          </w:p>
        </w:tc>
      </w:tr>
    </w:tbl>
    <w:p w14:paraId="2316B1B8" w14:textId="77777777" w:rsidR="00146C1C" w:rsidRPr="004931D3" w:rsidRDefault="00146C1C" w:rsidP="0001477B">
      <w:pPr>
        <w:pStyle w:val="paragraph"/>
        <w:spacing w:before="0" w:beforeAutospacing="0" w:after="0" w:afterAutospacing="0"/>
        <w:jc w:val="both"/>
        <w:textAlignment w:val="baseline"/>
        <w:rPr>
          <w:rFonts w:ascii="Segoe UI" w:hAnsi="Segoe UI" w:cs="Segoe UI"/>
          <w:noProof/>
          <w:sz w:val="18"/>
          <w:szCs w:val="18"/>
        </w:rPr>
      </w:pPr>
    </w:p>
    <w:p w14:paraId="38AC9BA3" w14:textId="77777777" w:rsidR="00146C1C" w:rsidRPr="00BC0323" w:rsidRDefault="00146C1C">
      <w:pPr>
        <w:rPr>
          <w:noProof/>
        </w:rPr>
        <w:sectPr w:rsidR="00146C1C" w:rsidRPr="00BC0323" w:rsidSect="0001477B">
          <w:headerReference w:type="even" r:id="rId432"/>
          <w:headerReference w:type="default" r:id="rId433"/>
          <w:footerReference w:type="even" r:id="rId434"/>
          <w:footerReference w:type="default" r:id="rId435"/>
          <w:headerReference w:type="first" r:id="rId436"/>
          <w:footerReference w:type="first" r:id="rId437"/>
          <w:pgSz w:w="15840" w:h="12240" w:orient="landscape"/>
          <w:pgMar w:top="1440" w:right="1440" w:bottom="1440" w:left="1440" w:header="708" w:footer="708" w:gutter="0"/>
          <w:cols w:space="708"/>
          <w:docGrid w:linePitch="360"/>
        </w:sectPr>
      </w:pPr>
    </w:p>
    <w:p w14:paraId="12CDAC20" w14:textId="589EF6C7" w:rsidR="00146C1C" w:rsidRPr="004931D3" w:rsidRDefault="009C2121" w:rsidP="00146C1C">
      <w:pPr>
        <w:pStyle w:val="paragraph"/>
        <w:spacing w:before="0" w:beforeAutospacing="0" w:after="0" w:afterAutospacing="0"/>
        <w:ind w:firstLine="709"/>
        <w:jc w:val="both"/>
        <w:textAlignment w:val="baseline"/>
        <w:rPr>
          <w:rFonts w:ascii="Segoe UI" w:hAnsi="Segoe UI" w:cs="Segoe UI"/>
          <w:noProof/>
          <w:sz w:val="18"/>
          <w:szCs w:val="18"/>
        </w:rPr>
      </w:pPr>
      <w:r>
        <w:rPr>
          <w:rStyle w:val="normaltextrun"/>
          <w:b/>
          <w:noProof/>
        </w:rPr>
        <w:t xml:space="preserve">X.3. </w:t>
      </w:r>
      <w:r>
        <w:rPr>
          <w:rStyle w:val="tabchar"/>
          <w:rFonts w:ascii="Calibri" w:hAnsi="Calibri"/>
          <w:noProof/>
        </w:rPr>
        <w:tab/>
      </w:r>
      <w:r>
        <w:rPr>
          <w:rStyle w:val="normaltextrun"/>
          <w:b/>
          <w:noProof/>
        </w:rPr>
        <w:t>Opis reformi i ulaganja za zajam </w:t>
      </w:r>
      <w:r>
        <w:rPr>
          <w:rStyle w:val="eop"/>
          <w:noProof/>
        </w:rPr>
        <w:t> </w:t>
      </w:r>
    </w:p>
    <w:p w14:paraId="777BF499" w14:textId="77777777" w:rsidR="00146C1C" w:rsidRDefault="00146C1C" w:rsidP="0001477B">
      <w:pPr>
        <w:pStyle w:val="paragraph"/>
        <w:spacing w:before="0" w:beforeAutospacing="0" w:after="0" w:afterAutospacing="0"/>
        <w:jc w:val="both"/>
        <w:textAlignment w:val="baseline"/>
        <w:rPr>
          <w:rStyle w:val="eop"/>
          <w:bCs/>
          <w:noProof/>
        </w:rPr>
      </w:pPr>
    </w:p>
    <w:p w14:paraId="696392AE" w14:textId="347F7B06" w:rsidR="00146C1C" w:rsidRPr="004931D3" w:rsidRDefault="00146C1C" w:rsidP="00146C1C">
      <w:pPr>
        <w:pStyle w:val="paragraph"/>
        <w:spacing w:before="0" w:beforeAutospacing="0" w:after="0" w:afterAutospacing="0"/>
        <w:ind w:left="720"/>
        <w:jc w:val="both"/>
        <w:textAlignment w:val="baseline"/>
        <w:rPr>
          <w:noProof/>
          <w:color w:val="000000" w:themeColor="text1"/>
          <w:u w:val="single"/>
        </w:rPr>
      </w:pPr>
      <w:r>
        <w:rPr>
          <w:noProof/>
          <w:color w:val="000000" w:themeColor="text1"/>
          <w:u w:val="single"/>
        </w:rPr>
        <w:t>Reforma C7.2. R3 – Proširena mjera: Uvođenje novog modela strategija zelene urbane obnove i provedba pilot-projekta razvoja zelene infrastrukture i kružnog gospodarenja prostorom i zgradama</w:t>
      </w:r>
    </w:p>
    <w:p w14:paraId="2BFF1C37" w14:textId="77777777" w:rsidR="00146C1C" w:rsidRPr="004931D3" w:rsidRDefault="00146C1C" w:rsidP="0001477B">
      <w:pPr>
        <w:pStyle w:val="paragraph"/>
        <w:spacing w:before="0" w:beforeAutospacing="0" w:after="0" w:afterAutospacing="0"/>
        <w:jc w:val="both"/>
        <w:textAlignment w:val="baseline"/>
        <w:rPr>
          <w:noProof/>
          <w:color w:val="000000" w:themeColor="text1"/>
          <w:u w:val="single"/>
        </w:rPr>
      </w:pPr>
    </w:p>
    <w:p w14:paraId="74EA3F3F" w14:textId="36BC45CB" w:rsidR="00146C1C" w:rsidRDefault="00146C1C" w:rsidP="0001477B">
      <w:pPr>
        <w:pStyle w:val="paragraph"/>
        <w:spacing w:before="0" w:beforeAutospacing="0" w:after="0" w:afterAutospacing="0"/>
        <w:jc w:val="both"/>
        <w:textAlignment w:val="baseline"/>
        <w:rPr>
          <w:noProof/>
          <w:color w:val="000000" w:themeColor="text1"/>
        </w:rPr>
      </w:pPr>
      <w:r>
        <w:rPr>
          <w:noProof/>
          <w:color w:val="000000" w:themeColor="text1"/>
        </w:rPr>
        <w:t xml:space="preserve">Cilj je mjere proširenje reforme C6.1. R5: Uvođenje novog modela strategija zelene urbane obnove i provedba pilot-projekta razvoja zelene infrastrukture i kružnog gospodarenja prostorom i zgradama u okviru inicijative 6.1. Obnova zgrada. Prošireni dio mjere sastojat će se od provedbe dodatnih pilot-projekata razvoja zelene infrastrukture i kružnog gospodarenja prostorom i zgradama. </w:t>
      </w:r>
    </w:p>
    <w:p w14:paraId="598948D9" w14:textId="77777777" w:rsidR="00146C1C" w:rsidRDefault="00146C1C" w:rsidP="0001477B">
      <w:pPr>
        <w:pStyle w:val="paragraph"/>
        <w:spacing w:before="0" w:beforeAutospacing="0" w:after="0" w:afterAutospacing="0"/>
        <w:jc w:val="both"/>
        <w:textAlignment w:val="baseline"/>
        <w:rPr>
          <w:noProof/>
          <w:color w:val="000000" w:themeColor="text1"/>
        </w:rPr>
      </w:pPr>
    </w:p>
    <w:p w14:paraId="02BC9B81" w14:textId="77777777" w:rsidR="00146C1C" w:rsidRPr="004931D3" w:rsidRDefault="00146C1C" w:rsidP="0001477B">
      <w:pPr>
        <w:pStyle w:val="paragraph"/>
        <w:spacing w:before="0" w:beforeAutospacing="0" w:after="0" w:afterAutospacing="0"/>
        <w:jc w:val="both"/>
        <w:textAlignment w:val="baseline"/>
        <w:rPr>
          <w:noProof/>
          <w:color w:val="000000" w:themeColor="text1"/>
        </w:rPr>
      </w:pPr>
      <w:r>
        <w:rPr>
          <w:noProof/>
          <w:color w:val="000000" w:themeColor="text1"/>
        </w:rPr>
        <w:t>Provedba mjere bit će dovršena do 30. lipnja 2026.</w:t>
      </w:r>
    </w:p>
    <w:p w14:paraId="18A66235" w14:textId="77777777" w:rsidR="00146C1C" w:rsidRDefault="00146C1C" w:rsidP="0001477B">
      <w:pPr>
        <w:pStyle w:val="paragraph"/>
        <w:spacing w:before="0" w:beforeAutospacing="0" w:after="0" w:afterAutospacing="0"/>
        <w:jc w:val="both"/>
        <w:textAlignment w:val="baseline"/>
        <w:rPr>
          <w:noProof/>
          <w:color w:val="000000" w:themeColor="text1"/>
          <w:u w:val="single"/>
        </w:rPr>
      </w:pPr>
    </w:p>
    <w:p w14:paraId="42124387" w14:textId="0956F3E1" w:rsidR="00146C1C" w:rsidRDefault="00146C1C" w:rsidP="00146C1C">
      <w:pPr>
        <w:pStyle w:val="paragraph"/>
        <w:spacing w:before="0" w:beforeAutospacing="0" w:after="0" w:afterAutospacing="0"/>
        <w:ind w:left="720"/>
        <w:jc w:val="both"/>
        <w:textAlignment w:val="baseline"/>
        <w:rPr>
          <w:noProof/>
          <w:color w:val="000000" w:themeColor="text1"/>
          <w:u w:val="single"/>
        </w:rPr>
      </w:pPr>
      <w:r>
        <w:rPr>
          <w:noProof/>
          <w:color w:val="000000" w:themeColor="text1"/>
          <w:u w:val="single"/>
        </w:rPr>
        <w:t>Reforma C7.2. R4 – Uvođenje novog modela za pripremu, organizaciju i provedbu programa obrazovanja odraslih usmjerenog na razvoj zelenih vještina i kompetencija u građevinskom sektoru za radnike iz trećih zemalja, kao i odgovarajućih modula za poticanje uspješne integracije u sektor</w:t>
      </w:r>
    </w:p>
    <w:p w14:paraId="51B56C55" w14:textId="77777777" w:rsidR="00146C1C" w:rsidRDefault="00146C1C" w:rsidP="0001477B">
      <w:pPr>
        <w:pStyle w:val="paragraph"/>
        <w:spacing w:before="0" w:beforeAutospacing="0" w:after="0" w:afterAutospacing="0"/>
        <w:jc w:val="both"/>
        <w:textAlignment w:val="baseline"/>
        <w:rPr>
          <w:noProof/>
          <w:color w:val="000000" w:themeColor="text1"/>
          <w:u w:val="single"/>
        </w:rPr>
      </w:pPr>
    </w:p>
    <w:p w14:paraId="1A9199CB" w14:textId="498E98FA" w:rsidR="00CE5909" w:rsidRDefault="00146C1C" w:rsidP="0001477B">
      <w:pPr>
        <w:pStyle w:val="paragraph"/>
        <w:spacing w:before="0" w:beforeAutospacing="0" w:after="0" w:afterAutospacing="0"/>
        <w:jc w:val="both"/>
        <w:textAlignment w:val="baseline"/>
        <w:rPr>
          <w:rStyle w:val="eop"/>
          <w:noProof/>
        </w:rPr>
      </w:pPr>
      <w:r>
        <w:rPr>
          <w:rStyle w:val="eop"/>
          <w:noProof/>
        </w:rPr>
        <w:t>Cilj reforme je uspostava okvira za jačanje vještina radnika iz trećih zemalja u građevinskom sektoru. Reforma će se sastojati od razvoja i predstavljanja programa obrazovanja odraslih za strane radnike iz trećih zemalja, koji će obuhvaćati sadržaje vezane uz zelenu gradnju o upotrebi novih materijala, tehnika gradnje i instalaciji tehničkih sustava potrebnih za doprinos održivim praksama u građevinskoj industriji.</w:t>
      </w:r>
    </w:p>
    <w:p w14:paraId="3809CE00" w14:textId="5D0A88C1" w:rsidR="00146C1C" w:rsidRPr="009B56F2" w:rsidRDefault="00146C1C" w:rsidP="0001477B">
      <w:pPr>
        <w:pStyle w:val="paragraph"/>
        <w:spacing w:before="0" w:beforeAutospacing="0" w:after="0" w:afterAutospacing="0"/>
        <w:jc w:val="both"/>
        <w:textAlignment w:val="baseline"/>
        <w:rPr>
          <w:rStyle w:val="eop"/>
          <w:noProof/>
        </w:rPr>
      </w:pPr>
      <w:r>
        <w:rPr>
          <w:rStyle w:val="eop"/>
          <w:noProof/>
        </w:rPr>
        <w:t>. Program će se razviti u suradnji s Ministarstvom rada, mirovinskog sustava, obitelji i socijalne politike, obrazovnim ustanovama i socijalnim partnerima. Uspostavit će se suradnja između poslodavaca i ustanova za obrazovanje odraslih provedbom učenja temeljenog na radu, kao i internetsko obrazovanje za radnike iz trećih zemalja. U okviru mjere razvit će se i modul hrvatskoga jezika u građevinskoj struci i interkulturalni modul. U okviru Otvorenog dijaloga partnera Ministarstvo prostornoga uređenja, graditeljstva i državne imovine organizirat će interaktivnu radionicu kako bi se program predstavio tvrtkama u građevinskom sektoru koje zapošljavaju radnike iz trećih zemalja i ostalim relevantnim dionicima.</w:t>
      </w:r>
    </w:p>
    <w:p w14:paraId="6B3096A9" w14:textId="77777777" w:rsidR="00146C1C" w:rsidRPr="004931D3" w:rsidRDefault="00146C1C" w:rsidP="0001477B">
      <w:pPr>
        <w:pStyle w:val="paragraph"/>
        <w:spacing w:before="0" w:beforeAutospacing="0" w:after="0" w:afterAutospacing="0"/>
        <w:jc w:val="both"/>
        <w:textAlignment w:val="baseline"/>
        <w:rPr>
          <w:rStyle w:val="eop"/>
          <w:noProof/>
        </w:rPr>
      </w:pPr>
    </w:p>
    <w:p w14:paraId="4210C83B" w14:textId="12EDFFD3" w:rsidR="00146C1C" w:rsidRPr="004931D3" w:rsidRDefault="00146C1C" w:rsidP="0001477B">
      <w:pPr>
        <w:pStyle w:val="paragraph"/>
        <w:spacing w:before="0" w:beforeAutospacing="0" w:after="0" w:afterAutospacing="0"/>
        <w:jc w:val="both"/>
        <w:textAlignment w:val="baseline"/>
        <w:rPr>
          <w:bCs/>
          <w:noProof/>
          <w:color w:val="000000" w:themeColor="text1"/>
        </w:rPr>
      </w:pPr>
      <w:r>
        <w:rPr>
          <w:noProof/>
          <w:color w:val="000000" w:themeColor="text1"/>
        </w:rPr>
        <w:t>Provedba mjere bit će dovršena do 30. rujna 2025.</w:t>
      </w:r>
    </w:p>
    <w:p w14:paraId="18DE5C92" w14:textId="77777777" w:rsidR="00146C1C" w:rsidRDefault="00146C1C" w:rsidP="0001477B">
      <w:pPr>
        <w:pStyle w:val="paragraph"/>
        <w:spacing w:before="0" w:beforeAutospacing="0" w:after="0" w:afterAutospacing="0"/>
        <w:jc w:val="both"/>
        <w:textAlignment w:val="baseline"/>
        <w:rPr>
          <w:bCs/>
          <w:noProof/>
          <w:color w:val="000000" w:themeColor="text1"/>
          <w:u w:val="single"/>
        </w:rPr>
      </w:pPr>
    </w:p>
    <w:p w14:paraId="25921E6A" w14:textId="529ACD10" w:rsidR="00146C1C" w:rsidRPr="004931D3" w:rsidRDefault="00146C1C" w:rsidP="00146C1C">
      <w:pPr>
        <w:pStyle w:val="paragraph"/>
        <w:spacing w:before="0" w:beforeAutospacing="0" w:after="0" w:afterAutospacing="0"/>
        <w:ind w:firstLine="720"/>
        <w:jc w:val="both"/>
        <w:textAlignment w:val="baseline"/>
        <w:rPr>
          <w:noProof/>
          <w:color w:val="000000" w:themeColor="text1"/>
          <w:u w:val="single"/>
        </w:rPr>
      </w:pPr>
      <w:r>
        <w:rPr>
          <w:noProof/>
          <w:color w:val="000000" w:themeColor="text1"/>
          <w:u w:val="single"/>
        </w:rPr>
        <w:t>Ulaganje C7.2. I1 – Proširena mjera:</w:t>
      </w:r>
      <w:r>
        <w:rPr>
          <w:noProof/>
          <w:u w:val="single"/>
        </w:rPr>
        <w:t xml:space="preserve"> </w:t>
      </w:r>
      <w:r>
        <w:rPr>
          <w:noProof/>
          <w:color w:val="000000" w:themeColor="text1"/>
          <w:u w:val="single"/>
        </w:rPr>
        <w:t>Energetska obnova zgrada</w:t>
      </w:r>
    </w:p>
    <w:p w14:paraId="71A58605" w14:textId="77777777" w:rsidR="00146C1C" w:rsidRDefault="00146C1C" w:rsidP="0001477B">
      <w:pPr>
        <w:pStyle w:val="paragraph"/>
        <w:spacing w:before="0" w:beforeAutospacing="0" w:after="0" w:afterAutospacing="0"/>
        <w:jc w:val="both"/>
        <w:rPr>
          <w:noProof/>
          <w:color w:val="000000" w:themeColor="text1"/>
          <w:u w:val="single"/>
        </w:rPr>
      </w:pPr>
    </w:p>
    <w:p w14:paraId="761372E3" w14:textId="27E42B2A" w:rsidR="00146C1C" w:rsidRPr="007B02EF" w:rsidRDefault="00146C1C" w:rsidP="0001477B">
      <w:pPr>
        <w:pStyle w:val="paragraph"/>
        <w:spacing w:before="0" w:beforeAutospacing="0" w:after="0" w:afterAutospacing="0"/>
        <w:jc w:val="both"/>
        <w:rPr>
          <w:noProof/>
          <w:color w:val="000000" w:themeColor="text1"/>
        </w:rPr>
      </w:pPr>
      <w:r>
        <w:rPr>
          <w:noProof/>
          <w:color w:val="000000" w:themeColor="text1"/>
        </w:rPr>
        <w:t>Cilj je mjere proširenje ulaganja C6.1. R1-I1: Energetska obnova zgrada u okviru inicijative 6.1.: Obnova zgrada. Proširenim dijelom mjere povećat će se broj obnovljenih kvadratnih metara javnih i višestambenih zgrada za 365 517 odnosno 361 431. U javnim zgradama obnovljenima u okviru tog ulaganja ugradit će se najmanje 60 sustava obnovljivih izvora energije.</w:t>
      </w:r>
    </w:p>
    <w:p w14:paraId="632B5F15" w14:textId="77777777" w:rsidR="00146C1C" w:rsidRDefault="00146C1C" w:rsidP="0001477B">
      <w:pPr>
        <w:pStyle w:val="paragraph"/>
        <w:spacing w:before="0" w:beforeAutospacing="0" w:after="0" w:afterAutospacing="0"/>
        <w:jc w:val="both"/>
        <w:rPr>
          <w:noProof/>
          <w:color w:val="000000" w:themeColor="text1"/>
          <w:u w:val="single"/>
        </w:rPr>
      </w:pPr>
    </w:p>
    <w:p w14:paraId="11EB82C5" w14:textId="77777777" w:rsidR="00146C1C" w:rsidRPr="004931D3" w:rsidRDefault="00146C1C" w:rsidP="0001477B">
      <w:pPr>
        <w:spacing w:before="120" w:after="0"/>
        <w:jc w:val="both"/>
        <w:rPr>
          <w:rFonts w:ascii="Times New Roman" w:eastAsia="Times New Roman" w:hAnsi="Times New Roman" w:cs="Times New Roman"/>
          <w:noProof/>
          <w:sz w:val="24"/>
          <w:szCs w:val="24"/>
        </w:rPr>
      </w:pPr>
      <w:r>
        <w:rPr>
          <w:rFonts w:ascii="Times New Roman" w:hAnsi="Times New Roman"/>
          <w:noProof/>
          <w:sz w:val="24"/>
        </w:rPr>
        <w:t>Ulaganje će biti dovršeno do 30. lipnja 2026.</w:t>
      </w:r>
    </w:p>
    <w:p w14:paraId="130486C0" w14:textId="77777777" w:rsidR="00146C1C" w:rsidRPr="004931D3" w:rsidRDefault="00146C1C" w:rsidP="0001477B">
      <w:pPr>
        <w:pStyle w:val="paragraph"/>
        <w:spacing w:before="0" w:beforeAutospacing="0" w:after="0" w:afterAutospacing="0"/>
        <w:jc w:val="both"/>
        <w:textAlignment w:val="baseline"/>
        <w:rPr>
          <w:bCs/>
          <w:noProof/>
          <w:color w:val="000000" w:themeColor="text1"/>
        </w:rPr>
      </w:pPr>
    </w:p>
    <w:p w14:paraId="63CDC8C1" w14:textId="7ECE5358" w:rsidR="00146C1C" w:rsidRPr="004931D3" w:rsidRDefault="00146C1C" w:rsidP="008A7A53">
      <w:pPr>
        <w:pStyle w:val="paragraph"/>
        <w:spacing w:before="0" w:beforeAutospacing="0" w:after="0" w:afterAutospacing="0"/>
        <w:ind w:left="720"/>
        <w:jc w:val="both"/>
        <w:textAlignment w:val="baseline"/>
        <w:rPr>
          <w:bCs/>
          <w:noProof/>
          <w:color w:val="000000" w:themeColor="text1"/>
        </w:rPr>
      </w:pPr>
      <w:r>
        <w:rPr>
          <w:noProof/>
          <w:color w:val="000000" w:themeColor="text1"/>
          <w:u w:val="single"/>
        </w:rPr>
        <w:t>Ulaganje C7.2. I2 – Obnova zgrada oštećenih u potresu s energetskom obnovom</w:t>
      </w:r>
      <w:r>
        <w:rPr>
          <w:noProof/>
          <w:u w:val="single"/>
        </w:rPr>
        <w:t xml:space="preserve"> (preneseno ulaganje C6.1. R1-I2 iz već donesene Provedbene odluke Vijeća), uključujući prošireni dio</w:t>
      </w:r>
      <w:r>
        <w:rPr>
          <w:noProof/>
          <w:color w:val="000000" w:themeColor="text1"/>
          <w:u w:val="single"/>
        </w:rPr>
        <w:t xml:space="preserve"> </w:t>
      </w:r>
    </w:p>
    <w:p w14:paraId="689B7824" w14:textId="77777777" w:rsidR="00146C1C" w:rsidRDefault="00146C1C" w:rsidP="0001477B">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Cilj je ulaganja popraviti štetu koja je u potresima u 2020. nanesena višestambenim i javnim zgradama, kako bi se povećala seizmička otpornost zgrada i njihova energetska učinkovitost. Obnova zgrada do njihova izvornog stanja prije štete financira se iz Fonda solidarnosti EU-a, ako je primjenjivo, dok se razlika u odnosu na potpunu obnovu, uključujući povećanje energetske učinkovitosti zgrada i povećanje njihove seizmičke otpornosti (načelo bolje rekonstrukcije), financira ovim ulaganjem.  </w:t>
      </w:r>
    </w:p>
    <w:p w14:paraId="2F5CE9BA" w14:textId="1883F384" w:rsidR="00146C1C" w:rsidRDefault="00146C1C" w:rsidP="0001477B">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U javnim zgradama obnovljenima u okviru tog ulaganja ugradit će se najmanje 50 sustava obnovljivih izvora energije.</w:t>
      </w:r>
    </w:p>
    <w:p w14:paraId="1A7F4696" w14:textId="77777777" w:rsidR="00146C1C" w:rsidRDefault="00146C1C" w:rsidP="0001477B">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Očekuje se da to ulaganje ne nanosi bitnu štetu okolišnim ciljevima u smislu članka 17. Uredbe (EU) 2020/852, uzimajući u obzir opis mjere i korake ublažavanja utvrđene u planu za oporavak i otpornost u skladu s Tehničkim smjernicama za primjenu načela nenanošenja bitne štete (2021/C58/01). Konkretno, trošak ugradnje kondenzacijskih plinskih kotlova mora iznositi najviše 20 % ukupnog troška programa obnove, a kondenzacijski plinski kotlovi ugrađuju se kako bi se zamijenili kotlovi na bazi ugljena i loživog ulja. Sve obnovljene zgrade (osim zgrada sa statusom kulturnog dobra) moraju postići smanjenje potrošnje energije za grijanje od najmanje 50 % u odnosu na godišnju potrošnju energije za grijanje prije obnove, što odgovara najmanje 30 %-tnom povećanju uštede energije u odnosu na stanje prije obnove.  </w:t>
      </w:r>
    </w:p>
    <w:p w14:paraId="1FC39CF2" w14:textId="10FBA822" w:rsidR="00146C1C" w:rsidRDefault="00146C1C" w:rsidP="0001477B">
      <w:pPr>
        <w:spacing w:before="120" w:after="120"/>
        <w:jc w:val="both"/>
        <w:rPr>
          <w:noProof/>
        </w:rPr>
      </w:pPr>
      <w:r>
        <w:rPr>
          <w:rFonts w:ascii="Times New Roman" w:hAnsi="Times New Roman"/>
          <w:noProof/>
          <w:sz w:val="24"/>
        </w:rPr>
        <w:t>Proširenim dijelom ulaganja povećat će se broj obnovljenih kvadratnih metara javnih i višestambenih zgrada za 322 495 odnosno 33 350.</w:t>
      </w:r>
    </w:p>
    <w:p w14:paraId="2E68A916" w14:textId="77777777" w:rsidR="00146C1C" w:rsidRDefault="00146C1C" w:rsidP="0001477B">
      <w:pPr>
        <w:spacing w:before="120" w:after="120"/>
        <w:jc w:val="both"/>
        <w:rPr>
          <w:noProof/>
        </w:rPr>
      </w:pPr>
      <w:r>
        <w:rPr>
          <w:rFonts w:ascii="Times New Roman" w:hAnsi="Times New Roman"/>
          <w:noProof/>
          <w:sz w:val="24"/>
        </w:rPr>
        <w:t>Ulaganje će biti provedeno do 30. lipnja 2026.</w:t>
      </w:r>
    </w:p>
    <w:p w14:paraId="002B7B2D" w14:textId="77777777" w:rsidR="00146C1C" w:rsidRPr="004931D3" w:rsidRDefault="00146C1C" w:rsidP="0001477B">
      <w:pPr>
        <w:pStyle w:val="paragraph"/>
        <w:spacing w:before="0" w:beforeAutospacing="0" w:after="0" w:afterAutospacing="0"/>
        <w:jc w:val="both"/>
        <w:textAlignment w:val="baseline"/>
        <w:rPr>
          <w:bCs/>
          <w:noProof/>
          <w:color w:val="000000" w:themeColor="text1"/>
        </w:rPr>
      </w:pPr>
    </w:p>
    <w:p w14:paraId="1F211A15" w14:textId="77777777" w:rsidR="00146C1C" w:rsidRPr="004931D3" w:rsidRDefault="00146C1C" w:rsidP="0001477B">
      <w:pPr>
        <w:pStyle w:val="paragraph"/>
        <w:spacing w:before="0" w:beforeAutospacing="0" w:after="0" w:afterAutospacing="0"/>
        <w:jc w:val="both"/>
        <w:textAlignment w:val="baseline"/>
        <w:rPr>
          <w:rFonts w:ascii="Segoe UI" w:hAnsi="Segoe UI" w:cs="Segoe UI"/>
          <w:noProof/>
          <w:sz w:val="18"/>
          <w:szCs w:val="18"/>
        </w:rPr>
      </w:pPr>
    </w:p>
    <w:p w14:paraId="53F25BF7" w14:textId="77777777" w:rsidR="00146C1C" w:rsidRPr="004931D3" w:rsidRDefault="00146C1C" w:rsidP="0001477B">
      <w:pPr>
        <w:pStyle w:val="paragraph"/>
        <w:spacing w:before="0" w:beforeAutospacing="0" w:after="0" w:afterAutospacing="0"/>
        <w:jc w:val="both"/>
        <w:textAlignment w:val="baseline"/>
        <w:rPr>
          <w:rStyle w:val="normaltextrun"/>
          <w:b/>
          <w:bCs/>
          <w:noProof/>
        </w:rPr>
        <w:sectPr w:rsidR="00146C1C" w:rsidRPr="004931D3" w:rsidSect="0001477B">
          <w:headerReference w:type="even" r:id="rId438"/>
          <w:headerReference w:type="default" r:id="rId439"/>
          <w:footerReference w:type="even" r:id="rId440"/>
          <w:footerReference w:type="default" r:id="rId441"/>
          <w:headerReference w:type="first" r:id="rId442"/>
          <w:footerReference w:type="first" r:id="rId443"/>
          <w:pgSz w:w="12240" w:h="15840"/>
          <w:pgMar w:top="1440" w:right="1440" w:bottom="1440" w:left="1440" w:header="708" w:footer="708" w:gutter="0"/>
          <w:cols w:space="708"/>
          <w:docGrid w:linePitch="360"/>
        </w:sectPr>
      </w:pPr>
    </w:p>
    <w:p w14:paraId="13BEEDC5" w14:textId="48A7561C" w:rsidR="00146C1C" w:rsidRPr="004931D3" w:rsidRDefault="009C2121" w:rsidP="0001477B">
      <w:pPr>
        <w:pStyle w:val="paragraph"/>
        <w:spacing w:before="0" w:beforeAutospacing="0" w:after="0" w:afterAutospacing="0"/>
        <w:jc w:val="both"/>
        <w:textAlignment w:val="baseline"/>
        <w:rPr>
          <w:rFonts w:ascii="Segoe UI" w:hAnsi="Segoe UI" w:cs="Segoe UI"/>
          <w:noProof/>
          <w:sz w:val="18"/>
          <w:szCs w:val="18"/>
        </w:rPr>
      </w:pPr>
      <w:r>
        <w:rPr>
          <w:rStyle w:val="normaltextrun"/>
          <w:b/>
          <w:noProof/>
        </w:rPr>
        <w:t xml:space="preserve">X.4. </w:t>
      </w:r>
      <w:r>
        <w:rPr>
          <w:rStyle w:val="tabchar"/>
          <w:rFonts w:ascii="Calibri" w:hAnsi="Calibri"/>
          <w:noProof/>
        </w:rPr>
        <w:tab/>
      </w:r>
      <w:r>
        <w:rPr>
          <w:rStyle w:val="normaltextrun"/>
          <w:b/>
          <w:noProof/>
        </w:rPr>
        <w:t>Ključne etape, ciljne vrijednosti, pokazatelji i vremenski raspored za praćenje i provedbu za zajam </w:t>
      </w:r>
      <w:r>
        <w:rPr>
          <w:rStyle w:val="eop"/>
          <w:noProof/>
        </w:rPr>
        <w:t> </w:t>
      </w:r>
    </w:p>
    <w:p w14:paraId="0AB8B3C3" w14:textId="77777777" w:rsidR="00146C1C" w:rsidRPr="004931D3" w:rsidRDefault="00146C1C" w:rsidP="0001477B">
      <w:pPr>
        <w:pStyle w:val="paragraph"/>
        <w:spacing w:before="0" w:beforeAutospacing="0" w:after="0" w:afterAutospacing="0"/>
        <w:jc w:val="both"/>
        <w:textAlignment w:val="baseline"/>
        <w:rPr>
          <w:rStyle w:val="eop"/>
          <w:noProof/>
          <w:color w:val="4F81BD"/>
        </w:rPr>
      </w:pPr>
    </w:p>
    <w:tbl>
      <w:tblPr>
        <w:tblW w:w="14891" w:type="dxa"/>
        <w:jc w:val="center"/>
        <w:tblLayout w:type="fixed"/>
        <w:tblCellMar>
          <w:top w:w="28" w:type="dxa"/>
          <w:left w:w="28" w:type="dxa"/>
          <w:bottom w:w="28" w:type="dxa"/>
          <w:right w:w="28" w:type="dxa"/>
        </w:tblCellMar>
        <w:tblLook w:val="04A0" w:firstRow="1" w:lastRow="0" w:firstColumn="1" w:lastColumn="0" w:noHBand="0" w:noVBand="1"/>
      </w:tblPr>
      <w:tblGrid>
        <w:gridCol w:w="715"/>
        <w:gridCol w:w="993"/>
        <w:gridCol w:w="851"/>
        <w:gridCol w:w="2551"/>
        <w:gridCol w:w="2052"/>
        <w:gridCol w:w="923"/>
        <w:gridCol w:w="826"/>
        <w:gridCol w:w="802"/>
        <w:gridCol w:w="567"/>
        <w:gridCol w:w="709"/>
        <w:gridCol w:w="3902"/>
      </w:tblGrid>
      <w:tr w:rsidR="00D122E3" w:rsidRPr="004931D3" w14:paraId="094A8FB0" w14:textId="77777777" w:rsidTr="00CF6A27">
        <w:trPr>
          <w:tblHeader/>
          <w:jc w:val="center"/>
        </w:trPr>
        <w:tc>
          <w:tcPr>
            <w:tcW w:w="7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D4EDB2" w14:textId="77777777" w:rsidR="00146C1C" w:rsidRPr="004931D3" w:rsidRDefault="00146C1C" w:rsidP="003E6AF4">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Broj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AFA5CD" w14:textId="77777777" w:rsidR="00146C1C" w:rsidRPr="004931D3" w:rsidRDefault="00146C1C" w:rsidP="003E6AF4">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Mjera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785EBF" w14:textId="77777777" w:rsidR="00146C1C" w:rsidRPr="004931D3" w:rsidRDefault="00146C1C" w:rsidP="003E6AF4">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Ključna etapa / ciljna vrijednost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D7A4D9" w14:textId="77777777" w:rsidR="00146C1C" w:rsidRPr="004931D3" w:rsidRDefault="00146C1C" w:rsidP="003E6AF4">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Naziv</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DBDC0B" w14:textId="77777777" w:rsidR="00146C1C" w:rsidRPr="004931D3" w:rsidRDefault="00146C1C" w:rsidP="003E6AF4">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Kvalitativni pokazatelji </w:t>
            </w:r>
            <w:r>
              <w:rPr>
                <w:rFonts w:ascii="Calibri" w:hAnsi="Calibri"/>
                <w:noProof/>
              </w:rPr>
              <w:br/>
            </w:r>
            <w:r>
              <w:rPr>
                <w:rFonts w:ascii="Times New Roman" w:hAnsi="Times New Roman"/>
                <w:b/>
                <w:noProof/>
                <w:sz w:val="18"/>
              </w:rPr>
              <w:t>(za ključne etape)</w:t>
            </w:r>
          </w:p>
        </w:tc>
        <w:tc>
          <w:tcPr>
            <w:tcW w:w="2551"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6956936"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Kvantitativni pokazatelji </w:t>
            </w:r>
            <w:r>
              <w:rPr>
                <w:rFonts w:ascii="Calibri" w:hAnsi="Calibri"/>
                <w:noProof/>
              </w:rPr>
              <w:br/>
            </w:r>
            <w:r>
              <w:rPr>
                <w:rFonts w:ascii="Times New Roman" w:hAnsi="Times New Roman"/>
                <w:b/>
                <w:noProof/>
                <w:sz w:val="18"/>
              </w:rPr>
              <w:t>(za ciljne vrijednosti)</w:t>
            </w:r>
          </w:p>
        </w:tc>
        <w:tc>
          <w:tcPr>
            <w:tcW w:w="1276" w:type="dxa"/>
            <w:gridSpan w:val="2"/>
            <w:tcBorders>
              <w:top w:val="single" w:sz="4" w:space="0" w:color="auto"/>
              <w:left w:val="nil"/>
              <w:bottom w:val="single" w:sz="4" w:space="0" w:color="auto"/>
              <w:right w:val="single" w:sz="4" w:space="0" w:color="auto"/>
            </w:tcBorders>
            <w:shd w:val="clear" w:color="auto" w:fill="BDD7EE"/>
            <w:hideMark/>
          </w:tcPr>
          <w:p w14:paraId="0CF226F2"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Vrijeme</w:t>
            </w:r>
          </w:p>
        </w:tc>
        <w:tc>
          <w:tcPr>
            <w:tcW w:w="39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CCBBB9" w14:textId="77777777" w:rsidR="00146C1C" w:rsidRPr="004931D3" w:rsidRDefault="00146C1C" w:rsidP="003E6AF4">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Opis svake ključne etape i ciljne vrijednosti</w:t>
            </w:r>
          </w:p>
        </w:tc>
      </w:tr>
      <w:tr w:rsidR="00D122E3" w:rsidRPr="004931D3" w14:paraId="3B16269C" w14:textId="77777777" w:rsidTr="00CF6A27">
        <w:trPr>
          <w:tblHeader/>
          <w:jc w:val="center"/>
        </w:trPr>
        <w:tc>
          <w:tcPr>
            <w:tcW w:w="715" w:type="dxa"/>
            <w:vMerge/>
            <w:tcBorders>
              <w:top w:val="single" w:sz="4" w:space="0" w:color="auto"/>
              <w:left w:val="single" w:sz="4" w:space="0" w:color="auto"/>
              <w:bottom w:val="single" w:sz="4" w:space="0" w:color="auto"/>
              <w:right w:val="single" w:sz="4" w:space="0" w:color="auto"/>
            </w:tcBorders>
            <w:hideMark/>
          </w:tcPr>
          <w:p w14:paraId="0C77007F"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auto"/>
              <w:right w:val="single" w:sz="4" w:space="0" w:color="auto"/>
            </w:tcBorders>
            <w:hideMark/>
          </w:tcPr>
          <w:p w14:paraId="4C5ACC65"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851" w:type="dxa"/>
            <w:vMerge/>
            <w:tcBorders>
              <w:top w:val="single" w:sz="4" w:space="0" w:color="auto"/>
              <w:left w:val="single" w:sz="4" w:space="0" w:color="auto"/>
              <w:bottom w:val="single" w:sz="4" w:space="0" w:color="auto"/>
              <w:right w:val="single" w:sz="4" w:space="0" w:color="auto"/>
            </w:tcBorders>
            <w:hideMark/>
          </w:tcPr>
          <w:p w14:paraId="52602ABD" w14:textId="77777777" w:rsidR="00146C1C" w:rsidRPr="00BC0323" w:rsidRDefault="00146C1C" w:rsidP="0001477B">
            <w:pPr>
              <w:spacing w:after="0" w:line="276" w:lineRule="auto"/>
              <w:jc w:val="center"/>
              <w:rPr>
                <w:rFonts w:ascii="Times New Roman" w:eastAsia="Times New Roman" w:hAnsi="Times New Roman" w:cs="Times New Roman"/>
                <w:b/>
                <w:noProof/>
                <w:lang w:eastAsia="en-GB"/>
              </w:rPr>
            </w:pPr>
          </w:p>
        </w:tc>
        <w:tc>
          <w:tcPr>
            <w:tcW w:w="2551" w:type="dxa"/>
            <w:vMerge/>
            <w:tcBorders>
              <w:top w:val="single" w:sz="4" w:space="0" w:color="auto"/>
              <w:left w:val="single" w:sz="4" w:space="0" w:color="auto"/>
              <w:bottom w:val="single" w:sz="4" w:space="0" w:color="auto"/>
              <w:right w:val="single" w:sz="4" w:space="0" w:color="auto"/>
            </w:tcBorders>
            <w:hideMark/>
          </w:tcPr>
          <w:p w14:paraId="4E546BA7"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2052" w:type="dxa"/>
            <w:vMerge/>
            <w:tcBorders>
              <w:top w:val="single" w:sz="4" w:space="0" w:color="auto"/>
              <w:left w:val="single" w:sz="4" w:space="0" w:color="auto"/>
              <w:bottom w:val="single" w:sz="4" w:space="0" w:color="auto"/>
              <w:right w:val="single" w:sz="4" w:space="0" w:color="auto"/>
            </w:tcBorders>
            <w:hideMark/>
          </w:tcPr>
          <w:p w14:paraId="17B2BB17" w14:textId="77777777" w:rsidR="00146C1C" w:rsidRPr="00BC0323" w:rsidRDefault="00146C1C" w:rsidP="0001477B">
            <w:pPr>
              <w:spacing w:after="0" w:line="276" w:lineRule="auto"/>
              <w:rPr>
                <w:rFonts w:ascii="Times New Roman" w:eastAsia="Times New Roman" w:hAnsi="Times New Roman" w:cs="Times New Roman"/>
                <w:b/>
                <w:noProof/>
                <w:lang w:eastAsia="en-GB"/>
              </w:rPr>
            </w:pPr>
          </w:p>
        </w:tc>
        <w:tc>
          <w:tcPr>
            <w:tcW w:w="923" w:type="dxa"/>
            <w:tcBorders>
              <w:top w:val="nil"/>
              <w:left w:val="single" w:sz="4" w:space="0" w:color="auto"/>
              <w:bottom w:val="single" w:sz="4" w:space="0" w:color="auto"/>
              <w:right w:val="single" w:sz="4" w:space="0" w:color="auto"/>
            </w:tcBorders>
            <w:shd w:val="clear" w:color="auto" w:fill="BDD7EE"/>
            <w:hideMark/>
          </w:tcPr>
          <w:p w14:paraId="3EC01787"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Jedinica</w:t>
            </w:r>
          </w:p>
        </w:tc>
        <w:tc>
          <w:tcPr>
            <w:tcW w:w="826" w:type="dxa"/>
            <w:tcBorders>
              <w:top w:val="nil"/>
              <w:left w:val="nil"/>
              <w:bottom w:val="single" w:sz="4" w:space="0" w:color="auto"/>
              <w:right w:val="single" w:sz="4" w:space="0" w:color="auto"/>
            </w:tcBorders>
            <w:shd w:val="clear" w:color="auto" w:fill="BDD7EE"/>
            <w:hideMark/>
          </w:tcPr>
          <w:p w14:paraId="6A537C65"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Osnovna vrijednost</w:t>
            </w:r>
          </w:p>
        </w:tc>
        <w:tc>
          <w:tcPr>
            <w:tcW w:w="802" w:type="dxa"/>
            <w:tcBorders>
              <w:top w:val="nil"/>
              <w:left w:val="nil"/>
              <w:bottom w:val="single" w:sz="4" w:space="0" w:color="auto"/>
              <w:right w:val="single" w:sz="4" w:space="0" w:color="auto"/>
            </w:tcBorders>
            <w:shd w:val="clear" w:color="auto" w:fill="BDD7EE"/>
            <w:hideMark/>
          </w:tcPr>
          <w:p w14:paraId="1FD80D2E"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Cilj</w:t>
            </w:r>
          </w:p>
        </w:tc>
        <w:tc>
          <w:tcPr>
            <w:tcW w:w="567" w:type="dxa"/>
            <w:tcBorders>
              <w:top w:val="nil"/>
              <w:left w:val="nil"/>
              <w:bottom w:val="single" w:sz="4" w:space="0" w:color="auto"/>
              <w:right w:val="single" w:sz="4" w:space="0" w:color="auto"/>
            </w:tcBorders>
            <w:shd w:val="clear" w:color="auto" w:fill="BDD7EE"/>
            <w:hideMark/>
          </w:tcPr>
          <w:p w14:paraId="3E7E530F"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Q</w:t>
            </w:r>
          </w:p>
        </w:tc>
        <w:tc>
          <w:tcPr>
            <w:tcW w:w="709" w:type="dxa"/>
            <w:tcBorders>
              <w:top w:val="nil"/>
              <w:left w:val="nil"/>
              <w:bottom w:val="single" w:sz="4" w:space="0" w:color="auto"/>
              <w:right w:val="single" w:sz="4" w:space="0" w:color="auto"/>
            </w:tcBorders>
            <w:shd w:val="clear" w:color="auto" w:fill="BDD7EE"/>
            <w:hideMark/>
          </w:tcPr>
          <w:p w14:paraId="0F454CE1" w14:textId="77777777" w:rsidR="00146C1C" w:rsidRPr="004931D3" w:rsidRDefault="00146C1C" w:rsidP="0001477B">
            <w:pPr>
              <w:spacing w:after="0" w:line="276" w:lineRule="auto"/>
              <w:jc w:val="center"/>
              <w:rPr>
                <w:rFonts w:ascii="Times New Roman" w:eastAsia="Times New Roman" w:hAnsi="Times New Roman" w:cs="Times New Roman"/>
                <w:b/>
                <w:bCs/>
                <w:noProof/>
                <w:sz w:val="18"/>
                <w:szCs w:val="18"/>
              </w:rPr>
            </w:pPr>
            <w:r>
              <w:rPr>
                <w:rFonts w:ascii="Times New Roman" w:hAnsi="Times New Roman"/>
                <w:b/>
                <w:noProof/>
                <w:sz w:val="18"/>
              </w:rPr>
              <w:t>Godina</w:t>
            </w:r>
          </w:p>
        </w:tc>
        <w:tc>
          <w:tcPr>
            <w:tcW w:w="3902" w:type="dxa"/>
            <w:vMerge/>
            <w:tcBorders>
              <w:top w:val="single" w:sz="4" w:space="0" w:color="auto"/>
              <w:bottom w:val="single" w:sz="4" w:space="0" w:color="auto"/>
              <w:right w:val="single" w:sz="4" w:space="0" w:color="auto"/>
            </w:tcBorders>
            <w:hideMark/>
          </w:tcPr>
          <w:p w14:paraId="70A312D3" w14:textId="77777777" w:rsidR="00146C1C" w:rsidRPr="004931D3" w:rsidRDefault="00146C1C" w:rsidP="0001477B">
            <w:pPr>
              <w:spacing w:after="0" w:line="276" w:lineRule="auto"/>
              <w:rPr>
                <w:rFonts w:ascii="Times New Roman" w:eastAsia="Times New Roman" w:hAnsi="Times New Roman" w:cs="Times New Roman"/>
                <w:b/>
                <w:noProof/>
                <w:lang w:val="en-IE" w:eastAsia="en-GB"/>
              </w:rPr>
            </w:pPr>
          </w:p>
        </w:tc>
      </w:tr>
      <w:tr w:rsidR="009B103F" w:rsidRPr="00AC583C" w14:paraId="12A05E17" w14:textId="77777777" w:rsidTr="00CF6A2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5BD3EF2F" w14:textId="4D52D13A" w:rsidR="00146C1C" w:rsidRPr="00AC583C" w:rsidRDefault="00F46316" w:rsidP="0001477B">
            <w:pPr>
              <w:spacing w:after="0" w:line="276" w:lineRule="auto"/>
              <w:jc w:val="center"/>
              <w:rPr>
                <w:rFonts w:eastAsia="Calibri" w:cstheme="minorHAnsi"/>
                <w:noProof/>
                <w:sz w:val="20"/>
                <w:szCs w:val="20"/>
              </w:rPr>
            </w:pPr>
            <w:r>
              <w:rPr>
                <w:noProof/>
                <w:sz w:val="20"/>
              </w:rPr>
              <w:t>432</w:t>
            </w:r>
          </w:p>
          <w:p w14:paraId="6C8BC6F9" w14:textId="77777777" w:rsidR="00146C1C" w:rsidRPr="00C660D5" w:rsidRDefault="00146C1C" w:rsidP="0001477B">
            <w:pPr>
              <w:spacing w:after="0" w:line="276" w:lineRule="auto"/>
              <w:jc w:val="center"/>
              <w:rPr>
                <w:rFonts w:cstheme="minorHAnsi"/>
                <w:noProof/>
                <w:sz w:val="20"/>
                <w:szCs w:val="20"/>
                <w:lang w:val="en-IE"/>
              </w:rPr>
            </w:pPr>
          </w:p>
        </w:tc>
        <w:tc>
          <w:tcPr>
            <w:tcW w:w="993" w:type="dxa"/>
            <w:tcBorders>
              <w:top w:val="single" w:sz="4" w:space="0" w:color="auto"/>
              <w:left w:val="nil"/>
              <w:bottom w:val="single" w:sz="4" w:space="0" w:color="auto"/>
              <w:right w:val="single" w:sz="4" w:space="0" w:color="auto"/>
            </w:tcBorders>
            <w:shd w:val="clear" w:color="auto" w:fill="C6EFCE"/>
            <w:noWrap/>
          </w:tcPr>
          <w:p w14:paraId="495D23AF" w14:textId="23F59318" w:rsidR="00146C1C" w:rsidRPr="00C660D5"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C7.2. R3</w:t>
            </w:r>
          </w:p>
        </w:tc>
        <w:tc>
          <w:tcPr>
            <w:tcW w:w="851" w:type="dxa"/>
            <w:tcBorders>
              <w:top w:val="single" w:sz="4" w:space="0" w:color="auto"/>
              <w:left w:val="nil"/>
              <w:bottom w:val="single" w:sz="4" w:space="0" w:color="auto"/>
              <w:right w:val="single" w:sz="4" w:space="0" w:color="auto"/>
            </w:tcBorders>
            <w:shd w:val="clear" w:color="auto" w:fill="C6EFCE"/>
            <w:noWrap/>
          </w:tcPr>
          <w:p w14:paraId="152ED9B4" w14:textId="77777777" w:rsidR="00146C1C" w:rsidRPr="00AC583C" w:rsidRDefault="00146C1C" w:rsidP="0001477B">
            <w:pPr>
              <w:spacing w:after="200" w:line="276" w:lineRule="auto"/>
              <w:jc w:val="center"/>
              <w:rPr>
                <w:rFonts w:eastAsia="Calibri" w:cstheme="minorHAnsi"/>
                <w:noProof/>
                <w:sz w:val="20"/>
                <w:szCs w:val="20"/>
              </w:rPr>
            </w:pPr>
            <w:r>
              <w:rPr>
                <w:noProof/>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41627BCC" w14:textId="77777777" w:rsidR="00146C1C" w:rsidRPr="00AC583C" w:rsidRDefault="00146C1C" w:rsidP="0001477B">
            <w:pPr>
              <w:spacing w:after="200" w:line="276" w:lineRule="auto"/>
              <w:rPr>
                <w:rFonts w:eastAsia="Calibri" w:cstheme="minorHAnsi"/>
                <w:noProof/>
                <w:sz w:val="20"/>
                <w:szCs w:val="20"/>
              </w:rPr>
            </w:pPr>
            <w:r>
              <w:rPr>
                <w:noProof/>
                <w:sz w:val="20"/>
              </w:rPr>
              <w:t>Provedba pilot-projekata utvrđenih u strategiji zelene urbane obnove i povezanih s nacionalnim programima o zelenoj infrastrukturi i kružnom gospodarenju prostorom i zgradama</w:t>
            </w:r>
          </w:p>
        </w:tc>
        <w:tc>
          <w:tcPr>
            <w:tcW w:w="2052" w:type="dxa"/>
            <w:tcBorders>
              <w:top w:val="single" w:sz="4" w:space="0" w:color="auto"/>
              <w:left w:val="nil"/>
              <w:bottom w:val="single" w:sz="4" w:space="0" w:color="auto"/>
              <w:right w:val="single" w:sz="4" w:space="0" w:color="auto"/>
            </w:tcBorders>
            <w:shd w:val="clear" w:color="auto" w:fill="C6EFCE"/>
            <w:noWrap/>
          </w:tcPr>
          <w:p w14:paraId="7A341DCB" w14:textId="77777777" w:rsidR="00146C1C" w:rsidRPr="00BC0323" w:rsidRDefault="00146C1C" w:rsidP="0001477B">
            <w:pPr>
              <w:spacing w:after="200" w:line="276" w:lineRule="auto"/>
              <w:rPr>
                <w:rFonts w:eastAsia="Calibri" w:cstheme="minorHAnsi"/>
                <w:noProof/>
                <w:sz w:val="20"/>
                <w:szCs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3C67E909" w14:textId="77777777" w:rsidR="00146C1C" w:rsidRPr="00AC583C" w:rsidRDefault="00146C1C" w:rsidP="0001477B">
            <w:pPr>
              <w:spacing w:after="200" w:line="276" w:lineRule="auto"/>
              <w:jc w:val="center"/>
              <w:rPr>
                <w:rFonts w:eastAsia="Calibri" w:cstheme="minorHAnsi"/>
                <w:noProof/>
                <w:sz w:val="20"/>
                <w:szCs w:val="20"/>
              </w:rPr>
            </w:pPr>
            <w:r>
              <w:rPr>
                <w:noProof/>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7963D482" w14:textId="77777777" w:rsidR="00146C1C" w:rsidRPr="00AC583C" w:rsidRDefault="00146C1C" w:rsidP="0001477B">
            <w:pPr>
              <w:spacing w:after="200"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05DC820E" w14:textId="77777777" w:rsidR="00146C1C" w:rsidRPr="00AC583C" w:rsidRDefault="00146C1C" w:rsidP="0001477B">
            <w:pPr>
              <w:spacing w:after="200" w:line="276" w:lineRule="auto"/>
              <w:jc w:val="center"/>
              <w:rPr>
                <w:rFonts w:eastAsia="Calibri" w:cstheme="minorHAnsi"/>
                <w:noProof/>
                <w:sz w:val="20"/>
                <w:szCs w:val="20"/>
                <w:highlight w:val="yellow"/>
              </w:rPr>
            </w:pPr>
            <w:r>
              <w:rPr>
                <w:noProof/>
                <w:sz w:val="20"/>
              </w:rPr>
              <w:t>4</w:t>
            </w:r>
          </w:p>
        </w:tc>
        <w:tc>
          <w:tcPr>
            <w:tcW w:w="567" w:type="dxa"/>
            <w:tcBorders>
              <w:top w:val="single" w:sz="4" w:space="0" w:color="auto"/>
              <w:left w:val="nil"/>
              <w:bottom w:val="single" w:sz="4" w:space="0" w:color="auto"/>
              <w:right w:val="single" w:sz="4" w:space="0" w:color="auto"/>
            </w:tcBorders>
            <w:shd w:val="clear" w:color="auto" w:fill="C6EFCE"/>
            <w:noWrap/>
          </w:tcPr>
          <w:p w14:paraId="77760C41" w14:textId="77777777" w:rsidR="00146C1C" w:rsidRPr="00AC583C" w:rsidRDefault="00146C1C" w:rsidP="0001477B">
            <w:pPr>
              <w:spacing w:after="200" w:line="276" w:lineRule="auto"/>
              <w:jc w:val="center"/>
              <w:rPr>
                <w:rFonts w:eastAsia="Calibri" w:cstheme="minorHAnsi"/>
                <w:noProof/>
                <w:sz w:val="20"/>
                <w:szCs w:val="20"/>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06C10A29" w14:textId="77777777" w:rsidR="00146C1C" w:rsidRPr="00AC583C" w:rsidRDefault="00146C1C" w:rsidP="0001477B">
            <w:pPr>
              <w:spacing w:after="200" w:line="276" w:lineRule="auto"/>
              <w:jc w:val="center"/>
              <w:rPr>
                <w:rFonts w:eastAsia="Calibri" w:cstheme="minorHAnsi"/>
                <w:noProof/>
                <w:sz w:val="20"/>
                <w:szCs w:val="20"/>
              </w:rPr>
            </w:pPr>
            <w:r>
              <w:rPr>
                <w:noProof/>
                <w:sz w:val="20"/>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36AF73C7" w14:textId="77777777" w:rsidR="00146C1C" w:rsidRPr="00AC583C" w:rsidRDefault="00146C1C" w:rsidP="0001477B">
            <w:pPr>
              <w:rPr>
                <w:rFonts w:cstheme="minorHAnsi"/>
                <w:noProof/>
                <w:sz w:val="20"/>
                <w:szCs w:val="20"/>
              </w:rPr>
            </w:pPr>
            <w:r>
              <w:rPr>
                <w:noProof/>
                <w:sz w:val="20"/>
              </w:rPr>
              <w:t>Provedba najmanje četiri pilot-projekta utvrđena u strategiji zelene urbane obnove i povezana s nacionalnim programima o zelenoj infrastrukturi i kružnom gospodarenju prostorom i zgradama.</w:t>
            </w:r>
          </w:p>
          <w:p w14:paraId="03F96B91" w14:textId="77777777" w:rsidR="00146C1C" w:rsidRPr="00BC0323" w:rsidRDefault="00146C1C" w:rsidP="0001477B">
            <w:pPr>
              <w:spacing w:after="200" w:line="276" w:lineRule="auto"/>
              <w:rPr>
                <w:rFonts w:eastAsia="Calibri" w:cstheme="minorHAnsi"/>
                <w:noProof/>
                <w:color w:val="000000"/>
                <w:sz w:val="20"/>
                <w:szCs w:val="20"/>
                <w:highlight w:val="yellow"/>
              </w:rPr>
            </w:pPr>
          </w:p>
        </w:tc>
      </w:tr>
      <w:tr w:rsidR="009B103F" w:rsidRPr="00AC583C" w14:paraId="3F353F7B" w14:textId="77777777" w:rsidTr="007C7D10">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2D46459D" w14:textId="3CD2E150" w:rsidR="00146C1C" w:rsidRPr="00C660D5" w:rsidRDefault="00F46316" w:rsidP="0001477B">
            <w:pPr>
              <w:spacing w:after="0" w:line="276" w:lineRule="auto"/>
              <w:jc w:val="center"/>
              <w:rPr>
                <w:rFonts w:cstheme="minorHAnsi"/>
                <w:noProof/>
                <w:sz w:val="20"/>
                <w:szCs w:val="20"/>
              </w:rPr>
            </w:pPr>
            <w:r>
              <w:rPr>
                <w:noProof/>
                <w:sz w:val="20"/>
              </w:rPr>
              <w:t>433</w:t>
            </w:r>
          </w:p>
          <w:p w14:paraId="7BE966C8" w14:textId="77777777" w:rsidR="00146C1C" w:rsidRPr="00C660D5" w:rsidRDefault="00146C1C" w:rsidP="0001477B">
            <w:pPr>
              <w:spacing w:after="0" w:line="276" w:lineRule="auto"/>
              <w:jc w:val="center"/>
              <w:rPr>
                <w:rFonts w:cstheme="minorHAnsi"/>
                <w:noProof/>
                <w:sz w:val="20"/>
                <w:szCs w:val="20"/>
                <w:lang w:val="en-IE"/>
              </w:rPr>
            </w:pPr>
          </w:p>
        </w:tc>
        <w:tc>
          <w:tcPr>
            <w:tcW w:w="993" w:type="dxa"/>
            <w:tcBorders>
              <w:top w:val="single" w:sz="4" w:space="0" w:color="auto"/>
              <w:left w:val="nil"/>
              <w:bottom w:val="single" w:sz="4" w:space="0" w:color="auto"/>
              <w:right w:val="single" w:sz="4" w:space="0" w:color="auto"/>
            </w:tcBorders>
            <w:shd w:val="clear" w:color="auto" w:fill="C6EFCE"/>
            <w:noWrap/>
          </w:tcPr>
          <w:p w14:paraId="44190330" w14:textId="60309614" w:rsidR="00146C1C" w:rsidRPr="00C660D5"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C7.2. R4</w:t>
            </w:r>
          </w:p>
          <w:p w14:paraId="0E9C1E15" w14:textId="77777777" w:rsidR="00146C1C" w:rsidRPr="00C660D5" w:rsidRDefault="00146C1C" w:rsidP="0001477B">
            <w:pPr>
              <w:spacing w:after="200" w:line="276" w:lineRule="auto"/>
              <w:jc w:val="center"/>
              <w:rPr>
                <w:rFonts w:cstheme="minorHAnsi"/>
                <w:noProof/>
                <w:color w:val="000000" w:themeColor="text1"/>
                <w:sz w:val="20"/>
                <w:szCs w:val="20"/>
                <w:u w:val="single"/>
                <w:lang w:val="en-IE"/>
              </w:rPr>
            </w:pPr>
          </w:p>
        </w:tc>
        <w:tc>
          <w:tcPr>
            <w:tcW w:w="851" w:type="dxa"/>
            <w:tcBorders>
              <w:top w:val="single" w:sz="4" w:space="0" w:color="auto"/>
              <w:left w:val="nil"/>
              <w:bottom w:val="single" w:sz="4" w:space="0" w:color="auto"/>
              <w:right w:val="single" w:sz="4" w:space="0" w:color="auto"/>
            </w:tcBorders>
            <w:shd w:val="clear" w:color="auto" w:fill="C6EFCE"/>
            <w:noWrap/>
          </w:tcPr>
          <w:p w14:paraId="163AD6B6" w14:textId="2A41A8E6" w:rsidR="00146C1C" w:rsidRPr="00AC583C" w:rsidRDefault="00146C1C" w:rsidP="0001477B">
            <w:pPr>
              <w:spacing w:after="200" w:line="276" w:lineRule="auto"/>
              <w:jc w:val="center"/>
              <w:rPr>
                <w:rFonts w:eastAsia="Calibri" w:cstheme="minorHAnsi"/>
                <w:noProof/>
                <w:sz w:val="20"/>
                <w:szCs w:val="20"/>
              </w:rPr>
            </w:pPr>
            <w:r>
              <w:rPr>
                <w:noProof/>
                <w:sz w:val="20"/>
              </w:rPr>
              <w:t>Ključna etapa</w:t>
            </w:r>
          </w:p>
        </w:tc>
        <w:tc>
          <w:tcPr>
            <w:tcW w:w="2551" w:type="dxa"/>
            <w:tcBorders>
              <w:top w:val="single" w:sz="4" w:space="0" w:color="auto"/>
              <w:left w:val="nil"/>
              <w:bottom w:val="single" w:sz="4" w:space="0" w:color="auto"/>
              <w:right w:val="single" w:sz="4" w:space="0" w:color="auto"/>
            </w:tcBorders>
            <w:shd w:val="clear" w:color="auto" w:fill="C6EFCE"/>
            <w:noWrap/>
          </w:tcPr>
          <w:p w14:paraId="6A4BB7BE" w14:textId="290A90CA" w:rsidR="00146C1C" w:rsidRPr="00AC583C" w:rsidRDefault="00146C1C" w:rsidP="0001477B">
            <w:pPr>
              <w:spacing w:after="200" w:line="276" w:lineRule="auto"/>
              <w:rPr>
                <w:rFonts w:cstheme="minorHAnsi"/>
                <w:noProof/>
                <w:sz w:val="20"/>
                <w:szCs w:val="20"/>
              </w:rPr>
            </w:pPr>
            <w:r>
              <w:rPr>
                <w:noProof/>
                <w:sz w:val="20"/>
              </w:rPr>
              <w:t xml:space="preserve">Program obrazovanja za radnike iz trećih zemalja </w:t>
            </w:r>
          </w:p>
        </w:tc>
        <w:tc>
          <w:tcPr>
            <w:tcW w:w="2052" w:type="dxa"/>
            <w:tcBorders>
              <w:top w:val="single" w:sz="4" w:space="0" w:color="auto"/>
              <w:left w:val="nil"/>
              <w:bottom w:val="single" w:sz="4" w:space="0" w:color="auto"/>
              <w:right w:val="single" w:sz="4" w:space="0" w:color="auto"/>
            </w:tcBorders>
            <w:shd w:val="clear" w:color="auto" w:fill="C6EFCE"/>
            <w:noWrap/>
          </w:tcPr>
          <w:p w14:paraId="75D4D3A1" w14:textId="50BC0028" w:rsidR="00146C1C" w:rsidRPr="00AC583C" w:rsidRDefault="00146C1C" w:rsidP="0001477B">
            <w:pPr>
              <w:spacing w:after="200" w:line="276" w:lineRule="auto"/>
              <w:rPr>
                <w:rFonts w:eastAsia="Calibri" w:cstheme="minorHAnsi"/>
                <w:noProof/>
                <w:sz w:val="20"/>
                <w:szCs w:val="20"/>
              </w:rPr>
            </w:pPr>
            <w:r>
              <w:rPr>
                <w:noProof/>
                <w:sz w:val="20"/>
              </w:rPr>
              <w:t>Razvijen program obrazovanja za radnike iz trećih zemalja</w:t>
            </w:r>
          </w:p>
        </w:tc>
        <w:tc>
          <w:tcPr>
            <w:tcW w:w="923" w:type="dxa"/>
            <w:tcBorders>
              <w:top w:val="single" w:sz="4" w:space="0" w:color="auto"/>
              <w:left w:val="nil"/>
              <w:bottom w:val="single" w:sz="4" w:space="0" w:color="auto"/>
              <w:right w:val="single" w:sz="4" w:space="0" w:color="auto"/>
            </w:tcBorders>
            <w:shd w:val="clear" w:color="auto" w:fill="C6EFCE"/>
            <w:noWrap/>
          </w:tcPr>
          <w:p w14:paraId="00C7BF01" w14:textId="36253E6F" w:rsidR="00146C1C" w:rsidRPr="00BC0323" w:rsidRDefault="00146C1C" w:rsidP="0001477B">
            <w:pPr>
              <w:spacing w:after="200" w:line="276" w:lineRule="auto"/>
              <w:jc w:val="center"/>
              <w:rPr>
                <w:rFonts w:eastAsia="Calibri" w:cstheme="minorHAnsi"/>
                <w:noProof/>
                <w:sz w:val="20"/>
                <w:szCs w:val="20"/>
              </w:rPr>
            </w:pPr>
          </w:p>
        </w:tc>
        <w:tc>
          <w:tcPr>
            <w:tcW w:w="826" w:type="dxa"/>
            <w:tcBorders>
              <w:top w:val="single" w:sz="4" w:space="0" w:color="auto"/>
              <w:left w:val="nil"/>
              <w:bottom w:val="single" w:sz="4" w:space="0" w:color="auto"/>
              <w:right w:val="single" w:sz="4" w:space="0" w:color="auto"/>
            </w:tcBorders>
            <w:shd w:val="clear" w:color="auto" w:fill="C6EFCE"/>
            <w:noWrap/>
          </w:tcPr>
          <w:p w14:paraId="09F7320E" w14:textId="50139976" w:rsidR="00146C1C" w:rsidRPr="00BC0323" w:rsidRDefault="00146C1C" w:rsidP="0001477B">
            <w:pPr>
              <w:spacing w:after="200" w:line="276" w:lineRule="auto"/>
              <w:jc w:val="center"/>
              <w:rPr>
                <w:rFonts w:eastAsia="Calibri" w:cstheme="minorHAnsi"/>
                <w:noProof/>
                <w:sz w:val="20"/>
                <w:szCs w:val="20"/>
              </w:rPr>
            </w:pPr>
          </w:p>
        </w:tc>
        <w:tc>
          <w:tcPr>
            <w:tcW w:w="802" w:type="dxa"/>
            <w:tcBorders>
              <w:top w:val="single" w:sz="4" w:space="0" w:color="auto"/>
              <w:left w:val="nil"/>
              <w:bottom w:val="single" w:sz="4" w:space="0" w:color="auto"/>
              <w:right w:val="single" w:sz="4" w:space="0" w:color="auto"/>
            </w:tcBorders>
            <w:shd w:val="clear" w:color="auto" w:fill="C6EFCE"/>
            <w:noWrap/>
          </w:tcPr>
          <w:p w14:paraId="6B47E866" w14:textId="46F2A41F" w:rsidR="00146C1C" w:rsidRPr="00BC0323" w:rsidRDefault="00146C1C" w:rsidP="0001477B">
            <w:pPr>
              <w:spacing w:after="200" w:line="276" w:lineRule="auto"/>
              <w:jc w:val="center"/>
              <w:rPr>
                <w:rFonts w:eastAsia="Calibri" w:cstheme="minorHAnsi"/>
                <w:noProof/>
                <w:sz w:val="20"/>
                <w:szCs w:val="20"/>
                <w:highlight w:val="yellow"/>
              </w:rPr>
            </w:pPr>
          </w:p>
        </w:tc>
        <w:tc>
          <w:tcPr>
            <w:tcW w:w="567" w:type="dxa"/>
            <w:tcBorders>
              <w:top w:val="single" w:sz="4" w:space="0" w:color="auto"/>
              <w:left w:val="nil"/>
              <w:bottom w:val="single" w:sz="4" w:space="0" w:color="auto"/>
              <w:right w:val="single" w:sz="4" w:space="0" w:color="auto"/>
            </w:tcBorders>
            <w:shd w:val="clear" w:color="auto" w:fill="C6EFCE"/>
            <w:noWrap/>
          </w:tcPr>
          <w:p w14:paraId="40AB87EE" w14:textId="77777777" w:rsidR="00146C1C" w:rsidRPr="00AC583C" w:rsidRDefault="00146C1C" w:rsidP="0001477B">
            <w:pPr>
              <w:spacing w:after="200" w:line="276" w:lineRule="auto"/>
              <w:jc w:val="center"/>
              <w:rPr>
                <w:rFonts w:eastAsia="Calibri" w:cstheme="minorHAnsi"/>
                <w:noProof/>
                <w:sz w:val="20"/>
                <w:szCs w:val="20"/>
              </w:rPr>
            </w:pPr>
            <w:r>
              <w:rPr>
                <w:noProof/>
                <w:sz w:val="20"/>
              </w:rPr>
              <w:t>1.</w:t>
            </w:r>
          </w:p>
        </w:tc>
        <w:tc>
          <w:tcPr>
            <w:tcW w:w="709" w:type="dxa"/>
            <w:tcBorders>
              <w:top w:val="single" w:sz="4" w:space="0" w:color="auto"/>
              <w:left w:val="nil"/>
              <w:bottom w:val="single" w:sz="4" w:space="0" w:color="auto"/>
              <w:right w:val="single" w:sz="4" w:space="0" w:color="auto"/>
            </w:tcBorders>
            <w:shd w:val="clear" w:color="auto" w:fill="C6EFCE"/>
            <w:noWrap/>
          </w:tcPr>
          <w:p w14:paraId="0F8A82DD" w14:textId="77777777" w:rsidR="00146C1C" w:rsidRPr="00AC583C" w:rsidRDefault="00146C1C" w:rsidP="0001477B">
            <w:pPr>
              <w:spacing w:after="200" w:line="276" w:lineRule="auto"/>
              <w:jc w:val="center"/>
              <w:rPr>
                <w:rFonts w:eastAsia="Calibri" w:cstheme="minorHAnsi"/>
                <w:noProof/>
                <w:sz w:val="20"/>
                <w:szCs w:val="20"/>
              </w:rPr>
            </w:pPr>
            <w:r>
              <w:rPr>
                <w:noProof/>
                <w:sz w:val="20"/>
              </w:rPr>
              <w:t>2025.</w:t>
            </w:r>
          </w:p>
        </w:tc>
        <w:tc>
          <w:tcPr>
            <w:tcW w:w="3902" w:type="dxa"/>
            <w:tcBorders>
              <w:top w:val="single" w:sz="4" w:space="0" w:color="auto"/>
              <w:left w:val="nil"/>
              <w:bottom w:val="single" w:sz="4" w:space="0" w:color="auto"/>
              <w:right w:val="single" w:sz="4" w:space="0" w:color="auto"/>
            </w:tcBorders>
            <w:shd w:val="clear" w:color="auto" w:fill="C6EFCE"/>
            <w:noWrap/>
          </w:tcPr>
          <w:p w14:paraId="4FCB241D" w14:textId="18059C02" w:rsidR="00146C1C" w:rsidRPr="00AC583C" w:rsidRDefault="001110D4" w:rsidP="00ED676E">
            <w:pPr>
              <w:rPr>
                <w:noProof/>
                <w:sz w:val="20"/>
                <w:szCs w:val="20"/>
              </w:rPr>
            </w:pPr>
            <w:r>
              <w:rPr>
                <w:noProof/>
                <w:sz w:val="20"/>
              </w:rPr>
              <w:t xml:space="preserve">Razvit će se program obrazovanja odraslih koji će obuhvaćati sadržaje vezane uz zelenu gradnju o upotrebi novih materijala, tehnika gradnje i instalaciji tehničkih sustava potrebnih za doprinos održivim praksama u građevinskoj industriji. </w:t>
            </w:r>
          </w:p>
        </w:tc>
      </w:tr>
      <w:tr w:rsidR="009B103F" w:rsidRPr="00AC583C" w14:paraId="3908A542" w14:textId="77777777" w:rsidTr="007C7D10">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78D12E71" w14:textId="7CADF990" w:rsidR="00146C1C" w:rsidRPr="00C660D5" w:rsidRDefault="00F46316" w:rsidP="0001477B">
            <w:pPr>
              <w:spacing w:after="0" w:line="276" w:lineRule="auto"/>
              <w:jc w:val="center"/>
              <w:rPr>
                <w:rFonts w:cstheme="minorHAnsi"/>
                <w:noProof/>
                <w:sz w:val="20"/>
                <w:szCs w:val="20"/>
              </w:rPr>
            </w:pPr>
            <w:r>
              <w:rPr>
                <w:noProof/>
                <w:sz w:val="20"/>
              </w:rPr>
              <w:t>434</w:t>
            </w:r>
          </w:p>
          <w:p w14:paraId="0BEFA050" w14:textId="77777777" w:rsidR="00146C1C" w:rsidRPr="00AC583C" w:rsidRDefault="00146C1C" w:rsidP="0001477B">
            <w:pPr>
              <w:spacing w:after="0" w:line="276" w:lineRule="auto"/>
              <w:jc w:val="center"/>
              <w:rPr>
                <w:rFonts w:cstheme="minorHAnsi"/>
                <w:noProof/>
                <w:sz w:val="20"/>
                <w:szCs w:val="20"/>
                <w:highlight w:val="yellow"/>
                <w:lang w:val="en-IE"/>
              </w:rPr>
            </w:pPr>
          </w:p>
        </w:tc>
        <w:tc>
          <w:tcPr>
            <w:tcW w:w="993" w:type="dxa"/>
            <w:tcBorders>
              <w:top w:val="single" w:sz="4" w:space="0" w:color="auto"/>
              <w:left w:val="nil"/>
              <w:bottom w:val="single" w:sz="4" w:space="0" w:color="auto"/>
              <w:right w:val="single" w:sz="4" w:space="0" w:color="auto"/>
            </w:tcBorders>
            <w:shd w:val="clear" w:color="auto" w:fill="C6EFCE"/>
            <w:noWrap/>
          </w:tcPr>
          <w:p w14:paraId="02E5C8E6" w14:textId="7B902748" w:rsidR="00146C1C" w:rsidRPr="00C660D5" w:rsidRDefault="00146C1C" w:rsidP="0001477B">
            <w:pPr>
              <w:spacing w:after="200" w:line="276" w:lineRule="auto"/>
              <w:jc w:val="center"/>
              <w:rPr>
                <w:rFonts w:cstheme="minorHAnsi"/>
                <w:noProof/>
                <w:color w:val="000000" w:themeColor="text1"/>
                <w:sz w:val="20"/>
                <w:szCs w:val="20"/>
                <w:highlight w:val="yellow"/>
              </w:rPr>
            </w:pPr>
            <w:r>
              <w:rPr>
                <w:noProof/>
                <w:color w:val="000000" w:themeColor="text1"/>
                <w:sz w:val="20"/>
              </w:rPr>
              <w:t>C7.2. R4</w:t>
            </w:r>
          </w:p>
          <w:p w14:paraId="4458DCFF" w14:textId="77777777" w:rsidR="00146C1C" w:rsidRPr="00AC583C" w:rsidRDefault="00146C1C" w:rsidP="0001477B">
            <w:pPr>
              <w:spacing w:after="200" w:line="276" w:lineRule="auto"/>
              <w:jc w:val="center"/>
              <w:rPr>
                <w:rFonts w:cstheme="minorHAnsi"/>
                <w:noProof/>
                <w:color w:val="000000" w:themeColor="text1"/>
                <w:sz w:val="20"/>
                <w:szCs w:val="20"/>
                <w:highlight w:val="yellow"/>
                <w:u w:val="single"/>
                <w:lang w:val="en-IE"/>
              </w:rPr>
            </w:pPr>
          </w:p>
        </w:tc>
        <w:tc>
          <w:tcPr>
            <w:tcW w:w="851" w:type="dxa"/>
            <w:tcBorders>
              <w:top w:val="single" w:sz="4" w:space="0" w:color="auto"/>
              <w:left w:val="nil"/>
              <w:bottom w:val="single" w:sz="4" w:space="0" w:color="auto"/>
              <w:right w:val="single" w:sz="4" w:space="0" w:color="auto"/>
            </w:tcBorders>
            <w:shd w:val="clear" w:color="auto" w:fill="C6EFCE"/>
            <w:noWrap/>
          </w:tcPr>
          <w:p w14:paraId="2022FA62" w14:textId="0AE228AA" w:rsidR="00146C1C" w:rsidRPr="00AC583C" w:rsidRDefault="00146C1C" w:rsidP="0001477B">
            <w:pPr>
              <w:spacing w:after="200" w:line="276" w:lineRule="auto"/>
              <w:jc w:val="center"/>
              <w:rPr>
                <w:rFonts w:eastAsia="Calibri" w:cstheme="minorHAnsi"/>
                <w:noProof/>
                <w:sz w:val="20"/>
                <w:szCs w:val="20"/>
              </w:rPr>
            </w:pPr>
            <w:r>
              <w:rPr>
                <w:noProof/>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78EC409D" w14:textId="324388F9" w:rsidR="00146C1C" w:rsidRPr="00AC583C" w:rsidRDefault="00BD59DA" w:rsidP="0001477B">
            <w:pPr>
              <w:spacing w:after="200" w:line="276" w:lineRule="auto"/>
              <w:rPr>
                <w:rFonts w:cstheme="minorHAnsi"/>
                <w:noProof/>
                <w:sz w:val="20"/>
                <w:szCs w:val="20"/>
              </w:rPr>
            </w:pPr>
            <w:r>
              <w:rPr>
                <w:noProof/>
                <w:sz w:val="20"/>
              </w:rPr>
              <w:t xml:space="preserve">Predstavljanje programa obrazovanja odraslih poslodavcima i dionicima </w:t>
            </w:r>
          </w:p>
        </w:tc>
        <w:tc>
          <w:tcPr>
            <w:tcW w:w="2052" w:type="dxa"/>
            <w:tcBorders>
              <w:top w:val="single" w:sz="4" w:space="0" w:color="auto"/>
              <w:left w:val="nil"/>
              <w:bottom w:val="single" w:sz="4" w:space="0" w:color="auto"/>
              <w:right w:val="single" w:sz="4" w:space="0" w:color="auto"/>
            </w:tcBorders>
            <w:shd w:val="clear" w:color="auto" w:fill="C6EFCE"/>
            <w:noWrap/>
          </w:tcPr>
          <w:p w14:paraId="1A77BE06" w14:textId="01118BB9" w:rsidR="00146C1C" w:rsidRPr="00AC583C" w:rsidRDefault="00146C1C" w:rsidP="0001477B">
            <w:pPr>
              <w:spacing w:after="200" w:line="276" w:lineRule="auto"/>
              <w:rPr>
                <w:rFonts w:eastAsia="Calibri"/>
                <w:noProof/>
                <w:sz w:val="20"/>
                <w:szCs w:val="20"/>
                <w:lang w:val="en-IE"/>
              </w:rPr>
            </w:pPr>
          </w:p>
        </w:tc>
        <w:tc>
          <w:tcPr>
            <w:tcW w:w="923" w:type="dxa"/>
            <w:tcBorders>
              <w:top w:val="single" w:sz="4" w:space="0" w:color="auto"/>
              <w:left w:val="nil"/>
              <w:bottom w:val="single" w:sz="4" w:space="0" w:color="auto"/>
              <w:right w:val="single" w:sz="4" w:space="0" w:color="auto"/>
            </w:tcBorders>
            <w:shd w:val="clear" w:color="auto" w:fill="C6EFCE"/>
            <w:noWrap/>
          </w:tcPr>
          <w:p w14:paraId="7EC1B0BC" w14:textId="7BEE678A" w:rsidR="00146C1C" w:rsidRPr="00AC583C" w:rsidRDefault="00146C1C" w:rsidP="0001477B">
            <w:pPr>
              <w:spacing w:after="200" w:line="276" w:lineRule="auto"/>
              <w:jc w:val="center"/>
              <w:rPr>
                <w:rFonts w:eastAsia="Calibri" w:cstheme="minorHAnsi"/>
                <w:noProof/>
                <w:sz w:val="20"/>
                <w:szCs w:val="20"/>
              </w:rPr>
            </w:pPr>
            <w:r>
              <w:rPr>
                <w:noProof/>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67A62437" w14:textId="3BD7AC95" w:rsidR="00146C1C" w:rsidRPr="00AC583C" w:rsidRDefault="00146C1C" w:rsidP="0001477B">
            <w:pPr>
              <w:spacing w:after="200"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6BC83F00" w14:textId="205CCC58" w:rsidR="00146C1C" w:rsidRPr="00AC583C" w:rsidRDefault="003660ED" w:rsidP="0001477B">
            <w:pPr>
              <w:spacing w:after="200" w:line="276" w:lineRule="auto"/>
              <w:jc w:val="center"/>
              <w:rPr>
                <w:rFonts w:eastAsia="Calibri" w:cstheme="minorHAnsi"/>
                <w:noProof/>
                <w:sz w:val="20"/>
                <w:szCs w:val="20"/>
                <w:highlight w:val="yellow"/>
              </w:rPr>
            </w:pPr>
            <w:r>
              <w:rPr>
                <w:noProof/>
                <w:sz w:val="20"/>
              </w:rPr>
              <w:t>100</w:t>
            </w:r>
          </w:p>
        </w:tc>
        <w:tc>
          <w:tcPr>
            <w:tcW w:w="567" w:type="dxa"/>
            <w:tcBorders>
              <w:top w:val="single" w:sz="4" w:space="0" w:color="auto"/>
              <w:left w:val="nil"/>
              <w:bottom w:val="single" w:sz="4" w:space="0" w:color="auto"/>
              <w:right w:val="single" w:sz="4" w:space="0" w:color="auto"/>
            </w:tcBorders>
            <w:shd w:val="clear" w:color="auto" w:fill="C6EFCE"/>
            <w:noWrap/>
          </w:tcPr>
          <w:p w14:paraId="7C25C7DA" w14:textId="48EA7EFA" w:rsidR="00146C1C" w:rsidRPr="00AC583C" w:rsidRDefault="00146C1C" w:rsidP="0001477B">
            <w:pPr>
              <w:spacing w:after="200" w:line="276" w:lineRule="auto"/>
              <w:jc w:val="center"/>
              <w:rPr>
                <w:rFonts w:eastAsia="Calibri" w:cstheme="minorHAnsi"/>
                <w:noProof/>
                <w:sz w:val="20"/>
                <w:szCs w:val="20"/>
              </w:rPr>
            </w:pPr>
            <w:r>
              <w:rPr>
                <w:noProof/>
                <w:sz w:val="20"/>
              </w:rPr>
              <w:t>3.</w:t>
            </w:r>
          </w:p>
        </w:tc>
        <w:tc>
          <w:tcPr>
            <w:tcW w:w="709" w:type="dxa"/>
            <w:tcBorders>
              <w:top w:val="single" w:sz="4" w:space="0" w:color="auto"/>
              <w:left w:val="nil"/>
              <w:bottom w:val="single" w:sz="4" w:space="0" w:color="auto"/>
              <w:right w:val="single" w:sz="4" w:space="0" w:color="auto"/>
            </w:tcBorders>
            <w:shd w:val="clear" w:color="auto" w:fill="C6EFCE"/>
            <w:noWrap/>
          </w:tcPr>
          <w:p w14:paraId="5070E2EA" w14:textId="77777777" w:rsidR="00146C1C" w:rsidRPr="00AC583C" w:rsidRDefault="00146C1C" w:rsidP="0001477B">
            <w:pPr>
              <w:spacing w:after="200" w:line="276" w:lineRule="auto"/>
              <w:jc w:val="center"/>
              <w:rPr>
                <w:rFonts w:eastAsia="Calibri" w:cstheme="minorHAnsi"/>
                <w:noProof/>
                <w:sz w:val="20"/>
                <w:szCs w:val="20"/>
              </w:rPr>
            </w:pPr>
            <w:r>
              <w:rPr>
                <w:noProof/>
                <w:sz w:val="20"/>
              </w:rPr>
              <w:t>2025.</w:t>
            </w:r>
          </w:p>
        </w:tc>
        <w:tc>
          <w:tcPr>
            <w:tcW w:w="3902" w:type="dxa"/>
            <w:tcBorders>
              <w:top w:val="single" w:sz="4" w:space="0" w:color="auto"/>
              <w:left w:val="nil"/>
              <w:bottom w:val="single" w:sz="4" w:space="0" w:color="auto"/>
              <w:right w:val="single" w:sz="4" w:space="0" w:color="auto"/>
            </w:tcBorders>
            <w:shd w:val="clear" w:color="auto" w:fill="C6EFCE"/>
            <w:noWrap/>
          </w:tcPr>
          <w:p w14:paraId="63442620" w14:textId="72E82245" w:rsidR="003660ED" w:rsidRDefault="003660ED" w:rsidP="0001477B">
            <w:pPr>
              <w:rPr>
                <w:noProof/>
                <w:sz w:val="20"/>
                <w:szCs w:val="20"/>
              </w:rPr>
            </w:pPr>
            <w:r>
              <w:rPr>
                <w:noProof/>
                <w:sz w:val="20"/>
              </w:rPr>
              <w:t>U okviru Otvorenog dijaloga partnera Ministarstvo prostornoga uređenja, graditeljstva i državne imovine organizirat će interaktivnu radionicu kako bi se program predstavio tvrtkama u građevinskom sektoru i ostalim relevantnim dionicima, koja će uključiti najmanje 100 dionika.</w:t>
            </w:r>
          </w:p>
          <w:p w14:paraId="15BE1A6E" w14:textId="63F76D18" w:rsidR="00146C1C" w:rsidRPr="00BC0323" w:rsidRDefault="00146C1C" w:rsidP="0001477B">
            <w:pPr>
              <w:rPr>
                <w:noProof/>
                <w:sz w:val="20"/>
                <w:szCs w:val="20"/>
              </w:rPr>
            </w:pPr>
          </w:p>
        </w:tc>
      </w:tr>
      <w:tr w:rsidR="009B103F" w:rsidRPr="00AC583C" w14:paraId="6D0B4CCE" w14:textId="77777777" w:rsidTr="007C7D10">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1BB8B0C4" w14:textId="0F17536C" w:rsidR="00146C1C" w:rsidRPr="00AC583C" w:rsidRDefault="005207A6" w:rsidP="0001477B">
            <w:pPr>
              <w:spacing w:after="0" w:line="276" w:lineRule="auto"/>
              <w:jc w:val="center"/>
              <w:rPr>
                <w:rFonts w:cstheme="minorHAnsi"/>
                <w:noProof/>
                <w:sz w:val="20"/>
                <w:szCs w:val="20"/>
                <w:highlight w:val="yellow"/>
              </w:rPr>
            </w:pPr>
            <w:r>
              <w:rPr>
                <w:noProof/>
                <w:sz w:val="20"/>
              </w:rPr>
              <w:t>435</w:t>
            </w:r>
          </w:p>
        </w:tc>
        <w:tc>
          <w:tcPr>
            <w:tcW w:w="993" w:type="dxa"/>
            <w:tcBorders>
              <w:top w:val="single" w:sz="4" w:space="0" w:color="auto"/>
              <w:left w:val="nil"/>
              <w:bottom w:val="single" w:sz="4" w:space="0" w:color="auto"/>
              <w:right w:val="single" w:sz="4" w:space="0" w:color="auto"/>
            </w:tcBorders>
            <w:shd w:val="clear" w:color="auto" w:fill="C6EFCE"/>
            <w:noWrap/>
          </w:tcPr>
          <w:p w14:paraId="1762163D" w14:textId="36417DE5" w:rsidR="00146C1C" w:rsidRPr="00C660D5" w:rsidRDefault="00146C1C" w:rsidP="0001477B">
            <w:pPr>
              <w:spacing w:after="200" w:line="276" w:lineRule="auto"/>
              <w:jc w:val="center"/>
              <w:rPr>
                <w:rFonts w:cstheme="minorHAnsi"/>
                <w:noProof/>
                <w:color w:val="000000" w:themeColor="text1"/>
                <w:sz w:val="20"/>
                <w:szCs w:val="20"/>
                <w:highlight w:val="yellow"/>
              </w:rPr>
            </w:pPr>
            <w:r>
              <w:rPr>
                <w:noProof/>
                <w:color w:val="000000" w:themeColor="text1"/>
                <w:sz w:val="20"/>
              </w:rPr>
              <w:t>C7.2 I1</w:t>
            </w:r>
          </w:p>
        </w:tc>
        <w:tc>
          <w:tcPr>
            <w:tcW w:w="851" w:type="dxa"/>
            <w:tcBorders>
              <w:top w:val="single" w:sz="4" w:space="0" w:color="auto"/>
              <w:left w:val="nil"/>
              <w:bottom w:val="single" w:sz="4" w:space="0" w:color="auto"/>
              <w:right w:val="single" w:sz="4" w:space="0" w:color="auto"/>
            </w:tcBorders>
            <w:shd w:val="clear" w:color="auto" w:fill="C6EFCE"/>
            <w:noWrap/>
          </w:tcPr>
          <w:p w14:paraId="28FBDD21" w14:textId="77777777" w:rsidR="00146C1C" w:rsidRPr="00AC583C" w:rsidRDefault="00146C1C" w:rsidP="0001477B">
            <w:pPr>
              <w:spacing w:after="200" w:line="276" w:lineRule="auto"/>
              <w:jc w:val="center"/>
              <w:rPr>
                <w:rFonts w:eastAsia="Calibri" w:cstheme="minorHAnsi"/>
                <w:noProof/>
                <w:sz w:val="20"/>
                <w:szCs w:val="20"/>
              </w:rPr>
            </w:pPr>
            <w:r>
              <w:rPr>
                <w:noProof/>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615F12F4" w14:textId="77777777" w:rsidR="00146C1C" w:rsidRPr="00AC583C" w:rsidRDefault="00146C1C" w:rsidP="0001477B">
            <w:pPr>
              <w:spacing w:after="200" w:line="276" w:lineRule="auto"/>
              <w:rPr>
                <w:rFonts w:eastAsia="Calibri" w:cstheme="minorHAnsi"/>
                <w:noProof/>
                <w:color w:val="000000" w:themeColor="text1"/>
                <w:sz w:val="20"/>
                <w:szCs w:val="20"/>
                <w:highlight w:val="yellow"/>
              </w:rPr>
            </w:pPr>
            <w:r>
              <w:rPr>
                <w:noProof/>
                <w:color w:val="000000"/>
                <w:sz w:val="20"/>
              </w:rPr>
              <w:t>Energetska obnova višestambenih javnih zgrada</w:t>
            </w:r>
          </w:p>
        </w:tc>
        <w:tc>
          <w:tcPr>
            <w:tcW w:w="2052" w:type="dxa"/>
            <w:tcBorders>
              <w:top w:val="single" w:sz="4" w:space="0" w:color="auto"/>
              <w:left w:val="nil"/>
              <w:bottom w:val="single" w:sz="4" w:space="0" w:color="auto"/>
              <w:right w:val="single" w:sz="4" w:space="0" w:color="auto"/>
            </w:tcBorders>
            <w:shd w:val="clear" w:color="auto" w:fill="C6EFCE"/>
            <w:noWrap/>
          </w:tcPr>
          <w:p w14:paraId="1766FDEC" w14:textId="77777777" w:rsidR="00146C1C" w:rsidRPr="00BC0323" w:rsidRDefault="00146C1C" w:rsidP="0001477B">
            <w:pPr>
              <w:spacing w:after="200" w:line="276" w:lineRule="auto"/>
              <w:rPr>
                <w:rFonts w:eastAsia="Calibri" w:cstheme="minorHAnsi"/>
                <w:noProof/>
                <w:sz w:val="20"/>
                <w:szCs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6528140F" w14:textId="77777777" w:rsidR="00146C1C" w:rsidRPr="00AC583C" w:rsidRDefault="00146C1C" w:rsidP="0001477B">
            <w:pPr>
              <w:spacing w:after="200" w:line="276" w:lineRule="auto"/>
              <w:jc w:val="center"/>
              <w:rPr>
                <w:rFonts w:eastAsia="Calibri" w:cstheme="minorHAnsi"/>
                <w:noProof/>
                <w:color w:val="000000" w:themeColor="text1"/>
                <w:sz w:val="20"/>
                <w:szCs w:val="20"/>
              </w:rPr>
            </w:pPr>
            <w:r>
              <w:rPr>
                <w:noProof/>
                <w:color w:val="000000" w:themeColor="text1"/>
                <w:sz w:val="20"/>
              </w:rPr>
              <w:t>Broj (m</w:t>
            </w:r>
            <w:r>
              <w:rPr>
                <w:noProof/>
                <w:color w:val="000000" w:themeColor="text1"/>
                <w:sz w:val="20"/>
                <w:vertAlign w:val="superscript"/>
              </w:rPr>
              <w:t>2</w:t>
            </w:r>
            <w:r>
              <w:rPr>
                <w:noProof/>
                <w:color w:val="000000" w:themeColor="text1"/>
                <w:sz w:val="20"/>
              </w:rPr>
              <w:t>)</w:t>
            </w:r>
          </w:p>
        </w:tc>
        <w:tc>
          <w:tcPr>
            <w:tcW w:w="826" w:type="dxa"/>
            <w:tcBorders>
              <w:top w:val="single" w:sz="4" w:space="0" w:color="auto"/>
              <w:left w:val="nil"/>
              <w:bottom w:val="single" w:sz="4" w:space="0" w:color="auto"/>
              <w:right w:val="single" w:sz="4" w:space="0" w:color="auto"/>
            </w:tcBorders>
            <w:shd w:val="clear" w:color="auto" w:fill="C6EFCE"/>
            <w:noWrap/>
          </w:tcPr>
          <w:p w14:paraId="4D966EAC" w14:textId="77777777" w:rsidR="00146C1C" w:rsidRPr="00AC583C" w:rsidRDefault="00146C1C" w:rsidP="0001477B">
            <w:pPr>
              <w:spacing w:after="200"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1F20938E" w14:textId="6856DD7F" w:rsidR="00146C1C" w:rsidRPr="00AC583C" w:rsidRDefault="00146C1C" w:rsidP="0001477B">
            <w:pPr>
              <w:spacing w:after="200" w:line="276" w:lineRule="auto"/>
              <w:jc w:val="center"/>
              <w:rPr>
                <w:rFonts w:eastAsia="Calibri" w:cstheme="minorHAnsi"/>
                <w:noProof/>
                <w:sz w:val="20"/>
                <w:szCs w:val="20"/>
              </w:rPr>
            </w:pPr>
            <w:r>
              <w:rPr>
                <w:noProof/>
                <w:sz w:val="20"/>
              </w:rPr>
              <w:t>361 431</w:t>
            </w:r>
          </w:p>
        </w:tc>
        <w:tc>
          <w:tcPr>
            <w:tcW w:w="567" w:type="dxa"/>
            <w:tcBorders>
              <w:top w:val="single" w:sz="4" w:space="0" w:color="auto"/>
              <w:left w:val="nil"/>
              <w:bottom w:val="single" w:sz="4" w:space="0" w:color="auto"/>
              <w:right w:val="single" w:sz="4" w:space="0" w:color="auto"/>
            </w:tcBorders>
            <w:shd w:val="clear" w:color="auto" w:fill="C6EFCE"/>
            <w:noWrap/>
          </w:tcPr>
          <w:p w14:paraId="3FC9649C" w14:textId="77777777" w:rsidR="00146C1C" w:rsidRPr="00AC583C" w:rsidRDefault="00146C1C" w:rsidP="0001477B">
            <w:pPr>
              <w:spacing w:after="200" w:line="276" w:lineRule="auto"/>
              <w:jc w:val="center"/>
              <w:rPr>
                <w:rFonts w:eastAsia="Calibri" w:cstheme="minorHAnsi"/>
                <w:noProof/>
                <w:sz w:val="20"/>
                <w:szCs w:val="20"/>
                <w:highlight w:val="yellow"/>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2C258D17" w14:textId="77777777" w:rsidR="00146C1C" w:rsidRPr="00AC583C" w:rsidRDefault="00146C1C" w:rsidP="0001477B">
            <w:pPr>
              <w:spacing w:after="200" w:line="276" w:lineRule="auto"/>
              <w:jc w:val="center"/>
              <w:rPr>
                <w:rFonts w:eastAsia="Calibri" w:cstheme="minorHAnsi"/>
                <w:noProof/>
                <w:sz w:val="20"/>
                <w:szCs w:val="20"/>
                <w:highlight w:val="yellow"/>
              </w:rPr>
            </w:pPr>
            <w:r>
              <w:rPr>
                <w:noProof/>
                <w:sz w:val="20"/>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37A26BB8" w14:textId="17D8B7A5" w:rsidR="00146C1C" w:rsidRPr="00AC583C" w:rsidRDefault="00146C1C" w:rsidP="0001477B">
            <w:pPr>
              <w:spacing w:after="200" w:line="276" w:lineRule="auto"/>
              <w:rPr>
                <w:rFonts w:eastAsia="Calibri" w:cstheme="minorHAnsi"/>
                <w:noProof/>
                <w:color w:val="000000" w:themeColor="text1"/>
                <w:sz w:val="20"/>
                <w:szCs w:val="20"/>
                <w:highlight w:val="yellow"/>
              </w:rPr>
            </w:pPr>
            <w:r>
              <w:rPr>
                <w:noProof/>
                <w:color w:val="000000"/>
                <w:sz w:val="20"/>
              </w:rPr>
              <w:t>Dovršit će se energetska obnova najmanje 361 431 m2 višestambenih zgrada prema ugovorima o sufinanciranju, čime će se ispuniti zahtjev u pogledu smanjenja potrošnje energije za grijanje od najmanje 50 % za svaku zgradu u odnosu na godišnju potrošnju energije za grijanje prije obnove i ostvariti 30 %-tno povećanje uštede primarne energije u odnosu na stanje prije obnove, uz poštovanje načela nenanošenja bitne štete iz članka 17. Uredbe (EU) 2020/852 o uspostavi okvira za olakšavanje održivih ulaganja.</w:t>
            </w:r>
          </w:p>
        </w:tc>
      </w:tr>
      <w:tr w:rsidR="009B103F" w:rsidRPr="00AC583C" w14:paraId="3B15CD17" w14:textId="77777777" w:rsidTr="007C7D10">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658E684E" w14:textId="31BE34FD" w:rsidR="00146C1C" w:rsidRPr="00AC583C" w:rsidRDefault="005207A6" w:rsidP="0001477B">
            <w:pPr>
              <w:spacing w:after="0" w:line="276" w:lineRule="auto"/>
              <w:jc w:val="center"/>
              <w:rPr>
                <w:rFonts w:cstheme="minorHAnsi"/>
                <w:noProof/>
                <w:sz w:val="20"/>
                <w:szCs w:val="20"/>
                <w:highlight w:val="yellow"/>
              </w:rPr>
            </w:pPr>
            <w:r>
              <w:rPr>
                <w:noProof/>
                <w:sz w:val="20"/>
              </w:rPr>
              <w:t>436</w:t>
            </w:r>
          </w:p>
        </w:tc>
        <w:tc>
          <w:tcPr>
            <w:tcW w:w="993" w:type="dxa"/>
            <w:tcBorders>
              <w:top w:val="single" w:sz="4" w:space="0" w:color="auto"/>
              <w:left w:val="nil"/>
              <w:bottom w:val="single" w:sz="4" w:space="0" w:color="auto"/>
              <w:right w:val="single" w:sz="4" w:space="0" w:color="auto"/>
            </w:tcBorders>
            <w:shd w:val="clear" w:color="auto" w:fill="C6EFCE"/>
            <w:noWrap/>
          </w:tcPr>
          <w:p w14:paraId="234460B7" w14:textId="652E8310" w:rsidR="00146C1C" w:rsidRPr="00C660D5"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C7.2 I1</w:t>
            </w:r>
          </w:p>
        </w:tc>
        <w:tc>
          <w:tcPr>
            <w:tcW w:w="851" w:type="dxa"/>
            <w:tcBorders>
              <w:top w:val="single" w:sz="4" w:space="0" w:color="auto"/>
              <w:left w:val="nil"/>
              <w:bottom w:val="single" w:sz="4" w:space="0" w:color="auto"/>
              <w:right w:val="single" w:sz="4" w:space="0" w:color="auto"/>
            </w:tcBorders>
            <w:shd w:val="clear" w:color="auto" w:fill="C6EFCE"/>
            <w:noWrap/>
          </w:tcPr>
          <w:p w14:paraId="113F00EF" w14:textId="77777777" w:rsidR="00146C1C" w:rsidRPr="00AC583C" w:rsidRDefault="00146C1C" w:rsidP="0001477B">
            <w:pPr>
              <w:spacing w:after="200" w:line="276" w:lineRule="auto"/>
              <w:jc w:val="center"/>
              <w:rPr>
                <w:rFonts w:eastAsia="Calibri" w:cstheme="minorHAnsi"/>
                <w:noProof/>
                <w:sz w:val="20"/>
                <w:szCs w:val="20"/>
              </w:rPr>
            </w:pPr>
            <w:r>
              <w:rPr>
                <w:noProof/>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391389FF" w14:textId="77777777" w:rsidR="00146C1C" w:rsidRPr="00AC583C" w:rsidRDefault="00146C1C" w:rsidP="0001477B">
            <w:pPr>
              <w:spacing w:after="200" w:line="276" w:lineRule="auto"/>
              <w:rPr>
                <w:rFonts w:eastAsia="Calibri" w:cstheme="minorHAnsi"/>
                <w:noProof/>
                <w:color w:val="000000" w:themeColor="text1"/>
                <w:sz w:val="20"/>
                <w:szCs w:val="20"/>
                <w:highlight w:val="yellow"/>
              </w:rPr>
            </w:pPr>
            <w:r>
              <w:rPr>
                <w:noProof/>
                <w:color w:val="000000"/>
                <w:sz w:val="20"/>
              </w:rPr>
              <w:t>Energetska obnova javnih zgrada</w:t>
            </w:r>
          </w:p>
        </w:tc>
        <w:tc>
          <w:tcPr>
            <w:tcW w:w="2052" w:type="dxa"/>
            <w:tcBorders>
              <w:top w:val="single" w:sz="4" w:space="0" w:color="auto"/>
              <w:left w:val="nil"/>
              <w:bottom w:val="single" w:sz="4" w:space="0" w:color="auto"/>
              <w:right w:val="single" w:sz="4" w:space="0" w:color="auto"/>
            </w:tcBorders>
            <w:shd w:val="clear" w:color="auto" w:fill="C6EFCE"/>
            <w:noWrap/>
          </w:tcPr>
          <w:p w14:paraId="3DA1C5D1" w14:textId="77777777" w:rsidR="00146C1C" w:rsidRPr="00AC583C" w:rsidRDefault="00146C1C" w:rsidP="0001477B">
            <w:pPr>
              <w:spacing w:after="200" w:line="276" w:lineRule="auto"/>
              <w:rPr>
                <w:rFonts w:eastAsia="Calibri" w:cstheme="minorHAnsi"/>
                <w:noProof/>
                <w:sz w:val="20"/>
                <w:szCs w:val="20"/>
                <w:lang w:val="en-IE"/>
              </w:rPr>
            </w:pPr>
          </w:p>
        </w:tc>
        <w:tc>
          <w:tcPr>
            <w:tcW w:w="923" w:type="dxa"/>
            <w:tcBorders>
              <w:top w:val="single" w:sz="4" w:space="0" w:color="auto"/>
              <w:left w:val="nil"/>
              <w:bottom w:val="single" w:sz="4" w:space="0" w:color="auto"/>
              <w:right w:val="single" w:sz="4" w:space="0" w:color="auto"/>
            </w:tcBorders>
            <w:shd w:val="clear" w:color="auto" w:fill="C6EFCE"/>
            <w:noWrap/>
          </w:tcPr>
          <w:p w14:paraId="022EB606" w14:textId="77777777" w:rsidR="00146C1C" w:rsidRPr="00AC583C" w:rsidRDefault="00146C1C" w:rsidP="0001477B">
            <w:pPr>
              <w:spacing w:after="200" w:line="276" w:lineRule="auto"/>
              <w:jc w:val="center"/>
              <w:rPr>
                <w:rFonts w:eastAsia="Calibri" w:cstheme="minorHAnsi"/>
                <w:noProof/>
                <w:color w:val="000000" w:themeColor="text1"/>
                <w:sz w:val="20"/>
                <w:szCs w:val="20"/>
              </w:rPr>
            </w:pPr>
            <w:r>
              <w:rPr>
                <w:noProof/>
                <w:color w:val="000000" w:themeColor="text1"/>
                <w:sz w:val="20"/>
              </w:rPr>
              <w:t>Broj (m2)</w:t>
            </w:r>
          </w:p>
        </w:tc>
        <w:tc>
          <w:tcPr>
            <w:tcW w:w="826" w:type="dxa"/>
            <w:tcBorders>
              <w:top w:val="single" w:sz="4" w:space="0" w:color="auto"/>
              <w:left w:val="nil"/>
              <w:bottom w:val="single" w:sz="4" w:space="0" w:color="auto"/>
              <w:right w:val="single" w:sz="4" w:space="0" w:color="auto"/>
            </w:tcBorders>
            <w:shd w:val="clear" w:color="auto" w:fill="C6EFCE"/>
            <w:noWrap/>
          </w:tcPr>
          <w:p w14:paraId="5509C883" w14:textId="77777777" w:rsidR="00146C1C" w:rsidRPr="00AC583C" w:rsidRDefault="00146C1C" w:rsidP="0001477B">
            <w:pPr>
              <w:spacing w:after="200"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735E3C9B" w14:textId="62991C7C" w:rsidR="00146C1C" w:rsidRPr="00AC583C" w:rsidRDefault="00146C1C" w:rsidP="0001477B">
            <w:pPr>
              <w:spacing w:after="200" w:line="276" w:lineRule="auto"/>
              <w:jc w:val="center"/>
              <w:rPr>
                <w:rFonts w:eastAsia="Calibri" w:cstheme="minorHAnsi"/>
                <w:noProof/>
                <w:sz w:val="20"/>
                <w:szCs w:val="20"/>
              </w:rPr>
            </w:pPr>
            <w:r>
              <w:rPr>
                <w:noProof/>
                <w:sz w:val="20"/>
              </w:rPr>
              <w:t>365 517</w:t>
            </w:r>
          </w:p>
        </w:tc>
        <w:tc>
          <w:tcPr>
            <w:tcW w:w="567" w:type="dxa"/>
            <w:tcBorders>
              <w:top w:val="single" w:sz="4" w:space="0" w:color="auto"/>
              <w:left w:val="nil"/>
              <w:bottom w:val="single" w:sz="4" w:space="0" w:color="auto"/>
              <w:right w:val="single" w:sz="4" w:space="0" w:color="auto"/>
            </w:tcBorders>
            <w:shd w:val="clear" w:color="auto" w:fill="C6EFCE"/>
            <w:noWrap/>
          </w:tcPr>
          <w:p w14:paraId="0147F030" w14:textId="77777777" w:rsidR="00146C1C" w:rsidRPr="00174015" w:rsidRDefault="00146C1C" w:rsidP="0001477B">
            <w:pPr>
              <w:spacing w:after="200" w:line="276" w:lineRule="auto"/>
              <w:jc w:val="center"/>
              <w:rPr>
                <w:rFonts w:eastAsia="Calibri" w:cstheme="minorHAnsi"/>
                <w:noProof/>
                <w:sz w:val="20"/>
                <w:szCs w:val="20"/>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3FD607E0" w14:textId="77777777" w:rsidR="00146C1C" w:rsidRPr="00174015" w:rsidRDefault="00146C1C" w:rsidP="0001477B">
            <w:pPr>
              <w:spacing w:after="200" w:line="276" w:lineRule="auto"/>
              <w:jc w:val="center"/>
              <w:rPr>
                <w:rFonts w:eastAsia="Calibri" w:cstheme="minorHAnsi"/>
                <w:noProof/>
                <w:sz w:val="20"/>
                <w:szCs w:val="20"/>
              </w:rPr>
            </w:pPr>
            <w:r>
              <w:rPr>
                <w:noProof/>
                <w:sz w:val="20"/>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10F8FD30" w14:textId="75F82FC4" w:rsidR="00146C1C" w:rsidRPr="00AC583C" w:rsidRDefault="00146C1C" w:rsidP="0001477B">
            <w:pPr>
              <w:spacing w:after="200" w:line="276" w:lineRule="auto"/>
              <w:rPr>
                <w:rFonts w:eastAsia="Calibri" w:cstheme="minorHAnsi"/>
                <w:noProof/>
                <w:color w:val="000000" w:themeColor="text1"/>
                <w:sz w:val="20"/>
                <w:szCs w:val="20"/>
                <w:highlight w:val="yellow"/>
              </w:rPr>
            </w:pPr>
            <w:r>
              <w:rPr>
                <w:noProof/>
                <w:color w:val="000000" w:themeColor="text1"/>
                <w:sz w:val="20"/>
              </w:rPr>
              <w:t>Dovršit će se energetska obnova najmanje 365 517 m2 javnih zgrada prema ugovorima o sufinanciranju, čime će se ispuniti zahtjev u pogledu smanjenja potrošnje energije za grijanje od najmanje 50 % za svaku zgradu u odnosu na godišnju potrošnju energije za grijanje prije obnove i ostvariti 30 %-tno povećanje uštede primarne energije u odnosu na stanje prije obnove, uz poštovanje načela nenanošenja bitne štete iz članka 17. Uredbe (EU) 2020/852 o uspostavi okvira za olakšavanje održivih ulaganja.</w:t>
            </w:r>
          </w:p>
        </w:tc>
      </w:tr>
      <w:tr w:rsidR="009B103F" w:rsidRPr="00AC583C" w14:paraId="68735B77" w14:textId="77777777" w:rsidTr="007C7D10">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4E69BD1A" w14:textId="0668B88C" w:rsidR="00146C1C" w:rsidRPr="00C660D5" w:rsidRDefault="00F46316" w:rsidP="0001477B">
            <w:pPr>
              <w:spacing w:after="0" w:line="276" w:lineRule="auto"/>
              <w:jc w:val="center"/>
              <w:rPr>
                <w:rFonts w:cstheme="minorHAnsi"/>
                <w:noProof/>
                <w:sz w:val="20"/>
                <w:szCs w:val="20"/>
              </w:rPr>
            </w:pPr>
            <w:r>
              <w:rPr>
                <w:noProof/>
                <w:sz w:val="20"/>
              </w:rPr>
              <w:t>437</w:t>
            </w:r>
          </w:p>
        </w:tc>
        <w:tc>
          <w:tcPr>
            <w:tcW w:w="993" w:type="dxa"/>
            <w:tcBorders>
              <w:top w:val="single" w:sz="4" w:space="0" w:color="auto"/>
              <w:left w:val="nil"/>
              <w:bottom w:val="single" w:sz="4" w:space="0" w:color="auto"/>
              <w:right w:val="single" w:sz="4" w:space="0" w:color="auto"/>
            </w:tcBorders>
            <w:shd w:val="clear" w:color="auto" w:fill="C6EFCE"/>
            <w:noWrap/>
          </w:tcPr>
          <w:p w14:paraId="49886ECE" w14:textId="7ED9DF69" w:rsidR="00146C1C" w:rsidRPr="00C660D5"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C7.2 I1</w:t>
            </w:r>
          </w:p>
        </w:tc>
        <w:tc>
          <w:tcPr>
            <w:tcW w:w="851" w:type="dxa"/>
            <w:tcBorders>
              <w:top w:val="single" w:sz="4" w:space="0" w:color="auto"/>
              <w:left w:val="nil"/>
              <w:bottom w:val="single" w:sz="4" w:space="0" w:color="auto"/>
              <w:right w:val="single" w:sz="4" w:space="0" w:color="auto"/>
            </w:tcBorders>
            <w:shd w:val="clear" w:color="auto" w:fill="C6EFCE"/>
            <w:noWrap/>
          </w:tcPr>
          <w:p w14:paraId="120F9EF1" w14:textId="77777777" w:rsidR="00146C1C" w:rsidRPr="00AC583C" w:rsidRDefault="00146C1C" w:rsidP="0001477B">
            <w:pPr>
              <w:spacing w:after="200" w:line="276" w:lineRule="auto"/>
              <w:jc w:val="center"/>
              <w:rPr>
                <w:rFonts w:eastAsia="Calibri" w:cstheme="minorHAnsi"/>
                <w:noProof/>
                <w:sz w:val="20"/>
                <w:szCs w:val="20"/>
              </w:rPr>
            </w:pPr>
            <w:r>
              <w:rPr>
                <w:noProof/>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7C514FAD" w14:textId="77777777" w:rsidR="00146C1C" w:rsidRPr="00AC583C" w:rsidRDefault="00146C1C" w:rsidP="0001477B">
            <w:pPr>
              <w:spacing w:after="200" w:line="276" w:lineRule="auto"/>
              <w:rPr>
                <w:rFonts w:eastAsia="Calibri" w:cstheme="minorHAnsi"/>
                <w:noProof/>
                <w:color w:val="000000" w:themeColor="text1"/>
                <w:sz w:val="20"/>
                <w:szCs w:val="20"/>
                <w:highlight w:val="yellow"/>
              </w:rPr>
            </w:pPr>
            <w:r>
              <w:rPr>
                <w:noProof/>
                <w:color w:val="000000" w:themeColor="text1"/>
                <w:sz w:val="20"/>
              </w:rPr>
              <w:t>Ugradnja sustava obnovljivih izvora energije u zgrade javnog sektora</w:t>
            </w:r>
          </w:p>
        </w:tc>
        <w:tc>
          <w:tcPr>
            <w:tcW w:w="2052" w:type="dxa"/>
            <w:tcBorders>
              <w:top w:val="single" w:sz="4" w:space="0" w:color="auto"/>
              <w:left w:val="nil"/>
              <w:bottom w:val="single" w:sz="4" w:space="0" w:color="auto"/>
              <w:right w:val="single" w:sz="4" w:space="0" w:color="auto"/>
            </w:tcBorders>
            <w:shd w:val="clear" w:color="auto" w:fill="C6EFCE"/>
            <w:noWrap/>
          </w:tcPr>
          <w:p w14:paraId="566A8EAA" w14:textId="77777777" w:rsidR="00146C1C" w:rsidRPr="00BC0323" w:rsidRDefault="00146C1C" w:rsidP="0001477B">
            <w:pPr>
              <w:spacing w:after="200" w:line="276" w:lineRule="auto"/>
              <w:rPr>
                <w:rFonts w:eastAsia="Calibri" w:cstheme="minorHAnsi"/>
                <w:noProof/>
                <w:sz w:val="20"/>
                <w:szCs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50F00279" w14:textId="77777777" w:rsidR="00146C1C" w:rsidRPr="00AC583C" w:rsidRDefault="00146C1C" w:rsidP="0001477B">
            <w:pPr>
              <w:spacing w:after="200" w:line="276" w:lineRule="auto"/>
              <w:jc w:val="center"/>
              <w:rPr>
                <w:rFonts w:eastAsia="Calibri" w:cstheme="minorHAnsi"/>
                <w:noProof/>
                <w:color w:val="000000" w:themeColor="text1"/>
                <w:sz w:val="20"/>
                <w:szCs w:val="20"/>
              </w:rPr>
            </w:pPr>
            <w:r>
              <w:rPr>
                <w:noProof/>
                <w:color w:val="000000" w:themeColor="text1"/>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229BB952" w14:textId="77777777" w:rsidR="00146C1C" w:rsidRPr="00AC583C" w:rsidRDefault="00146C1C" w:rsidP="0001477B">
            <w:pPr>
              <w:spacing w:after="200"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4B213EB4" w14:textId="77777777" w:rsidR="00146C1C" w:rsidRPr="00AC583C" w:rsidRDefault="00146C1C" w:rsidP="0001477B">
            <w:pPr>
              <w:spacing w:after="200" w:line="276" w:lineRule="auto"/>
              <w:jc w:val="center"/>
              <w:rPr>
                <w:rFonts w:eastAsia="Calibri" w:cstheme="minorHAnsi"/>
                <w:noProof/>
                <w:sz w:val="20"/>
                <w:szCs w:val="20"/>
              </w:rPr>
            </w:pPr>
            <w:r>
              <w:rPr>
                <w:noProof/>
                <w:sz w:val="20"/>
              </w:rPr>
              <w:t>60</w:t>
            </w:r>
          </w:p>
        </w:tc>
        <w:tc>
          <w:tcPr>
            <w:tcW w:w="567" w:type="dxa"/>
            <w:tcBorders>
              <w:top w:val="single" w:sz="4" w:space="0" w:color="auto"/>
              <w:left w:val="nil"/>
              <w:bottom w:val="single" w:sz="4" w:space="0" w:color="auto"/>
              <w:right w:val="single" w:sz="4" w:space="0" w:color="auto"/>
            </w:tcBorders>
            <w:shd w:val="clear" w:color="auto" w:fill="C6EFCE"/>
            <w:noWrap/>
          </w:tcPr>
          <w:p w14:paraId="556F56E8" w14:textId="77777777" w:rsidR="00146C1C" w:rsidRPr="00174015" w:rsidRDefault="00146C1C" w:rsidP="0001477B">
            <w:pPr>
              <w:spacing w:after="200" w:line="276" w:lineRule="auto"/>
              <w:jc w:val="center"/>
              <w:rPr>
                <w:rFonts w:eastAsia="Calibri" w:cstheme="minorHAnsi"/>
                <w:noProof/>
                <w:sz w:val="20"/>
                <w:szCs w:val="20"/>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2B65E21E" w14:textId="77777777" w:rsidR="00146C1C" w:rsidRPr="00174015" w:rsidRDefault="00146C1C" w:rsidP="0001477B">
            <w:pPr>
              <w:spacing w:after="200" w:line="276" w:lineRule="auto"/>
              <w:jc w:val="center"/>
              <w:rPr>
                <w:rFonts w:eastAsia="Calibri" w:cstheme="minorHAnsi"/>
                <w:noProof/>
                <w:sz w:val="20"/>
                <w:szCs w:val="20"/>
              </w:rPr>
            </w:pPr>
            <w:r>
              <w:rPr>
                <w:noProof/>
                <w:sz w:val="20"/>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7EA05896" w14:textId="21D1DF28" w:rsidR="00146C1C" w:rsidRPr="00AC583C" w:rsidRDefault="00146C1C" w:rsidP="0001477B">
            <w:pPr>
              <w:spacing w:after="200" w:line="276" w:lineRule="auto"/>
              <w:rPr>
                <w:rFonts w:eastAsia="Calibri"/>
                <w:noProof/>
                <w:color w:val="000000" w:themeColor="text1"/>
                <w:sz w:val="20"/>
                <w:szCs w:val="20"/>
                <w:highlight w:val="yellow"/>
              </w:rPr>
            </w:pPr>
            <w:r>
              <w:rPr>
                <w:noProof/>
                <w:color w:val="000000" w:themeColor="text1"/>
                <w:sz w:val="20"/>
              </w:rPr>
              <w:t>Kao dio obnove javnih zgrada u okviru ovog ulaganja u zgrade javnog sektora ugradit će se najmanje 60 sustava obnovljivih izvora energije.</w:t>
            </w:r>
          </w:p>
        </w:tc>
      </w:tr>
      <w:tr w:rsidR="009B103F" w:rsidRPr="00AC583C" w14:paraId="21848626" w14:textId="77777777" w:rsidTr="007C7D10">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2C88D081" w14:textId="4B143872" w:rsidR="00146C1C" w:rsidRPr="00AC583C" w:rsidRDefault="00F46316" w:rsidP="0001477B">
            <w:pPr>
              <w:spacing w:after="0" w:line="276" w:lineRule="auto"/>
              <w:jc w:val="center"/>
              <w:rPr>
                <w:rFonts w:cstheme="minorHAnsi"/>
                <w:noProof/>
                <w:sz w:val="20"/>
                <w:szCs w:val="20"/>
                <w:highlight w:val="yellow"/>
              </w:rPr>
            </w:pPr>
            <w:r>
              <w:rPr>
                <w:noProof/>
                <w:sz w:val="20"/>
              </w:rPr>
              <w:t>438</w:t>
            </w:r>
          </w:p>
        </w:tc>
        <w:tc>
          <w:tcPr>
            <w:tcW w:w="993" w:type="dxa"/>
            <w:tcBorders>
              <w:top w:val="single" w:sz="4" w:space="0" w:color="auto"/>
              <w:left w:val="nil"/>
              <w:bottom w:val="single" w:sz="4" w:space="0" w:color="auto"/>
              <w:right w:val="single" w:sz="4" w:space="0" w:color="auto"/>
            </w:tcBorders>
            <w:shd w:val="clear" w:color="auto" w:fill="C6EFCE"/>
            <w:noWrap/>
          </w:tcPr>
          <w:p w14:paraId="17B3AA66" w14:textId="17C209A5" w:rsidR="00146C1C" w:rsidRPr="00C660D5" w:rsidRDefault="00146C1C" w:rsidP="0001477B">
            <w:pPr>
              <w:spacing w:after="200" w:line="276" w:lineRule="auto"/>
              <w:jc w:val="center"/>
              <w:rPr>
                <w:rFonts w:cstheme="minorHAnsi"/>
                <w:noProof/>
                <w:color w:val="000000" w:themeColor="text1"/>
                <w:sz w:val="20"/>
                <w:szCs w:val="20"/>
                <w:highlight w:val="yellow"/>
              </w:rPr>
            </w:pPr>
            <w:r>
              <w:rPr>
                <w:noProof/>
                <w:color w:val="000000" w:themeColor="text1"/>
                <w:sz w:val="20"/>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629CD41C" w14:textId="77777777" w:rsidR="00146C1C" w:rsidRPr="00AC583C" w:rsidRDefault="00146C1C" w:rsidP="0001477B">
            <w:pPr>
              <w:spacing w:after="200" w:line="276" w:lineRule="auto"/>
              <w:jc w:val="center"/>
              <w:rPr>
                <w:rFonts w:eastAsia="Calibri" w:cstheme="minorHAnsi"/>
                <w:noProof/>
                <w:sz w:val="20"/>
                <w:szCs w:val="20"/>
              </w:rPr>
            </w:pPr>
            <w:r>
              <w:rPr>
                <w:noProof/>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358213D5" w14:textId="77777777" w:rsidR="00146C1C" w:rsidRPr="00AC583C" w:rsidRDefault="00146C1C" w:rsidP="0001477B">
            <w:pPr>
              <w:spacing w:after="200" w:line="276" w:lineRule="auto"/>
              <w:rPr>
                <w:rFonts w:eastAsia="Calibri" w:cstheme="minorHAnsi"/>
                <w:noProof/>
                <w:color w:val="000000" w:themeColor="text1"/>
                <w:sz w:val="20"/>
                <w:szCs w:val="20"/>
              </w:rPr>
            </w:pPr>
            <w:r>
              <w:rPr>
                <w:noProof/>
                <w:color w:val="000000" w:themeColor="text1"/>
                <w:sz w:val="20"/>
              </w:rPr>
              <w:t>Potpisani ugovori za energetsku obnovu višestambenih zgrada oštećenih u potresima</w:t>
            </w:r>
          </w:p>
        </w:tc>
        <w:tc>
          <w:tcPr>
            <w:tcW w:w="2052" w:type="dxa"/>
            <w:tcBorders>
              <w:top w:val="single" w:sz="4" w:space="0" w:color="auto"/>
              <w:left w:val="nil"/>
              <w:bottom w:val="single" w:sz="4" w:space="0" w:color="auto"/>
              <w:right w:val="single" w:sz="4" w:space="0" w:color="auto"/>
            </w:tcBorders>
            <w:shd w:val="clear" w:color="auto" w:fill="C6EFCE"/>
            <w:noWrap/>
          </w:tcPr>
          <w:p w14:paraId="5A3FAE2A" w14:textId="77777777" w:rsidR="00146C1C" w:rsidRPr="00BC0323" w:rsidRDefault="00146C1C" w:rsidP="0001477B">
            <w:pPr>
              <w:spacing w:after="200" w:line="276" w:lineRule="auto"/>
              <w:rPr>
                <w:rFonts w:eastAsia="Calibri" w:cstheme="minorHAnsi"/>
                <w:noProof/>
                <w:sz w:val="20"/>
                <w:szCs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58096EA7" w14:textId="77777777" w:rsidR="00146C1C" w:rsidRPr="00AC583C" w:rsidRDefault="00146C1C" w:rsidP="0001477B">
            <w:pPr>
              <w:spacing w:after="200" w:line="276" w:lineRule="auto"/>
              <w:jc w:val="center"/>
              <w:rPr>
                <w:rFonts w:eastAsia="Calibri" w:cstheme="minorHAnsi"/>
                <w:noProof/>
                <w:color w:val="000000" w:themeColor="text1"/>
                <w:sz w:val="20"/>
                <w:szCs w:val="20"/>
              </w:rPr>
            </w:pPr>
            <w:r>
              <w:rPr>
                <w:noProof/>
                <w:color w:val="000000" w:themeColor="text1"/>
                <w:sz w:val="20"/>
              </w:rPr>
              <w:t>EUR</w:t>
            </w:r>
          </w:p>
        </w:tc>
        <w:tc>
          <w:tcPr>
            <w:tcW w:w="826" w:type="dxa"/>
            <w:tcBorders>
              <w:top w:val="single" w:sz="4" w:space="0" w:color="auto"/>
              <w:left w:val="nil"/>
              <w:bottom w:val="single" w:sz="4" w:space="0" w:color="auto"/>
              <w:right w:val="single" w:sz="4" w:space="0" w:color="auto"/>
            </w:tcBorders>
            <w:shd w:val="clear" w:color="auto" w:fill="C6EFCE"/>
            <w:noWrap/>
          </w:tcPr>
          <w:p w14:paraId="7CE6DDFF" w14:textId="77777777" w:rsidR="00146C1C" w:rsidRPr="00AC583C" w:rsidRDefault="00146C1C" w:rsidP="0001477B">
            <w:pPr>
              <w:spacing w:after="200"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3FDF7DF7" w14:textId="566383D0" w:rsidR="00146C1C" w:rsidRPr="00AC583C" w:rsidRDefault="00D47441" w:rsidP="0001477B">
            <w:pPr>
              <w:spacing w:after="200" w:line="276" w:lineRule="auto"/>
              <w:jc w:val="center"/>
              <w:rPr>
                <w:rFonts w:eastAsia="Calibri" w:cstheme="minorHAnsi"/>
                <w:noProof/>
                <w:sz w:val="20"/>
                <w:szCs w:val="20"/>
              </w:rPr>
            </w:pPr>
            <w:r>
              <w:rPr>
                <w:noProof/>
                <w:sz w:val="20"/>
              </w:rPr>
              <w:t>13 milijuna</w:t>
            </w:r>
          </w:p>
        </w:tc>
        <w:tc>
          <w:tcPr>
            <w:tcW w:w="567" w:type="dxa"/>
            <w:tcBorders>
              <w:top w:val="single" w:sz="4" w:space="0" w:color="auto"/>
              <w:left w:val="nil"/>
              <w:bottom w:val="single" w:sz="4" w:space="0" w:color="auto"/>
              <w:right w:val="single" w:sz="4" w:space="0" w:color="auto"/>
            </w:tcBorders>
            <w:shd w:val="clear" w:color="auto" w:fill="C6EFCE"/>
            <w:noWrap/>
          </w:tcPr>
          <w:p w14:paraId="7BF05028" w14:textId="77777777" w:rsidR="00146C1C" w:rsidRPr="00A153A1" w:rsidRDefault="00146C1C" w:rsidP="0001477B">
            <w:pPr>
              <w:spacing w:after="200" w:line="276" w:lineRule="auto"/>
              <w:jc w:val="center"/>
              <w:rPr>
                <w:rFonts w:eastAsia="Calibri" w:cstheme="minorHAnsi"/>
                <w:noProof/>
                <w:sz w:val="20"/>
                <w:szCs w:val="20"/>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4D401028" w14:textId="77777777" w:rsidR="00146C1C" w:rsidRPr="00A153A1" w:rsidRDefault="00146C1C" w:rsidP="0001477B">
            <w:pPr>
              <w:spacing w:after="200" w:line="276" w:lineRule="auto"/>
              <w:jc w:val="center"/>
              <w:rPr>
                <w:rFonts w:eastAsia="Calibri" w:cstheme="minorHAnsi"/>
                <w:noProof/>
                <w:sz w:val="20"/>
                <w:szCs w:val="20"/>
              </w:rPr>
            </w:pPr>
            <w:r>
              <w:rPr>
                <w:noProof/>
                <w:sz w:val="20"/>
              </w:rPr>
              <w:t>2024.</w:t>
            </w:r>
          </w:p>
        </w:tc>
        <w:tc>
          <w:tcPr>
            <w:tcW w:w="3902" w:type="dxa"/>
            <w:tcBorders>
              <w:top w:val="single" w:sz="4" w:space="0" w:color="auto"/>
              <w:left w:val="nil"/>
              <w:bottom w:val="single" w:sz="4" w:space="0" w:color="auto"/>
              <w:right w:val="single" w:sz="4" w:space="0" w:color="auto"/>
            </w:tcBorders>
            <w:shd w:val="clear" w:color="auto" w:fill="C6EFCE"/>
            <w:noWrap/>
          </w:tcPr>
          <w:p w14:paraId="2DB8B1AA" w14:textId="6BAE9F5F" w:rsidR="00146C1C" w:rsidRPr="00AC583C" w:rsidRDefault="00146C1C" w:rsidP="0001477B">
            <w:pPr>
              <w:spacing w:after="200" w:line="276" w:lineRule="auto"/>
              <w:rPr>
                <w:rFonts w:eastAsia="Calibri" w:cstheme="minorHAnsi"/>
                <w:noProof/>
                <w:color w:val="000000" w:themeColor="text1"/>
                <w:sz w:val="20"/>
                <w:szCs w:val="20"/>
              </w:rPr>
            </w:pPr>
            <w:r>
              <w:rPr>
                <w:noProof/>
                <w:color w:val="000000" w:themeColor="text1"/>
                <w:sz w:val="20"/>
              </w:rPr>
              <w:t>Potpisani ugovori o dodjeli iznosa od najmanje 13 milijuna EUR za energetsku obnovu višestambenih zgrada oštećenih u potresima U svim ugovorima tražit će se i. barem smanjenja potrošnje energije za grijanje od minimalno 50 % za svaku zgradu (osim za zgrade sa statusom kulturnog dobra) u odnosu na godišnju potrošnju energije za grijanje prije obnove, čime će se ostvariti 30 %-tno povećanje uštede primarne energije u odnosu na stanje prije obnove i ii. poštovanje načela nenanošenja bitne štete iz članka 17. Uredbe (EU) 2020/852 o uspostavi okvira za olakšavanje održivih ulaganja.</w:t>
            </w:r>
          </w:p>
        </w:tc>
      </w:tr>
      <w:tr w:rsidR="009B103F" w:rsidRPr="00AC583C" w14:paraId="04299A54" w14:textId="77777777" w:rsidTr="007C7D10">
        <w:trPr>
          <w:trHeight w:val="1675"/>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741B2CE7" w14:textId="3A36E31A" w:rsidR="00146C1C" w:rsidRPr="00AC583C" w:rsidRDefault="00481ED5" w:rsidP="0001477B">
            <w:pPr>
              <w:spacing w:after="0" w:line="276" w:lineRule="auto"/>
              <w:jc w:val="center"/>
              <w:rPr>
                <w:rFonts w:eastAsia="Calibri" w:cstheme="minorHAnsi"/>
                <w:noProof/>
                <w:sz w:val="20"/>
                <w:szCs w:val="20"/>
              </w:rPr>
            </w:pPr>
            <w:r>
              <w:rPr>
                <w:noProof/>
                <w:sz w:val="20"/>
              </w:rPr>
              <w:t>356</w:t>
            </w:r>
          </w:p>
        </w:tc>
        <w:tc>
          <w:tcPr>
            <w:tcW w:w="993" w:type="dxa"/>
            <w:tcBorders>
              <w:top w:val="single" w:sz="4" w:space="0" w:color="auto"/>
              <w:left w:val="nil"/>
              <w:bottom w:val="single" w:sz="4" w:space="0" w:color="auto"/>
              <w:right w:val="single" w:sz="4" w:space="0" w:color="auto"/>
            </w:tcBorders>
            <w:shd w:val="clear" w:color="auto" w:fill="C6EFCE"/>
            <w:noWrap/>
          </w:tcPr>
          <w:p w14:paraId="51969699" w14:textId="3A686FD4" w:rsidR="00146C1C" w:rsidRPr="00AF7192" w:rsidRDefault="00146C1C" w:rsidP="0001477B">
            <w:pPr>
              <w:spacing w:after="200" w:line="276" w:lineRule="auto"/>
              <w:jc w:val="center"/>
              <w:rPr>
                <w:rFonts w:cstheme="minorHAnsi"/>
                <w:noProof/>
                <w:color w:val="000000" w:themeColor="text1"/>
                <w:sz w:val="20"/>
                <w:szCs w:val="20"/>
              </w:rPr>
            </w:pPr>
            <w:r>
              <w:rPr>
                <w:noProof/>
                <w:color w:val="000000" w:themeColor="text1"/>
                <w:sz w:val="20"/>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191C4F04" w14:textId="77777777" w:rsidR="00146C1C" w:rsidRPr="00AC583C" w:rsidRDefault="00146C1C" w:rsidP="0001477B">
            <w:pPr>
              <w:spacing w:after="200" w:line="276" w:lineRule="auto"/>
              <w:jc w:val="center"/>
              <w:rPr>
                <w:rFonts w:eastAsia="Calibri" w:cstheme="minorHAnsi"/>
                <w:noProof/>
                <w:sz w:val="20"/>
                <w:szCs w:val="20"/>
              </w:rPr>
            </w:pPr>
            <w:r>
              <w:rPr>
                <w:noProof/>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6E10015A" w14:textId="77777777" w:rsidR="00146C1C" w:rsidRPr="00AC583C" w:rsidRDefault="00146C1C" w:rsidP="0001477B">
            <w:pPr>
              <w:spacing w:after="200" w:line="276" w:lineRule="auto"/>
              <w:rPr>
                <w:rFonts w:cstheme="minorHAnsi"/>
                <w:noProof/>
                <w:sz w:val="20"/>
                <w:szCs w:val="20"/>
              </w:rPr>
            </w:pPr>
            <w:r>
              <w:rPr>
                <w:noProof/>
                <w:color w:val="000000" w:themeColor="text1"/>
                <w:sz w:val="20"/>
              </w:rPr>
              <w:t>Energetska obnova i obnova nakon potresa za višestambene zgrade oštećene u potresima</w:t>
            </w:r>
          </w:p>
        </w:tc>
        <w:tc>
          <w:tcPr>
            <w:tcW w:w="2052" w:type="dxa"/>
            <w:tcBorders>
              <w:top w:val="single" w:sz="4" w:space="0" w:color="auto"/>
              <w:left w:val="nil"/>
              <w:bottom w:val="single" w:sz="4" w:space="0" w:color="auto"/>
              <w:right w:val="single" w:sz="4" w:space="0" w:color="auto"/>
            </w:tcBorders>
            <w:shd w:val="clear" w:color="auto" w:fill="C6EFCE"/>
            <w:noWrap/>
          </w:tcPr>
          <w:p w14:paraId="7710BCAC" w14:textId="77777777" w:rsidR="00146C1C" w:rsidRPr="00BC0323" w:rsidRDefault="00146C1C" w:rsidP="0001477B">
            <w:pPr>
              <w:spacing w:after="200" w:line="276" w:lineRule="auto"/>
              <w:rPr>
                <w:rFonts w:eastAsia="Calibri" w:cstheme="minorHAnsi"/>
                <w:noProof/>
                <w:sz w:val="20"/>
                <w:szCs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582310BD" w14:textId="77777777" w:rsidR="00146C1C" w:rsidRPr="00AC583C" w:rsidRDefault="00146C1C" w:rsidP="0001477B">
            <w:pPr>
              <w:spacing w:after="200" w:line="276" w:lineRule="auto"/>
              <w:jc w:val="center"/>
              <w:rPr>
                <w:rFonts w:eastAsia="Times New Roman"/>
                <w:noProof/>
                <w:sz w:val="20"/>
                <w:szCs w:val="20"/>
              </w:rPr>
            </w:pPr>
            <w:r>
              <w:rPr>
                <w:noProof/>
                <w:color w:val="000000" w:themeColor="text1"/>
                <w:sz w:val="20"/>
              </w:rPr>
              <w:t>Broj (m2)</w:t>
            </w:r>
            <w:r>
              <w:rPr>
                <w:noProof/>
              </w:rPr>
              <w:br/>
            </w:r>
            <w:r>
              <w:rPr>
                <w:noProof/>
                <w:color w:val="000000" w:themeColor="text1"/>
                <w:sz w:val="20"/>
              </w:rPr>
              <w:t xml:space="preserve"> </w:t>
            </w:r>
          </w:p>
        </w:tc>
        <w:tc>
          <w:tcPr>
            <w:tcW w:w="826" w:type="dxa"/>
            <w:tcBorders>
              <w:top w:val="single" w:sz="4" w:space="0" w:color="auto"/>
              <w:left w:val="nil"/>
              <w:bottom w:val="single" w:sz="4" w:space="0" w:color="auto"/>
              <w:right w:val="single" w:sz="4" w:space="0" w:color="auto"/>
            </w:tcBorders>
            <w:shd w:val="clear" w:color="auto" w:fill="C6EFCE"/>
            <w:noWrap/>
          </w:tcPr>
          <w:p w14:paraId="5445FF0C" w14:textId="77777777" w:rsidR="00146C1C" w:rsidRPr="00AC583C" w:rsidRDefault="00146C1C" w:rsidP="0001477B">
            <w:pPr>
              <w:spacing w:after="200"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1C5647C7" w14:textId="7A9865DF" w:rsidR="00146C1C" w:rsidRPr="00AC583C" w:rsidRDefault="00146C1C" w:rsidP="0001477B">
            <w:pPr>
              <w:spacing w:after="200" w:line="276" w:lineRule="auto"/>
              <w:jc w:val="center"/>
              <w:rPr>
                <w:rFonts w:eastAsia="Calibri" w:cstheme="minorHAnsi"/>
                <w:noProof/>
                <w:sz w:val="20"/>
                <w:szCs w:val="20"/>
              </w:rPr>
            </w:pPr>
            <w:r>
              <w:rPr>
                <w:noProof/>
                <w:sz w:val="20"/>
              </w:rPr>
              <w:t>78 350</w:t>
            </w:r>
          </w:p>
        </w:tc>
        <w:tc>
          <w:tcPr>
            <w:tcW w:w="567" w:type="dxa"/>
            <w:tcBorders>
              <w:top w:val="single" w:sz="4" w:space="0" w:color="auto"/>
              <w:left w:val="nil"/>
              <w:bottom w:val="single" w:sz="4" w:space="0" w:color="auto"/>
              <w:right w:val="single" w:sz="4" w:space="0" w:color="auto"/>
            </w:tcBorders>
            <w:shd w:val="clear" w:color="auto" w:fill="C6EFCE"/>
            <w:noWrap/>
          </w:tcPr>
          <w:p w14:paraId="350C5DA8" w14:textId="77777777" w:rsidR="00146C1C" w:rsidRPr="00AC583C" w:rsidRDefault="00146C1C" w:rsidP="0001477B">
            <w:pPr>
              <w:spacing w:after="200" w:line="276" w:lineRule="auto"/>
              <w:jc w:val="center"/>
              <w:rPr>
                <w:rFonts w:eastAsia="Calibri" w:cstheme="minorHAnsi"/>
                <w:noProof/>
                <w:sz w:val="20"/>
                <w:szCs w:val="20"/>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3671D0FF" w14:textId="77777777" w:rsidR="00146C1C" w:rsidRPr="00AC583C" w:rsidRDefault="00146C1C" w:rsidP="0001477B">
            <w:pPr>
              <w:spacing w:after="200" w:line="276" w:lineRule="auto"/>
              <w:jc w:val="center"/>
              <w:rPr>
                <w:rFonts w:eastAsia="Calibri" w:cstheme="minorHAnsi"/>
                <w:noProof/>
                <w:sz w:val="20"/>
                <w:szCs w:val="20"/>
              </w:rPr>
            </w:pPr>
            <w:r>
              <w:rPr>
                <w:noProof/>
                <w:sz w:val="20"/>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476B8DBE" w14:textId="1B3632D9" w:rsidR="00146C1C" w:rsidRPr="00AC583C" w:rsidRDefault="00146C1C" w:rsidP="0001477B">
            <w:pPr>
              <w:spacing w:after="200" w:line="276" w:lineRule="auto"/>
              <w:rPr>
                <w:rFonts w:eastAsia="Calibri" w:cstheme="minorHAnsi"/>
                <w:noProof/>
                <w:color w:val="000000" w:themeColor="text1"/>
                <w:sz w:val="20"/>
                <w:szCs w:val="20"/>
              </w:rPr>
            </w:pPr>
            <w:r>
              <w:rPr>
                <w:noProof/>
                <w:color w:val="000000" w:themeColor="text1"/>
                <w:sz w:val="20"/>
              </w:rPr>
              <w:t>Dovršit će se energetska obnova i obnova nakon potresa najmanje 78 350 m</w:t>
            </w:r>
            <w:r>
              <w:rPr>
                <w:noProof/>
                <w:color w:val="000000" w:themeColor="text1"/>
                <w:sz w:val="20"/>
                <w:vertAlign w:val="superscript"/>
              </w:rPr>
              <w:t>2</w:t>
            </w:r>
            <w:r>
              <w:rPr>
                <w:noProof/>
                <w:color w:val="000000" w:themeColor="text1"/>
                <w:sz w:val="20"/>
              </w:rPr>
              <w:t xml:space="preserve"> višestambenih zgrada oštećenih u potresima (u jednom od sljedećih područja: Grad Zagreb, Krapinsko-zagorska županija, Zagrebačka županija, Sisačko-moslavačka županija, Karlovačka županija) prema ugovorima o sufinanciranju, čime će se ispuniti zahtjev u pogledu smanjenja potrošnje energije za grijanje od najmanje 50 % za svaku zgradu (osim za zgrade sa statusom kulturnog dobra) u odnosu na godišnju potrošnju energije za grijanje prije obnove i ostvariti 30 %-tno povećanje uštede primarne energije u odnosu na stanje prije obnove, uz poštovanje načela nenanošenja bitne štete iz članka 17. Uredbe (EU) 2020/852 o uspostavi okvira za olakšavanje održivih ulaganja.</w:t>
            </w:r>
          </w:p>
        </w:tc>
      </w:tr>
      <w:tr w:rsidR="009B103F" w:rsidRPr="00AC583C" w14:paraId="53419397" w14:textId="77777777" w:rsidTr="007C7D10">
        <w:trPr>
          <w:trHeight w:val="300"/>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4B1235FF" w14:textId="0ED68B6F" w:rsidR="00146C1C" w:rsidRPr="00AC583C" w:rsidRDefault="005A5CB7" w:rsidP="0001477B">
            <w:pPr>
              <w:spacing w:after="0" w:line="276" w:lineRule="auto"/>
              <w:jc w:val="center"/>
              <w:rPr>
                <w:rFonts w:cstheme="minorHAnsi"/>
                <w:noProof/>
                <w:sz w:val="20"/>
                <w:szCs w:val="20"/>
                <w:highlight w:val="yellow"/>
              </w:rPr>
            </w:pPr>
            <w:r>
              <w:rPr>
                <w:noProof/>
                <w:sz w:val="20"/>
              </w:rPr>
              <w:t>357</w:t>
            </w:r>
          </w:p>
        </w:tc>
        <w:tc>
          <w:tcPr>
            <w:tcW w:w="993" w:type="dxa"/>
            <w:tcBorders>
              <w:top w:val="single" w:sz="4" w:space="0" w:color="auto"/>
              <w:left w:val="nil"/>
              <w:bottom w:val="single" w:sz="4" w:space="0" w:color="auto"/>
              <w:right w:val="single" w:sz="4" w:space="0" w:color="auto"/>
            </w:tcBorders>
            <w:shd w:val="clear" w:color="auto" w:fill="C6EFCE"/>
            <w:noWrap/>
          </w:tcPr>
          <w:p w14:paraId="14AE5B4B" w14:textId="275415AE" w:rsidR="00146C1C" w:rsidRPr="00DD2890" w:rsidRDefault="00146C1C" w:rsidP="0001477B">
            <w:pPr>
              <w:spacing w:line="276" w:lineRule="auto"/>
              <w:jc w:val="center"/>
              <w:rPr>
                <w:rFonts w:cstheme="minorHAnsi"/>
                <w:noProof/>
                <w:color w:val="000000" w:themeColor="text1"/>
                <w:sz w:val="20"/>
                <w:szCs w:val="20"/>
                <w:highlight w:val="yellow"/>
              </w:rPr>
            </w:pPr>
            <w:r>
              <w:rPr>
                <w:noProof/>
                <w:color w:val="000000" w:themeColor="text1"/>
                <w:sz w:val="20"/>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7FF1160C" w14:textId="77777777" w:rsidR="00146C1C" w:rsidRPr="00AC583C" w:rsidRDefault="00146C1C" w:rsidP="0001477B">
            <w:pPr>
              <w:spacing w:line="276" w:lineRule="auto"/>
              <w:jc w:val="center"/>
              <w:rPr>
                <w:rFonts w:eastAsia="Calibri" w:cstheme="minorHAnsi"/>
                <w:noProof/>
                <w:color w:val="000000" w:themeColor="text1"/>
                <w:sz w:val="20"/>
                <w:szCs w:val="20"/>
              </w:rPr>
            </w:pPr>
            <w:r>
              <w:rPr>
                <w:noProof/>
                <w:color w:val="000000" w:themeColor="text1"/>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5EE7C757" w14:textId="77777777" w:rsidR="00146C1C" w:rsidRPr="00AC583C" w:rsidRDefault="00146C1C" w:rsidP="0001477B">
            <w:pPr>
              <w:spacing w:line="276" w:lineRule="auto"/>
              <w:rPr>
                <w:rFonts w:eastAsia="Calibri" w:cstheme="minorHAnsi"/>
                <w:noProof/>
                <w:color w:val="000000" w:themeColor="text1"/>
                <w:sz w:val="20"/>
                <w:szCs w:val="20"/>
              </w:rPr>
            </w:pPr>
            <w:r>
              <w:rPr>
                <w:noProof/>
                <w:color w:val="000000" w:themeColor="text1"/>
                <w:sz w:val="20"/>
              </w:rPr>
              <w:t>Energetska obnova i obnova nakon potresa za javne zgrade oštećene u potresu</w:t>
            </w:r>
          </w:p>
        </w:tc>
        <w:tc>
          <w:tcPr>
            <w:tcW w:w="2052" w:type="dxa"/>
            <w:tcBorders>
              <w:top w:val="single" w:sz="4" w:space="0" w:color="auto"/>
              <w:left w:val="nil"/>
              <w:bottom w:val="single" w:sz="4" w:space="0" w:color="auto"/>
              <w:right w:val="single" w:sz="4" w:space="0" w:color="auto"/>
            </w:tcBorders>
            <w:shd w:val="clear" w:color="auto" w:fill="C6EFCE"/>
            <w:noWrap/>
          </w:tcPr>
          <w:p w14:paraId="7CD72D8B" w14:textId="77777777" w:rsidR="00146C1C" w:rsidRPr="00BC0323" w:rsidRDefault="00146C1C" w:rsidP="0001477B">
            <w:pPr>
              <w:spacing w:line="276" w:lineRule="auto"/>
              <w:rPr>
                <w:rFonts w:eastAsia="Calibri" w:cstheme="minorHAnsi"/>
                <w:noProof/>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65FB1EA3" w14:textId="77777777" w:rsidR="00146C1C" w:rsidRPr="00AC583C" w:rsidRDefault="00146C1C" w:rsidP="0001477B">
            <w:pPr>
              <w:spacing w:after="200" w:line="276" w:lineRule="auto"/>
              <w:jc w:val="center"/>
              <w:rPr>
                <w:rFonts w:eastAsia="Times New Roman" w:cstheme="minorHAnsi"/>
                <w:noProof/>
                <w:sz w:val="20"/>
                <w:szCs w:val="20"/>
              </w:rPr>
            </w:pPr>
            <w:r>
              <w:rPr>
                <w:noProof/>
                <w:color w:val="000000" w:themeColor="text1"/>
                <w:sz w:val="20"/>
              </w:rPr>
              <w:t>Broj</w:t>
            </w:r>
            <w:r>
              <w:rPr>
                <w:noProof/>
                <w:sz w:val="20"/>
              </w:rPr>
              <w:br/>
            </w:r>
            <w:r>
              <w:rPr>
                <w:noProof/>
                <w:color w:val="000000" w:themeColor="text1"/>
                <w:sz w:val="20"/>
              </w:rPr>
              <w:t xml:space="preserve"> (m2)</w:t>
            </w:r>
          </w:p>
          <w:p w14:paraId="6DD337D7" w14:textId="77777777" w:rsidR="00146C1C" w:rsidRPr="00AC583C" w:rsidRDefault="00146C1C" w:rsidP="0001477B">
            <w:pPr>
              <w:spacing w:line="276" w:lineRule="auto"/>
              <w:jc w:val="center"/>
              <w:rPr>
                <w:rFonts w:eastAsia="Calibri" w:cstheme="minorHAnsi"/>
                <w:noProof/>
                <w:color w:val="000000" w:themeColor="text1"/>
                <w:sz w:val="20"/>
                <w:szCs w:val="20"/>
                <w:lang w:val="en-GB"/>
              </w:rPr>
            </w:pPr>
          </w:p>
        </w:tc>
        <w:tc>
          <w:tcPr>
            <w:tcW w:w="826" w:type="dxa"/>
            <w:tcBorders>
              <w:top w:val="single" w:sz="4" w:space="0" w:color="auto"/>
              <w:left w:val="nil"/>
              <w:bottom w:val="single" w:sz="4" w:space="0" w:color="auto"/>
              <w:right w:val="single" w:sz="4" w:space="0" w:color="auto"/>
            </w:tcBorders>
            <w:shd w:val="clear" w:color="auto" w:fill="C6EFCE"/>
            <w:noWrap/>
          </w:tcPr>
          <w:p w14:paraId="5B123122" w14:textId="77777777" w:rsidR="00146C1C" w:rsidRPr="00AC583C" w:rsidRDefault="00146C1C" w:rsidP="0001477B">
            <w:pPr>
              <w:spacing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63F3D345" w14:textId="3DDDD4ED" w:rsidR="00146C1C" w:rsidRPr="00AC583C" w:rsidRDefault="00146C1C" w:rsidP="0001477B">
            <w:pPr>
              <w:spacing w:line="276" w:lineRule="auto"/>
              <w:jc w:val="center"/>
              <w:rPr>
                <w:rFonts w:eastAsia="Calibri" w:cstheme="minorHAnsi"/>
                <w:noProof/>
                <w:sz w:val="20"/>
                <w:szCs w:val="20"/>
              </w:rPr>
            </w:pPr>
            <w:r>
              <w:rPr>
                <w:noProof/>
                <w:sz w:val="20"/>
              </w:rPr>
              <w:t>596 495</w:t>
            </w:r>
          </w:p>
        </w:tc>
        <w:tc>
          <w:tcPr>
            <w:tcW w:w="567" w:type="dxa"/>
            <w:tcBorders>
              <w:top w:val="single" w:sz="4" w:space="0" w:color="auto"/>
              <w:left w:val="nil"/>
              <w:bottom w:val="single" w:sz="4" w:space="0" w:color="auto"/>
              <w:right w:val="single" w:sz="4" w:space="0" w:color="auto"/>
            </w:tcBorders>
            <w:shd w:val="clear" w:color="auto" w:fill="C6EFCE"/>
            <w:noWrap/>
          </w:tcPr>
          <w:p w14:paraId="1BFCE9D1" w14:textId="77777777" w:rsidR="00146C1C" w:rsidRPr="00AC583C" w:rsidRDefault="00146C1C" w:rsidP="0001477B">
            <w:pPr>
              <w:spacing w:line="276" w:lineRule="auto"/>
              <w:jc w:val="center"/>
              <w:rPr>
                <w:rFonts w:eastAsia="Calibri" w:cstheme="minorHAnsi"/>
                <w:noProof/>
                <w:sz w:val="20"/>
                <w:szCs w:val="20"/>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50A2B20B" w14:textId="77777777" w:rsidR="00146C1C" w:rsidRPr="00AC583C" w:rsidRDefault="00146C1C" w:rsidP="0001477B">
            <w:pPr>
              <w:spacing w:line="276" w:lineRule="auto"/>
              <w:jc w:val="center"/>
              <w:rPr>
                <w:rFonts w:eastAsia="Calibri" w:cstheme="minorHAnsi"/>
                <w:noProof/>
                <w:sz w:val="20"/>
                <w:szCs w:val="20"/>
              </w:rPr>
            </w:pPr>
            <w:r>
              <w:rPr>
                <w:noProof/>
                <w:sz w:val="20"/>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0C9535E7" w14:textId="551B5C8C" w:rsidR="00146C1C" w:rsidRPr="00AC583C" w:rsidRDefault="00146C1C" w:rsidP="0001477B">
            <w:pPr>
              <w:spacing w:line="276" w:lineRule="auto"/>
              <w:rPr>
                <w:rFonts w:eastAsia="Calibri" w:cstheme="minorHAnsi"/>
                <w:noProof/>
                <w:color w:val="000000" w:themeColor="text1"/>
                <w:sz w:val="20"/>
                <w:szCs w:val="20"/>
              </w:rPr>
            </w:pPr>
            <w:r>
              <w:rPr>
                <w:noProof/>
                <w:color w:val="000000" w:themeColor="text1"/>
                <w:sz w:val="20"/>
              </w:rPr>
              <w:t>Dovršit će se energetska obnova i obnova nakon potresa najmanje 596 495 m</w:t>
            </w:r>
            <w:r>
              <w:rPr>
                <w:noProof/>
                <w:color w:val="000000" w:themeColor="text1"/>
                <w:sz w:val="20"/>
                <w:vertAlign w:val="superscript"/>
              </w:rPr>
              <w:t>2</w:t>
            </w:r>
            <w:r>
              <w:rPr>
                <w:noProof/>
                <w:color w:val="000000" w:themeColor="text1"/>
                <w:sz w:val="20"/>
              </w:rPr>
              <w:t xml:space="preserve"> javnih zgrada oštećenih u potresima (u jednom od sljedećih područja ili više njih: Grad Zagreb, Krapinsko-zagorska županija, Zagrebačka županija, Sisačko-moslavačka županija, Karlovačka županija, Varaždinska županija, Međimurska županija, Brodsko-posavska županija, Koprivničko-križevačka županija i Bjelovarsko-bilogorska županija) prema ugovorima o sufinanciranju, čime će se ispuniti zahtjev u pogledu smanjenja potrošnje energije za grijanje od najmanje 50 % za svaku zgradu (osim za zgrade sa statusom kulturnog dobra) u odnosu na godišnju potrošnju energije za grijanje prije obnove i ostvariti 30 %-tno povećanje uštede primarne energije u odnosu na stanje prije obnove, uz poštovanje načela nenanošenja bitne štete iz članka 17. Uredbe (EU) 2020/852 o uspostavi okvira za olakšavanje održivih ulaganja.</w:t>
            </w:r>
          </w:p>
        </w:tc>
      </w:tr>
      <w:tr w:rsidR="009B103F" w:rsidRPr="00AC583C" w14:paraId="21545BEA" w14:textId="77777777" w:rsidTr="007C7D10">
        <w:trPr>
          <w:trHeight w:val="966"/>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15C7FC4C" w14:textId="3756B6C6" w:rsidR="00146C1C" w:rsidRPr="00AC583C" w:rsidRDefault="005A5CB7" w:rsidP="0001477B">
            <w:pPr>
              <w:spacing w:after="0" w:line="276" w:lineRule="auto"/>
              <w:jc w:val="center"/>
              <w:rPr>
                <w:rFonts w:cstheme="minorHAnsi"/>
                <w:noProof/>
                <w:sz w:val="20"/>
                <w:szCs w:val="20"/>
                <w:highlight w:val="yellow"/>
              </w:rPr>
            </w:pPr>
            <w:r>
              <w:rPr>
                <w:noProof/>
                <w:sz w:val="20"/>
              </w:rPr>
              <w:t>439</w:t>
            </w:r>
          </w:p>
        </w:tc>
        <w:tc>
          <w:tcPr>
            <w:tcW w:w="993" w:type="dxa"/>
            <w:tcBorders>
              <w:top w:val="single" w:sz="4" w:space="0" w:color="auto"/>
              <w:left w:val="nil"/>
              <w:bottom w:val="single" w:sz="4" w:space="0" w:color="auto"/>
              <w:right w:val="single" w:sz="4" w:space="0" w:color="auto"/>
            </w:tcBorders>
            <w:shd w:val="clear" w:color="auto" w:fill="C6EFCE"/>
            <w:noWrap/>
          </w:tcPr>
          <w:p w14:paraId="3426AD6D" w14:textId="10E04332" w:rsidR="00146C1C" w:rsidRPr="00AF7192" w:rsidRDefault="00146C1C" w:rsidP="0001477B">
            <w:pPr>
              <w:spacing w:line="276" w:lineRule="auto"/>
              <w:jc w:val="center"/>
              <w:rPr>
                <w:rFonts w:cstheme="minorHAnsi"/>
                <w:noProof/>
                <w:color w:val="000000" w:themeColor="text1"/>
                <w:sz w:val="20"/>
                <w:szCs w:val="20"/>
              </w:rPr>
            </w:pPr>
            <w:r>
              <w:rPr>
                <w:noProof/>
                <w:color w:val="000000" w:themeColor="text1"/>
                <w:sz w:val="20"/>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4AD802D1" w14:textId="77777777" w:rsidR="00146C1C" w:rsidRPr="00AC583C" w:rsidRDefault="00146C1C" w:rsidP="0001477B">
            <w:pPr>
              <w:spacing w:line="276" w:lineRule="auto"/>
              <w:jc w:val="center"/>
              <w:rPr>
                <w:rFonts w:eastAsia="Calibri" w:cstheme="minorHAnsi"/>
                <w:noProof/>
                <w:color w:val="000000" w:themeColor="text1"/>
                <w:sz w:val="20"/>
                <w:szCs w:val="20"/>
              </w:rPr>
            </w:pPr>
            <w:r>
              <w:rPr>
                <w:noProof/>
                <w:color w:val="000000" w:themeColor="text1"/>
                <w:sz w:val="20"/>
              </w:rPr>
              <w:t>Ciljna vrijednost</w:t>
            </w:r>
          </w:p>
        </w:tc>
        <w:tc>
          <w:tcPr>
            <w:tcW w:w="2551" w:type="dxa"/>
            <w:tcBorders>
              <w:top w:val="single" w:sz="4" w:space="0" w:color="auto"/>
              <w:left w:val="nil"/>
              <w:bottom w:val="single" w:sz="4" w:space="0" w:color="auto"/>
              <w:right w:val="single" w:sz="4" w:space="0" w:color="auto"/>
            </w:tcBorders>
            <w:shd w:val="clear" w:color="auto" w:fill="C6EFCE"/>
            <w:noWrap/>
          </w:tcPr>
          <w:p w14:paraId="5BF0EC0F" w14:textId="77777777" w:rsidR="00146C1C" w:rsidRPr="00AC583C" w:rsidRDefault="00146C1C" w:rsidP="0001477B">
            <w:pPr>
              <w:spacing w:line="276" w:lineRule="auto"/>
              <w:rPr>
                <w:rFonts w:eastAsia="Calibri" w:cstheme="minorHAnsi"/>
                <w:noProof/>
                <w:color w:val="000000" w:themeColor="text1"/>
                <w:sz w:val="20"/>
                <w:szCs w:val="20"/>
              </w:rPr>
            </w:pPr>
            <w:r>
              <w:rPr>
                <w:noProof/>
                <w:color w:val="000000" w:themeColor="text1"/>
                <w:sz w:val="20"/>
              </w:rPr>
              <w:t>Ugradnja sustava obnovljivih izvora energije u zgrade javnog sektora oštećene potresom</w:t>
            </w:r>
          </w:p>
        </w:tc>
        <w:tc>
          <w:tcPr>
            <w:tcW w:w="2052" w:type="dxa"/>
            <w:tcBorders>
              <w:top w:val="single" w:sz="4" w:space="0" w:color="auto"/>
              <w:left w:val="nil"/>
              <w:bottom w:val="single" w:sz="4" w:space="0" w:color="auto"/>
              <w:right w:val="single" w:sz="4" w:space="0" w:color="auto"/>
            </w:tcBorders>
            <w:shd w:val="clear" w:color="auto" w:fill="C6EFCE"/>
            <w:noWrap/>
          </w:tcPr>
          <w:p w14:paraId="449CD703" w14:textId="77777777" w:rsidR="00146C1C" w:rsidRPr="00BC0323" w:rsidRDefault="00146C1C" w:rsidP="0001477B">
            <w:pPr>
              <w:spacing w:line="276" w:lineRule="auto"/>
              <w:rPr>
                <w:rFonts w:eastAsia="Calibri" w:cstheme="minorHAnsi"/>
                <w:noProof/>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4FF16694" w14:textId="77777777" w:rsidR="00146C1C" w:rsidRPr="00AC583C" w:rsidRDefault="00146C1C" w:rsidP="0001477B">
            <w:pPr>
              <w:spacing w:after="200" w:line="276" w:lineRule="auto"/>
              <w:jc w:val="center"/>
              <w:rPr>
                <w:rFonts w:eastAsia="Calibri" w:cstheme="minorHAnsi"/>
                <w:noProof/>
                <w:color w:val="000000" w:themeColor="text1"/>
                <w:sz w:val="20"/>
                <w:szCs w:val="20"/>
              </w:rPr>
            </w:pPr>
            <w:r>
              <w:rPr>
                <w:noProof/>
                <w:color w:val="000000" w:themeColor="text1"/>
                <w:sz w:val="20"/>
              </w:rPr>
              <w:t>Broj</w:t>
            </w:r>
          </w:p>
        </w:tc>
        <w:tc>
          <w:tcPr>
            <w:tcW w:w="826" w:type="dxa"/>
            <w:tcBorders>
              <w:top w:val="single" w:sz="4" w:space="0" w:color="auto"/>
              <w:left w:val="nil"/>
              <w:bottom w:val="single" w:sz="4" w:space="0" w:color="auto"/>
              <w:right w:val="single" w:sz="4" w:space="0" w:color="auto"/>
            </w:tcBorders>
            <w:shd w:val="clear" w:color="auto" w:fill="C6EFCE"/>
            <w:noWrap/>
          </w:tcPr>
          <w:p w14:paraId="7AF92975" w14:textId="77777777" w:rsidR="00146C1C" w:rsidRPr="00AC583C" w:rsidRDefault="00146C1C" w:rsidP="0001477B">
            <w:pPr>
              <w:spacing w:line="276" w:lineRule="auto"/>
              <w:jc w:val="center"/>
              <w:rPr>
                <w:rFonts w:eastAsia="Calibri" w:cstheme="minorHAnsi"/>
                <w:noProof/>
                <w:sz w:val="20"/>
                <w:szCs w:val="20"/>
              </w:rPr>
            </w:pPr>
            <w:r>
              <w:rPr>
                <w:noProof/>
                <w:sz w:val="20"/>
              </w:rPr>
              <w:t>0</w:t>
            </w:r>
          </w:p>
        </w:tc>
        <w:tc>
          <w:tcPr>
            <w:tcW w:w="802" w:type="dxa"/>
            <w:tcBorders>
              <w:top w:val="single" w:sz="4" w:space="0" w:color="auto"/>
              <w:left w:val="nil"/>
              <w:bottom w:val="single" w:sz="4" w:space="0" w:color="auto"/>
              <w:right w:val="single" w:sz="4" w:space="0" w:color="auto"/>
            </w:tcBorders>
            <w:shd w:val="clear" w:color="auto" w:fill="C6EFCE"/>
            <w:noWrap/>
          </w:tcPr>
          <w:p w14:paraId="43B86AB6" w14:textId="77777777" w:rsidR="00146C1C" w:rsidRPr="00AC583C" w:rsidRDefault="00146C1C" w:rsidP="0001477B">
            <w:pPr>
              <w:spacing w:line="276" w:lineRule="auto"/>
              <w:jc w:val="center"/>
              <w:rPr>
                <w:rFonts w:eastAsia="Calibri" w:cstheme="minorHAnsi"/>
                <w:noProof/>
                <w:sz w:val="20"/>
                <w:szCs w:val="20"/>
              </w:rPr>
            </w:pPr>
            <w:r>
              <w:rPr>
                <w:noProof/>
                <w:sz w:val="20"/>
              </w:rPr>
              <w:t>50</w:t>
            </w:r>
          </w:p>
        </w:tc>
        <w:tc>
          <w:tcPr>
            <w:tcW w:w="567" w:type="dxa"/>
            <w:tcBorders>
              <w:top w:val="single" w:sz="4" w:space="0" w:color="auto"/>
              <w:left w:val="nil"/>
              <w:bottom w:val="single" w:sz="4" w:space="0" w:color="auto"/>
              <w:right w:val="single" w:sz="4" w:space="0" w:color="auto"/>
            </w:tcBorders>
            <w:shd w:val="clear" w:color="auto" w:fill="C6EFCE"/>
            <w:noWrap/>
          </w:tcPr>
          <w:p w14:paraId="14E28FAD" w14:textId="77777777" w:rsidR="00146C1C" w:rsidRPr="00AC583C" w:rsidRDefault="00146C1C" w:rsidP="0001477B">
            <w:pPr>
              <w:spacing w:line="276" w:lineRule="auto"/>
              <w:jc w:val="center"/>
              <w:rPr>
                <w:rFonts w:eastAsia="Calibri" w:cstheme="minorHAnsi"/>
                <w:noProof/>
                <w:sz w:val="20"/>
                <w:szCs w:val="20"/>
                <w:highlight w:val="yellow"/>
              </w:rPr>
            </w:pPr>
            <w:r>
              <w:rPr>
                <w:noProof/>
                <w:sz w:val="20"/>
              </w:rPr>
              <w:t>2.</w:t>
            </w:r>
          </w:p>
        </w:tc>
        <w:tc>
          <w:tcPr>
            <w:tcW w:w="709" w:type="dxa"/>
            <w:tcBorders>
              <w:top w:val="single" w:sz="4" w:space="0" w:color="auto"/>
              <w:left w:val="nil"/>
              <w:bottom w:val="single" w:sz="4" w:space="0" w:color="auto"/>
              <w:right w:val="single" w:sz="4" w:space="0" w:color="auto"/>
            </w:tcBorders>
            <w:shd w:val="clear" w:color="auto" w:fill="C6EFCE"/>
            <w:noWrap/>
          </w:tcPr>
          <w:p w14:paraId="52AEA53B" w14:textId="77777777" w:rsidR="00146C1C" w:rsidRPr="00AC583C" w:rsidRDefault="00146C1C" w:rsidP="0001477B">
            <w:pPr>
              <w:spacing w:line="276" w:lineRule="auto"/>
              <w:jc w:val="center"/>
              <w:rPr>
                <w:rFonts w:eastAsia="Calibri" w:cstheme="minorHAnsi"/>
                <w:noProof/>
                <w:sz w:val="20"/>
                <w:szCs w:val="20"/>
                <w:highlight w:val="yellow"/>
              </w:rPr>
            </w:pPr>
            <w:r>
              <w:rPr>
                <w:noProof/>
                <w:sz w:val="20"/>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1105A9EB" w14:textId="2E821B3F" w:rsidR="00146C1C" w:rsidRPr="00AC583C" w:rsidRDefault="00146C1C" w:rsidP="0001477B">
            <w:pPr>
              <w:spacing w:line="276" w:lineRule="auto"/>
              <w:rPr>
                <w:rFonts w:eastAsia="Calibri" w:cstheme="minorHAnsi"/>
                <w:noProof/>
                <w:color w:val="000000" w:themeColor="text1"/>
                <w:sz w:val="20"/>
                <w:szCs w:val="20"/>
                <w:highlight w:val="yellow"/>
              </w:rPr>
            </w:pPr>
            <w:r>
              <w:rPr>
                <w:noProof/>
                <w:color w:val="000000" w:themeColor="text1"/>
                <w:sz w:val="20"/>
              </w:rPr>
              <w:t>U javnim zgradama obnovljenima u okviru tog ulaganja ugradit će se najmanje 50 sustava obnovljivih izvora energije.</w:t>
            </w:r>
          </w:p>
        </w:tc>
      </w:tr>
    </w:tbl>
    <w:p w14:paraId="2D272560" w14:textId="77777777" w:rsidR="00632AA1" w:rsidRPr="00BC0323" w:rsidRDefault="00632AA1">
      <w:pPr>
        <w:rPr>
          <w:noProof/>
        </w:rPr>
        <w:sectPr w:rsidR="00632AA1" w:rsidRPr="00BC0323" w:rsidSect="00146C1C">
          <w:headerReference w:type="even" r:id="rId444"/>
          <w:headerReference w:type="default" r:id="rId445"/>
          <w:footerReference w:type="even" r:id="rId446"/>
          <w:footerReference w:type="default" r:id="rId447"/>
          <w:headerReference w:type="first" r:id="rId448"/>
          <w:footerReference w:type="first" r:id="rId449"/>
          <w:pgSz w:w="15840" w:h="12240" w:orient="landscape"/>
          <w:pgMar w:top="1440" w:right="1440" w:bottom="1440" w:left="1440" w:header="708" w:footer="708" w:gutter="0"/>
          <w:cols w:space="708"/>
          <w:docGrid w:linePitch="360"/>
        </w:sectPr>
      </w:pPr>
    </w:p>
    <w:p w14:paraId="54F6BBCC" w14:textId="77777777" w:rsidR="00095369" w:rsidRPr="0059000D" w:rsidRDefault="00095369" w:rsidP="00095369">
      <w:pPr>
        <w:numPr>
          <w:ilvl w:val="0"/>
          <w:numId w:val="45"/>
        </w:numPr>
        <w:spacing w:after="0"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b/>
          <w:noProof/>
          <w:sz w:val="24"/>
        </w:rPr>
        <w:t>Procijenjeni ukupni troškovi plana za oporavak i otpornost</w:t>
      </w:r>
      <w:r>
        <w:rPr>
          <w:rFonts w:ascii="Times New Roman" w:hAnsi="Times New Roman"/>
          <w:noProof/>
          <w:sz w:val="24"/>
        </w:rPr>
        <w:t> </w:t>
      </w:r>
    </w:p>
    <w:p w14:paraId="188F6F55" w14:textId="2C4AADE4" w:rsidR="00095369" w:rsidRPr="0059000D" w:rsidRDefault="00095369" w:rsidP="00095369">
      <w:pPr>
        <w:spacing w:after="0" w:line="240" w:lineRule="auto"/>
        <w:ind w:left="840"/>
        <w:jc w:val="both"/>
        <w:textAlignment w:val="baseline"/>
        <w:rPr>
          <w:rFonts w:ascii="Segoe UI" w:eastAsia="Times New Roman" w:hAnsi="Segoe UI" w:cs="Segoe UI"/>
          <w:noProof/>
          <w:sz w:val="18"/>
          <w:szCs w:val="18"/>
        </w:rPr>
      </w:pPr>
      <w:r>
        <w:rPr>
          <w:rFonts w:ascii="Times New Roman" w:hAnsi="Times New Roman"/>
          <w:noProof/>
          <w:sz w:val="24"/>
        </w:rPr>
        <w:t>Procijenjeni ukupni troškovi plana za oporavak i otpornost Hrvatske iznose 10 040 701 600 EUR. </w:t>
      </w:r>
    </w:p>
    <w:p w14:paraId="51AECAC6" w14:textId="122882AB" w:rsidR="00095369" w:rsidRPr="00AF0327" w:rsidRDefault="00095369" w:rsidP="00095369">
      <w:pPr>
        <w:spacing w:after="0" w:line="240" w:lineRule="auto"/>
        <w:ind w:left="840"/>
        <w:jc w:val="both"/>
        <w:textAlignment w:val="baseline"/>
        <w:rPr>
          <w:rFonts w:ascii="Segoe UI" w:eastAsia="Times New Roman" w:hAnsi="Segoe UI" w:cs="Segoe UI"/>
          <w:noProof/>
          <w:sz w:val="18"/>
          <w:szCs w:val="18"/>
        </w:rPr>
      </w:pPr>
      <w:r>
        <w:rPr>
          <w:rFonts w:ascii="Times New Roman" w:hAnsi="Times New Roman"/>
          <w:noProof/>
          <w:sz w:val="24"/>
        </w:rPr>
        <w:t>Procijenjeni ukupni troškovi za poglavlje o planu REPowerEU iznose 2 925 650 094 EUR. Procijenjeni ukupni troškovi mjera iz članka 21.c stavka 3. točke (a) Uredbe (EU) 2023/435 iznose 559 000 000 EUR, a troškovi drugih mjera iz poglavlja o planu REPowerEU iznose 2 366 650 094 EUR. </w:t>
      </w:r>
    </w:p>
    <w:p w14:paraId="39A5DEEE"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Calibri" w:hAnsi="Calibri"/>
          <w:noProof/>
          <w:color w:val="D13438"/>
          <w:sz w:val="24"/>
        </w:rPr>
        <w:t> </w:t>
      </w:r>
    </w:p>
    <w:p w14:paraId="2B661180"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sz w:val="24"/>
        </w:rPr>
        <w:t> </w:t>
      </w:r>
    </w:p>
    <w:p w14:paraId="05BA2875"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Times New Roman" w:hAnsi="Times New Roman"/>
          <w:b/>
          <w:noProof/>
          <w:sz w:val="24"/>
        </w:rPr>
        <w:t>ODJELJAK 2.: FINANCIJSKA POTPORA </w:t>
      </w:r>
      <w:r>
        <w:rPr>
          <w:rFonts w:ascii="Times New Roman" w:hAnsi="Times New Roman"/>
          <w:noProof/>
          <w:sz w:val="24"/>
        </w:rPr>
        <w:t> </w:t>
      </w:r>
    </w:p>
    <w:p w14:paraId="51AEB285" w14:textId="77777777" w:rsidR="00095369" w:rsidRPr="0059000D" w:rsidRDefault="00095369" w:rsidP="00095369">
      <w:pPr>
        <w:numPr>
          <w:ilvl w:val="0"/>
          <w:numId w:val="46"/>
        </w:numPr>
        <w:spacing w:after="0"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b/>
          <w:noProof/>
          <w:sz w:val="24"/>
        </w:rPr>
        <w:t>Financijski doprinos </w:t>
      </w:r>
      <w:r>
        <w:rPr>
          <w:rFonts w:ascii="Times New Roman" w:hAnsi="Times New Roman"/>
          <w:noProof/>
          <w:sz w:val="24"/>
        </w:rPr>
        <w:t> </w:t>
      </w:r>
    </w:p>
    <w:p w14:paraId="360383FD" w14:textId="77777777" w:rsidR="00095369" w:rsidRPr="0059000D" w:rsidRDefault="00095369" w:rsidP="00095369">
      <w:pPr>
        <w:spacing w:after="0" w:line="240" w:lineRule="auto"/>
        <w:ind w:left="840"/>
        <w:jc w:val="both"/>
        <w:textAlignment w:val="baseline"/>
        <w:rPr>
          <w:rFonts w:ascii="Segoe UI" w:eastAsia="Times New Roman" w:hAnsi="Segoe UI" w:cs="Segoe UI"/>
          <w:noProof/>
          <w:sz w:val="18"/>
          <w:szCs w:val="18"/>
        </w:rPr>
      </w:pPr>
      <w:r>
        <w:rPr>
          <w:rFonts w:ascii="Times New Roman" w:hAnsi="Times New Roman"/>
          <w:noProof/>
          <w:sz w:val="24"/>
        </w:rPr>
        <w:t>Obroci iz članka 2. stavka 2. organizirani su na sljedeći način: </w:t>
      </w:r>
    </w:p>
    <w:p w14:paraId="3FEB5B6D"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sz w:val="24"/>
        </w:rPr>
        <w:t> </w:t>
      </w:r>
    </w:p>
    <w:p w14:paraId="431F2842" w14:textId="77777777" w:rsidR="00095369" w:rsidRPr="0059000D" w:rsidRDefault="00095369" w:rsidP="00095369">
      <w:pPr>
        <w:numPr>
          <w:ilvl w:val="0"/>
          <w:numId w:val="47"/>
        </w:numPr>
        <w:spacing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noProof/>
          <w:sz w:val="24"/>
        </w:rPr>
        <w:t>Prvi obrok (bespovratna potpora):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276"/>
        <w:gridCol w:w="5387"/>
      </w:tblGrid>
      <w:tr w:rsidR="00095369" w:rsidRPr="002F28B5" w14:paraId="1D05A677" w14:textId="77777777" w:rsidTr="003E6AF4">
        <w:trPr>
          <w:trHeight w:val="1105"/>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D5846A4" w14:textId="77777777" w:rsidR="00095369" w:rsidRPr="00D922B7" w:rsidRDefault="00095369">
            <w:pPr>
              <w:spacing w:after="0" w:line="240" w:lineRule="auto"/>
              <w:jc w:val="center"/>
              <w:textAlignment w:val="baseline"/>
              <w:rPr>
                <w:rFonts w:eastAsia="Times New Roman" w:cstheme="minorHAnsi"/>
                <w:noProof/>
                <w:sz w:val="20"/>
                <w:szCs w:val="20"/>
              </w:rPr>
            </w:pPr>
            <w:r>
              <w:rPr>
                <w:b/>
                <w:noProof/>
                <w:sz w:val="20"/>
              </w:rPr>
              <w:t>Redni broj</w:t>
            </w:r>
            <w:r>
              <w:rPr>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E9AD32C" w14:textId="77777777" w:rsidR="00095369" w:rsidRPr="00D922B7" w:rsidRDefault="00095369">
            <w:pPr>
              <w:spacing w:after="0" w:line="240" w:lineRule="auto"/>
              <w:jc w:val="center"/>
              <w:textAlignment w:val="baseline"/>
              <w:rPr>
                <w:rFonts w:eastAsia="Times New Roman" w:cstheme="minorHAnsi"/>
                <w:noProof/>
                <w:sz w:val="20"/>
                <w:szCs w:val="20"/>
              </w:rPr>
            </w:pPr>
            <w:r>
              <w:rPr>
                <w:b/>
                <w:noProof/>
                <w:sz w:val="20"/>
              </w:rPr>
              <w:t>Povezana mjera (reforma ili ulaganje)</w:t>
            </w:r>
            <w:r>
              <w:rPr>
                <w:noProof/>
                <w:sz w:val="20"/>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4A437C4" w14:textId="77777777" w:rsidR="00095369" w:rsidRPr="00D922B7" w:rsidRDefault="00095369">
            <w:pPr>
              <w:spacing w:after="0" w:line="240" w:lineRule="auto"/>
              <w:jc w:val="center"/>
              <w:textAlignment w:val="baseline"/>
              <w:rPr>
                <w:rFonts w:eastAsia="Times New Roman" w:cstheme="minorHAnsi"/>
                <w:noProof/>
                <w:sz w:val="20"/>
                <w:szCs w:val="20"/>
              </w:rPr>
            </w:pPr>
            <w:r>
              <w:rPr>
                <w:b/>
                <w:noProof/>
                <w:sz w:val="20"/>
              </w:rPr>
              <w:t>Ključna etapa / ciljna vrijednost</w:t>
            </w:r>
            <w:r>
              <w:rPr>
                <w:noProof/>
                <w:sz w:val="20"/>
              </w:rPr>
              <w:t> </w:t>
            </w:r>
          </w:p>
        </w:tc>
        <w:tc>
          <w:tcPr>
            <w:tcW w:w="5387" w:type="dxa"/>
            <w:vMerge w:val="restart"/>
            <w:tcBorders>
              <w:top w:val="single" w:sz="6" w:space="0" w:color="auto"/>
              <w:left w:val="nil"/>
              <w:bottom w:val="single" w:sz="6" w:space="0" w:color="000000"/>
              <w:right w:val="single" w:sz="6" w:space="0" w:color="auto"/>
            </w:tcBorders>
            <w:shd w:val="clear" w:color="auto" w:fill="BDD7EE"/>
            <w:vAlign w:val="center"/>
            <w:hideMark/>
          </w:tcPr>
          <w:p w14:paraId="5AFC52E9" w14:textId="77777777" w:rsidR="00095369" w:rsidRPr="00D922B7" w:rsidRDefault="00095369">
            <w:pPr>
              <w:spacing w:after="0" w:line="240" w:lineRule="auto"/>
              <w:jc w:val="center"/>
              <w:textAlignment w:val="baseline"/>
              <w:rPr>
                <w:rFonts w:eastAsia="Times New Roman" w:cstheme="minorHAnsi"/>
                <w:noProof/>
                <w:sz w:val="20"/>
                <w:szCs w:val="20"/>
              </w:rPr>
            </w:pPr>
            <w:r>
              <w:rPr>
                <w:b/>
                <w:noProof/>
                <w:sz w:val="20"/>
              </w:rPr>
              <w:t>Naziv</w:t>
            </w:r>
            <w:r>
              <w:rPr>
                <w:noProof/>
                <w:sz w:val="20"/>
              </w:rPr>
              <w:t> </w:t>
            </w:r>
          </w:p>
        </w:tc>
      </w:tr>
      <w:tr w:rsidR="00095369" w:rsidRPr="002F28B5" w14:paraId="1285F9C2" w14:textId="77777777">
        <w:trPr>
          <w:trHeight w:val="450"/>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CCFD355" w14:textId="77777777" w:rsidR="00095369" w:rsidRPr="00D922B7" w:rsidRDefault="00095369">
            <w:pPr>
              <w:spacing w:after="0" w:line="240" w:lineRule="auto"/>
              <w:rPr>
                <w:rFonts w:eastAsia="Times New Roman" w:cstheme="minorHAnsi"/>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BEB553F" w14:textId="77777777" w:rsidR="00095369" w:rsidRPr="00D922B7" w:rsidRDefault="00095369">
            <w:pPr>
              <w:spacing w:after="0" w:line="240" w:lineRule="auto"/>
              <w:rPr>
                <w:rFonts w:eastAsia="Times New Roman" w:cstheme="minorHAnsi"/>
                <w:noProof/>
                <w:sz w:val="20"/>
                <w:szCs w:val="20"/>
                <w:lang w:val="en-IE" w:eastAsia="en-IE"/>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E3224FC" w14:textId="77777777" w:rsidR="00095369" w:rsidRPr="00D922B7" w:rsidRDefault="00095369">
            <w:pPr>
              <w:spacing w:after="0" w:line="240" w:lineRule="auto"/>
              <w:rPr>
                <w:rFonts w:eastAsia="Times New Roman" w:cstheme="minorHAnsi"/>
                <w:noProof/>
                <w:sz w:val="20"/>
                <w:szCs w:val="20"/>
                <w:lang w:val="en-IE" w:eastAsia="en-IE"/>
              </w:rPr>
            </w:pPr>
          </w:p>
        </w:tc>
        <w:tc>
          <w:tcPr>
            <w:tcW w:w="5387" w:type="dxa"/>
            <w:vMerge/>
            <w:tcBorders>
              <w:top w:val="single" w:sz="6" w:space="0" w:color="auto"/>
              <w:left w:val="nil"/>
              <w:bottom w:val="single" w:sz="6" w:space="0" w:color="000000"/>
              <w:right w:val="single" w:sz="6" w:space="0" w:color="auto"/>
            </w:tcBorders>
            <w:shd w:val="clear" w:color="auto" w:fill="auto"/>
            <w:vAlign w:val="center"/>
            <w:hideMark/>
          </w:tcPr>
          <w:p w14:paraId="04C19BE3" w14:textId="77777777" w:rsidR="00095369" w:rsidRPr="00D922B7" w:rsidRDefault="00095369">
            <w:pPr>
              <w:spacing w:after="0" w:line="240" w:lineRule="auto"/>
              <w:rPr>
                <w:rFonts w:eastAsia="Times New Roman" w:cstheme="minorHAnsi"/>
                <w:noProof/>
                <w:sz w:val="20"/>
                <w:szCs w:val="20"/>
                <w:lang w:val="en-IE" w:eastAsia="en-IE"/>
              </w:rPr>
            </w:pPr>
          </w:p>
        </w:tc>
      </w:tr>
      <w:tr w:rsidR="00095369" w:rsidRPr="002F28B5" w14:paraId="13095E96" w14:textId="77777777">
        <w:trPr>
          <w:trHeight w:val="367"/>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38CB33FC" w14:textId="77777777" w:rsidR="00095369" w:rsidRPr="00D922B7" w:rsidRDefault="00095369">
            <w:pPr>
              <w:spacing w:after="0" w:line="240" w:lineRule="auto"/>
              <w:jc w:val="center"/>
              <w:textAlignment w:val="baseline"/>
              <w:rPr>
                <w:rFonts w:eastAsia="Times New Roman" w:cstheme="minorHAnsi"/>
                <w:noProof/>
                <w:sz w:val="20"/>
                <w:szCs w:val="20"/>
              </w:rPr>
            </w:pPr>
            <w:r>
              <w:rPr>
                <w:noProof/>
                <w:color w:val="000000"/>
                <w:sz w:val="20"/>
              </w:rPr>
              <w:t>45</w:t>
            </w:r>
          </w:p>
        </w:tc>
        <w:tc>
          <w:tcPr>
            <w:tcW w:w="1642" w:type="dxa"/>
            <w:tcBorders>
              <w:top w:val="nil"/>
              <w:left w:val="nil"/>
              <w:bottom w:val="single" w:sz="6" w:space="0" w:color="auto"/>
              <w:right w:val="single" w:sz="6" w:space="0" w:color="auto"/>
            </w:tcBorders>
            <w:shd w:val="clear" w:color="auto" w:fill="C6EFCE"/>
            <w:vAlign w:val="center"/>
            <w:hideMark/>
          </w:tcPr>
          <w:p w14:paraId="66962056" w14:textId="77777777" w:rsidR="00095369" w:rsidRPr="00D922B7" w:rsidRDefault="00095369">
            <w:pPr>
              <w:spacing w:after="0" w:line="240" w:lineRule="auto"/>
              <w:jc w:val="center"/>
              <w:textAlignment w:val="baseline"/>
              <w:rPr>
                <w:rFonts w:eastAsia="Times New Roman" w:cstheme="minorHAnsi"/>
                <w:noProof/>
                <w:sz w:val="20"/>
                <w:szCs w:val="20"/>
              </w:rPr>
            </w:pPr>
            <w:r>
              <w:rPr>
                <w:noProof/>
                <w:color w:val="000000"/>
                <w:sz w:val="20"/>
              </w:rPr>
              <w:t>C1.2. R1-I2</w:t>
            </w:r>
          </w:p>
        </w:tc>
        <w:tc>
          <w:tcPr>
            <w:tcW w:w="1276" w:type="dxa"/>
            <w:tcBorders>
              <w:top w:val="nil"/>
              <w:left w:val="nil"/>
              <w:bottom w:val="single" w:sz="6" w:space="0" w:color="auto"/>
              <w:right w:val="single" w:sz="6" w:space="0" w:color="auto"/>
            </w:tcBorders>
            <w:shd w:val="clear" w:color="auto" w:fill="C6EFCE"/>
            <w:vAlign w:val="center"/>
            <w:hideMark/>
          </w:tcPr>
          <w:p w14:paraId="2863829F" w14:textId="77777777" w:rsidR="00095369" w:rsidRPr="00D922B7" w:rsidRDefault="00095369">
            <w:pPr>
              <w:spacing w:after="0" w:line="240" w:lineRule="auto"/>
              <w:jc w:val="center"/>
              <w:textAlignment w:val="baseline"/>
              <w:rPr>
                <w:rFonts w:eastAsia="Times New Roman" w:cstheme="minorHAnsi"/>
                <w:noProof/>
                <w:sz w:val="20"/>
                <w:szCs w:val="20"/>
              </w:rPr>
            </w:pPr>
            <w:r>
              <w:rPr>
                <w:noProof/>
                <w:color w:val="000000"/>
                <w:sz w:val="20"/>
              </w:rPr>
              <w:t>Ključna etapa</w:t>
            </w:r>
          </w:p>
        </w:tc>
        <w:tc>
          <w:tcPr>
            <w:tcW w:w="5387" w:type="dxa"/>
            <w:tcBorders>
              <w:top w:val="nil"/>
              <w:left w:val="nil"/>
              <w:bottom w:val="single" w:sz="6" w:space="0" w:color="auto"/>
              <w:right w:val="single" w:sz="6" w:space="0" w:color="auto"/>
            </w:tcBorders>
            <w:shd w:val="clear" w:color="auto" w:fill="C6EFCE"/>
            <w:vAlign w:val="center"/>
            <w:hideMark/>
          </w:tcPr>
          <w:p w14:paraId="0C96DF83" w14:textId="77777777" w:rsidR="00095369" w:rsidRPr="00D922B7" w:rsidRDefault="00095369">
            <w:pPr>
              <w:spacing w:after="0" w:line="240" w:lineRule="auto"/>
              <w:textAlignment w:val="baseline"/>
              <w:rPr>
                <w:rFonts w:eastAsia="Times New Roman" w:cstheme="minorHAnsi"/>
                <w:noProof/>
                <w:sz w:val="20"/>
                <w:szCs w:val="20"/>
              </w:rPr>
            </w:pPr>
            <w:r>
              <w:rPr>
                <w:noProof/>
                <w:color w:val="000000"/>
                <w:sz w:val="20"/>
              </w:rPr>
              <w:t>Vlada donosi program energetske učinkovitosti radi dekarboniziranja energetskog sektora</w:t>
            </w:r>
          </w:p>
        </w:tc>
      </w:tr>
      <w:tr w:rsidR="00095369" w:rsidRPr="002F28B5" w14:paraId="20FDB59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97E6A98" w14:textId="77777777" w:rsidR="00095369" w:rsidRPr="00D922B7" w:rsidRDefault="00095369">
            <w:pPr>
              <w:spacing w:after="0" w:line="240" w:lineRule="auto"/>
              <w:jc w:val="center"/>
              <w:textAlignment w:val="baseline"/>
              <w:rPr>
                <w:rFonts w:eastAsia="Times New Roman" w:cstheme="minorHAnsi"/>
                <w:noProof/>
                <w:sz w:val="20"/>
                <w:szCs w:val="20"/>
              </w:rPr>
            </w:pPr>
            <w:r>
              <w:rPr>
                <w:noProof/>
                <w:color w:val="000000"/>
                <w:sz w:val="20"/>
              </w:rPr>
              <w:t>46</w:t>
            </w:r>
          </w:p>
        </w:tc>
        <w:tc>
          <w:tcPr>
            <w:tcW w:w="1642" w:type="dxa"/>
            <w:tcBorders>
              <w:top w:val="single" w:sz="6" w:space="0" w:color="auto"/>
              <w:left w:val="nil"/>
              <w:bottom w:val="single" w:sz="6" w:space="0" w:color="auto"/>
              <w:right w:val="single" w:sz="6" w:space="0" w:color="auto"/>
            </w:tcBorders>
            <w:shd w:val="clear" w:color="auto" w:fill="C6EFCE"/>
            <w:vAlign w:val="center"/>
            <w:hideMark/>
          </w:tcPr>
          <w:p w14:paraId="31CC3BB6" w14:textId="77777777" w:rsidR="00095369" w:rsidRPr="00D922B7" w:rsidRDefault="00095369">
            <w:pPr>
              <w:spacing w:after="0" w:line="240" w:lineRule="auto"/>
              <w:jc w:val="center"/>
              <w:textAlignment w:val="baseline"/>
              <w:rPr>
                <w:rFonts w:eastAsia="Times New Roman" w:cstheme="minorHAnsi"/>
                <w:noProof/>
                <w:sz w:val="20"/>
                <w:szCs w:val="20"/>
              </w:rPr>
            </w:pPr>
            <w:r>
              <w:rPr>
                <w:noProof/>
                <w:color w:val="000000"/>
                <w:sz w:val="20"/>
              </w:rPr>
              <w:t>C1.2. R1-I2</w:t>
            </w:r>
          </w:p>
        </w:tc>
        <w:tc>
          <w:tcPr>
            <w:tcW w:w="1276" w:type="dxa"/>
            <w:tcBorders>
              <w:top w:val="single" w:sz="6" w:space="0" w:color="auto"/>
              <w:left w:val="nil"/>
              <w:bottom w:val="single" w:sz="6" w:space="0" w:color="auto"/>
              <w:right w:val="single" w:sz="6" w:space="0" w:color="auto"/>
            </w:tcBorders>
            <w:shd w:val="clear" w:color="auto" w:fill="C6EFCE"/>
            <w:vAlign w:val="center"/>
            <w:hideMark/>
          </w:tcPr>
          <w:p w14:paraId="031B7D94" w14:textId="77777777" w:rsidR="00095369" w:rsidRPr="00D922B7" w:rsidRDefault="00095369">
            <w:pPr>
              <w:spacing w:after="0" w:line="240" w:lineRule="auto"/>
              <w:jc w:val="center"/>
              <w:textAlignment w:val="baseline"/>
              <w:rPr>
                <w:rFonts w:eastAsia="Times New Roman" w:cstheme="minorHAnsi"/>
                <w:noProof/>
                <w:sz w:val="20"/>
                <w:szCs w:val="20"/>
              </w:rPr>
            </w:pPr>
            <w:r>
              <w:rPr>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hideMark/>
          </w:tcPr>
          <w:p w14:paraId="50AD3CAE" w14:textId="77777777" w:rsidR="00095369" w:rsidRPr="00D922B7" w:rsidRDefault="00095369">
            <w:pPr>
              <w:spacing w:after="0" w:line="240" w:lineRule="auto"/>
              <w:textAlignment w:val="baseline"/>
              <w:rPr>
                <w:rFonts w:eastAsia="Times New Roman" w:cstheme="minorHAnsi"/>
                <w:noProof/>
                <w:sz w:val="20"/>
                <w:szCs w:val="20"/>
              </w:rPr>
            </w:pPr>
            <w:r>
              <w:rPr>
                <w:noProof/>
                <w:color w:val="000000"/>
                <w:sz w:val="20"/>
              </w:rPr>
              <w:t>Broj poduzeća koja primaju potporu za energetsku učinkovitost i korištenje energije iz obnovljivih izvora u industriji</w:t>
            </w:r>
          </w:p>
        </w:tc>
      </w:tr>
      <w:tr w:rsidR="00095369" w:rsidRPr="002F28B5" w14:paraId="407E12A0"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02CD659"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49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327E269"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C1.2.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C2593F5"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8AA1896"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Stupanje na snagu Zakona o alternativnim gorivima u prometu</w:t>
            </w:r>
          </w:p>
        </w:tc>
      </w:tr>
      <w:tr w:rsidR="00095369" w:rsidRPr="002F28B5" w14:paraId="5B6FBFD6"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9D5FB0"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36CBB6E"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D5F324B"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8193E16"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Donošenje Višegodišnjeg programa gradnje komunalnih vodnih građevina</w:t>
            </w:r>
          </w:p>
        </w:tc>
      </w:tr>
      <w:tr w:rsidR="00095369" w:rsidRPr="002F28B5" w14:paraId="685F1D16"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91F5985"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81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2BA28EB"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AC0A4E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B82EA30"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 xml:space="preserve">Donošenje Zakona o gospodarenju otpadom </w:t>
            </w:r>
          </w:p>
        </w:tc>
      </w:tr>
      <w:tr w:rsidR="00095369" w:rsidRPr="002F28B5" w14:paraId="11E837B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EBB354"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82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44B6B4B"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C5FE48C"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5CFD9EE"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Izmjena Plana gospodarenja otpadom Republike Hrvatske za razdoblje 2017.–2022.</w:t>
            </w:r>
          </w:p>
        </w:tc>
      </w:tr>
      <w:tr w:rsidR="00095369" w:rsidRPr="002F28B5" w14:paraId="1F6C1735"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4AEEA9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91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56A3451"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C1.4.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665C744"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99A4C41"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 xml:space="preserve">Izmjene Zakona o cestama </w:t>
            </w:r>
          </w:p>
        </w:tc>
      </w:tr>
      <w:tr w:rsidR="00095369" w:rsidRPr="002F28B5" w14:paraId="38903FD1"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C30B92"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92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59FA62D"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C1.4.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8B6C06B"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600D24B"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Nacionalni program sigurnosti cestovnog prometa za razdoblje 2021.–2030.</w:t>
            </w:r>
          </w:p>
        </w:tc>
      </w:tr>
      <w:tr w:rsidR="00095369" w:rsidRPr="002F28B5" w14:paraId="43E9F3EA"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ED1417"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98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2285DB1"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C1.4.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19F3701"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40DE3D4"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 xml:space="preserve">Donošenje Pisma sektorske politike </w:t>
            </w:r>
          </w:p>
        </w:tc>
      </w:tr>
      <w:tr w:rsidR="00095369" w:rsidRPr="002F28B5" w14:paraId="7FC22C2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13F1ED2"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109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8E045A"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C1.4.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C49D50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77E34F3"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 xml:space="preserve">Novi Zakon o prijevozu u linijskom i povremenom prometu </w:t>
            </w:r>
          </w:p>
        </w:tc>
      </w:tr>
      <w:tr w:rsidR="00095369" w:rsidRPr="002F28B5" w14:paraId="61873DB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725119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110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420888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C1.4.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F225F23"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4A88F1D"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Novi Zakon o plovidbi i lukama unutarnjih voda</w:t>
            </w:r>
          </w:p>
        </w:tc>
      </w:tr>
      <w:tr w:rsidR="00095369" w:rsidRPr="002F28B5" w14:paraId="1801DF5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C57DB85"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126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18D33B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105C860"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5E4DD12"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Operativni program jačanja tržišnog kapaciteta sektora voća i povrća za razdoblje 2021.–2026.</w:t>
            </w:r>
          </w:p>
        </w:tc>
      </w:tr>
      <w:tr w:rsidR="00095369" w:rsidRPr="002F28B5" w14:paraId="35D35E3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E20AB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134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CC1B67D"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C1.5.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E82D976" w14:textId="77777777" w:rsidR="00095369" w:rsidRPr="00D922B7" w:rsidRDefault="00095369">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CDD6E0A" w14:textId="77777777" w:rsidR="00095369" w:rsidRPr="00D922B7" w:rsidRDefault="00095369">
            <w:pPr>
              <w:spacing w:after="0" w:line="240" w:lineRule="auto"/>
              <w:textAlignment w:val="baseline"/>
              <w:rPr>
                <w:rFonts w:cstheme="minorHAnsi"/>
                <w:noProof/>
                <w:color w:val="000000"/>
                <w:sz w:val="20"/>
                <w:szCs w:val="20"/>
              </w:rPr>
            </w:pPr>
            <w:r>
              <w:rPr>
                <w:noProof/>
                <w:color w:val="000000"/>
                <w:sz w:val="20"/>
              </w:rPr>
              <w:t xml:space="preserve">Uspostavljena jedinica za provedbu i upravljanje projektima digitalne transformacije u Ministarstvu poljoprivrede </w:t>
            </w:r>
          </w:p>
        </w:tc>
      </w:tr>
      <w:tr w:rsidR="00966A40" w:rsidRPr="002F28B5" w14:paraId="26C89B3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711371" w14:textId="3CD29D56" w:rsidR="00966A40" w:rsidRPr="00D922B7" w:rsidRDefault="00966A40">
            <w:pPr>
              <w:spacing w:after="0" w:line="240" w:lineRule="auto"/>
              <w:jc w:val="center"/>
              <w:textAlignment w:val="baseline"/>
              <w:rPr>
                <w:rFonts w:cstheme="minorHAnsi"/>
                <w:noProof/>
                <w:color w:val="000000"/>
                <w:sz w:val="20"/>
                <w:szCs w:val="20"/>
              </w:rPr>
            </w:pPr>
            <w:r>
              <w:rPr>
                <w:noProof/>
                <w:color w:val="000000"/>
                <w:sz w:val="20"/>
              </w:rPr>
              <w:t>140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C03A420" w14:textId="620893E1" w:rsidR="00966A40" w:rsidRPr="00D922B7" w:rsidRDefault="00FE7E04">
            <w:pPr>
              <w:spacing w:after="0" w:line="240" w:lineRule="auto"/>
              <w:jc w:val="center"/>
              <w:textAlignment w:val="baseline"/>
              <w:rPr>
                <w:rFonts w:cstheme="minorHAnsi"/>
                <w:noProof/>
                <w:color w:val="000000"/>
                <w:sz w:val="20"/>
                <w:szCs w:val="20"/>
              </w:rPr>
            </w:pPr>
            <w:r>
              <w:rPr>
                <w:noProof/>
                <w:color w:val="000000"/>
                <w:sz w:val="20"/>
              </w:rPr>
              <w:t>C1.6.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2BC43CF" w14:textId="7E1DFA72" w:rsidR="00966A40" w:rsidRPr="00D922B7" w:rsidRDefault="00FE7E04">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B40F97D" w14:textId="77777777" w:rsidR="00FE7E04" w:rsidRPr="00FE7E04" w:rsidRDefault="00FE7E04" w:rsidP="00FE7E04">
            <w:pPr>
              <w:spacing w:after="0" w:line="240" w:lineRule="auto"/>
              <w:textAlignment w:val="baseline"/>
              <w:rPr>
                <w:rFonts w:cstheme="minorHAnsi"/>
                <w:noProof/>
                <w:color w:val="000000"/>
                <w:sz w:val="20"/>
                <w:szCs w:val="20"/>
              </w:rPr>
            </w:pPr>
            <w:r>
              <w:rPr>
                <w:noProof/>
                <w:color w:val="000000"/>
                <w:sz w:val="20"/>
              </w:rPr>
              <w:t xml:space="preserve">Analiza scenarija kao dio razvoja održivog turizma </w:t>
            </w:r>
          </w:p>
          <w:p w14:paraId="5B820A0E" w14:textId="36B02646" w:rsidR="00966A40" w:rsidRPr="00D922B7" w:rsidRDefault="00FE7E04" w:rsidP="00FE7E04">
            <w:pPr>
              <w:spacing w:after="0" w:line="240" w:lineRule="auto"/>
              <w:textAlignment w:val="baseline"/>
              <w:rPr>
                <w:rFonts w:cstheme="minorHAnsi"/>
                <w:noProof/>
                <w:color w:val="000000"/>
                <w:sz w:val="20"/>
                <w:szCs w:val="20"/>
              </w:rPr>
            </w:pPr>
            <w:r>
              <w:rPr>
                <w:noProof/>
                <w:color w:val="000000"/>
                <w:sz w:val="20"/>
              </w:rPr>
              <w:t>Strategija za 2030.</w:t>
            </w:r>
          </w:p>
        </w:tc>
      </w:tr>
      <w:tr w:rsidR="00112F33" w:rsidRPr="0059000D" w14:paraId="11221B4A"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CF4DA6"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156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FE2B026"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68C6949"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3AFFA4D"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Izmjena Statuta ARPA-e radi izmjene njezinih ovlasti</w:t>
            </w:r>
          </w:p>
        </w:tc>
      </w:tr>
      <w:tr w:rsidR="00112F33" w:rsidRPr="0059000D" w14:paraId="1F8401C4"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47DAC0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157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43CEFE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0CBE0E1"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87F1CE2"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Uspostava sustava provedbe i revizije NPOO-a</w:t>
            </w:r>
          </w:p>
        </w:tc>
      </w:tr>
      <w:tr w:rsidR="00112F33" w14:paraId="13A4FBE2"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4472C1"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158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AF31295"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A1CA802"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8663250"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Donošenje Zakona o institucionalnom okviru za fondove EU-a</w:t>
            </w:r>
          </w:p>
        </w:tc>
      </w:tr>
      <w:tr w:rsidR="00112F33" w14:paraId="0B05EC22"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B5FD841"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159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6F81692"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686BA87"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9AE9E92"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 xml:space="preserve">Procjena administrativnih kapaciteta </w:t>
            </w:r>
          </w:p>
        </w:tc>
      </w:tr>
      <w:tr w:rsidR="00112F33" w14:paraId="612A0D0F"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D40847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207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F264782"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C2.4.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A921952"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1E2497E"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 xml:space="preserve">Donesena nova odluka Vlade o državnim poduzećima od posebnog interesa za Hrvatsku </w:t>
            </w:r>
          </w:p>
        </w:tc>
      </w:tr>
      <w:tr w:rsidR="00112F33" w14:paraId="025370FA"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543F1B0"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231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A9BB35F"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23D1377"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C20686F"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Donošenje nove Strategije suzbijanja korupcije za razdoblje 2021.–2030.</w:t>
            </w:r>
          </w:p>
        </w:tc>
      </w:tr>
      <w:tr w:rsidR="00112F33" w14:paraId="794074A7"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21DA98"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232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BCBE6C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860CD1D"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4A99832"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 xml:space="preserve">Donošenje novog Zakona o sprečavanju sukoba interesa </w:t>
            </w:r>
          </w:p>
        </w:tc>
      </w:tr>
      <w:tr w:rsidR="00112F33" w14:paraId="730EED48"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8C8173D"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247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F3060A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C2.7.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DF8597B"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B8D9EB9"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Jačanje fiskalnog okvira izmjenom Zakona o proračunu radi unapređenja proračunskih procesa</w:t>
            </w:r>
          </w:p>
        </w:tc>
      </w:tr>
      <w:tr w:rsidR="00112F33" w14:paraId="4FDA9D01"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B1C756"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248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539028A"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C2.7.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72328E0"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AE3CA74"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Osiguravanje potpune funkcionalnosti Povjerenstva za fiskalnu politiku</w:t>
            </w:r>
          </w:p>
        </w:tc>
      </w:tr>
      <w:tr w:rsidR="00112F33" w14:paraId="452D24BE"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C6198A"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250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ACE855F"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C2.8.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FDF56DD"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61455D2"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Redovito educiranje svih nadležnih tijela</w:t>
            </w:r>
          </w:p>
        </w:tc>
      </w:tr>
      <w:tr w:rsidR="00112F33" w14:paraId="5CC2C268"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FE7637D"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251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AE0A3C7"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C2.8.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6F7DC6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DCEACA9"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 xml:space="preserve">Nastavak suradnje Ureda za sprečavanje pranja novca i nadzornih tijela </w:t>
            </w:r>
          </w:p>
        </w:tc>
      </w:tr>
      <w:tr w:rsidR="00112F33" w14:paraId="7ADA821D"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6A9090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253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DCBB440"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C2.8.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ACEADE6"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5F248AA"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Potpuna provedba novog Akcijskog plana za smanjenje identificiranih rizika od pranja novca i financiranja terorizma na temelju ažurirane Nacionalne procjene rizika.</w:t>
            </w:r>
          </w:p>
        </w:tc>
      </w:tr>
      <w:tr w:rsidR="00112F33" w14:paraId="056FCAB7"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BBE8301"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265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6B48991"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C3.1.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70E4F1A"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AFD609B"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 xml:space="preserve">Donošenje izmijenjenog pravnog okvira za obrazovanje odraslih </w:t>
            </w:r>
          </w:p>
        </w:tc>
      </w:tr>
      <w:tr w:rsidR="00112F33" w14:paraId="503D3CCB"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CC08EFF"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293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23A8F2C"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C4.1.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B937036"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244B0BD"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Stupanje na snagu izmjena Zakona o minimalnoj plaći</w:t>
            </w:r>
          </w:p>
        </w:tc>
      </w:tr>
      <w:tr w:rsidR="00112F33" w14:paraId="5749AAEB"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8521495"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302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FEC73FD"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C4.3.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D2AA547"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8134BA4"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Donošenje Nacionalnog plana za borbu protiv siromaštva i socijalne isključenosti za razdoblje 2021.–2027.</w:t>
            </w:r>
          </w:p>
        </w:tc>
      </w:tr>
      <w:tr w:rsidR="00112F33" w14:paraId="7AEBEE02"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02ED921"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312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04CA612"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C4.3.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78BEDA2"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E284BAC"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Donošenje Nacionalnog plana razvoja socijalnih usluga za razdoblje 2021.–2027.</w:t>
            </w:r>
          </w:p>
        </w:tc>
      </w:tr>
      <w:tr w:rsidR="00112F33" w14:paraId="340882FD"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16AB7A"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333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8BD3EC3"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C5.1.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F1D97B4"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D51BE91"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Nacionalni plan razvoja zdravstva za razdoblje 2021.–2027.</w:t>
            </w:r>
          </w:p>
        </w:tc>
      </w:tr>
      <w:tr w:rsidR="00112F33" w14:paraId="1715E097"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595F43C"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351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4C770D9"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C6.1.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2410083"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2BD6699"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Donošenje nacionalnih programa energetske obnove za: i. višestambene zgrade (za razdoblje 2021.–2030.), ii. zgrade sa statusom kulturnog dobra (za razdoblje 2021.–2030.) i iii. suzbijanje energetskog siromaštva na područjima posebne državne skrbi (za razdoblje 2021.–2025.)</w:t>
            </w:r>
          </w:p>
        </w:tc>
      </w:tr>
      <w:tr w:rsidR="00993671" w14:paraId="7B6DCFC8"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49AAA1" w14:textId="4E094CB4" w:rsidR="00993671" w:rsidRPr="00D922B7" w:rsidRDefault="00D324FE">
            <w:pPr>
              <w:spacing w:after="0" w:line="240" w:lineRule="auto"/>
              <w:jc w:val="center"/>
              <w:textAlignment w:val="baseline"/>
              <w:rPr>
                <w:rFonts w:cstheme="minorHAnsi"/>
                <w:noProof/>
                <w:color w:val="000000"/>
                <w:sz w:val="20"/>
                <w:szCs w:val="20"/>
              </w:rPr>
            </w:pPr>
            <w:r>
              <w:rPr>
                <w:noProof/>
                <w:color w:val="000000"/>
                <w:sz w:val="20"/>
              </w:rPr>
              <w:t>362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523D07D" w14:textId="0D29B3D3" w:rsidR="00993671" w:rsidRPr="00D922B7" w:rsidRDefault="00D324FE">
            <w:pPr>
              <w:spacing w:after="0" w:line="240" w:lineRule="auto"/>
              <w:jc w:val="center"/>
              <w:textAlignment w:val="baseline"/>
              <w:rPr>
                <w:rFonts w:cstheme="minorHAnsi"/>
                <w:noProof/>
                <w:color w:val="000000"/>
                <w:sz w:val="20"/>
                <w:szCs w:val="20"/>
              </w:rPr>
            </w:pPr>
            <w:r>
              <w:rPr>
                <w:noProof/>
                <w:color w:val="000000"/>
                <w:sz w:val="20"/>
              </w:rPr>
              <w:t>C6.1.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A01F166" w14:textId="13E456A9" w:rsidR="00993671" w:rsidRPr="00D922B7" w:rsidRDefault="00D324FE">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F512478" w14:textId="77777777" w:rsidR="00966A40" w:rsidRPr="00966A40" w:rsidRDefault="00966A40" w:rsidP="00966A40">
            <w:pPr>
              <w:spacing w:after="0" w:line="240" w:lineRule="auto"/>
              <w:textAlignment w:val="baseline"/>
              <w:rPr>
                <w:rFonts w:cstheme="minorHAnsi"/>
                <w:noProof/>
                <w:color w:val="000000"/>
                <w:sz w:val="20"/>
                <w:szCs w:val="20"/>
              </w:rPr>
            </w:pPr>
            <w:r>
              <w:rPr>
                <w:noProof/>
                <w:color w:val="000000"/>
                <w:sz w:val="20"/>
              </w:rPr>
              <w:t xml:space="preserve">Fizički ured jedinstvenog kontaktnog centra za energetsku obnovu i seizmičko ojačanje </w:t>
            </w:r>
          </w:p>
          <w:p w14:paraId="4796B36A" w14:textId="16F0F845" w:rsidR="00993671" w:rsidRPr="00D922B7" w:rsidRDefault="00966A40" w:rsidP="00966A40">
            <w:pPr>
              <w:spacing w:after="0" w:line="240" w:lineRule="auto"/>
              <w:textAlignment w:val="baseline"/>
              <w:rPr>
                <w:rFonts w:cstheme="minorHAnsi"/>
                <w:noProof/>
                <w:color w:val="000000"/>
                <w:sz w:val="20"/>
                <w:szCs w:val="20"/>
              </w:rPr>
            </w:pPr>
            <w:r>
              <w:rPr>
                <w:noProof/>
                <w:color w:val="000000"/>
                <w:sz w:val="20"/>
              </w:rPr>
              <w:t>uspostavljen je i operativan</w:t>
            </w:r>
          </w:p>
        </w:tc>
      </w:tr>
      <w:tr w:rsidR="00112F33" w14:paraId="643ACB0C"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D55AEA3"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368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B197C62"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C6.1. R5</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BC574EC"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2359DA"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Donošenje Programa razvoja kružnog gospodarenja prostorom i zgradama za razdoblje 2021.–2030. i Programa razvoja zelene infrastrukture u urbanim područjima za razdoblje 2021.–2030.</w:t>
            </w:r>
          </w:p>
        </w:tc>
      </w:tr>
      <w:tr w:rsidR="00112F33" w14:paraId="4B30260C" w14:textId="77777777" w:rsidTr="00112F33">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E8C76CF" w14:textId="77777777" w:rsidR="00112F33" w:rsidRPr="00D922B7" w:rsidRDefault="00112F33">
            <w:pPr>
              <w:spacing w:after="0" w:line="240" w:lineRule="auto"/>
              <w:jc w:val="center"/>
              <w:textAlignment w:val="baseline"/>
              <w:rPr>
                <w:rFonts w:cstheme="minorHAnsi"/>
                <w:noProof/>
                <w:color w:val="000000"/>
                <w:sz w:val="20"/>
                <w:szCs w:val="20"/>
              </w:rPr>
            </w:pPr>
          </w:p>
        </w:tc>
        <w:tc>
          <w:tcPr>
            <w:tcW w:w="1642" w:type="dxa"/>
            <w:tcBorders>
              <w:top w:val="single" w:sz="6" w:space="0" w:color="auto"/>
              <w:left w:val="nil"/>
              <w:bottom w:val="single" w:sz="6" w:space="0" w:color="auto"/>
              <w:right w:val="single" w:sz="6" w:space="0" w:color="auto"/>
            </w:tcBorders>
            <w:shd w:val="clear" w:color="auto" w:fill="C6EFCE"/>
            <w:vAlign w:val="center"/>
          </w:tcPr>
          <w:p w14:paraId="2DB6A8CF" w14:textId="77777777" w:rsidR="00112F33" w:rsidRPr="00D922B7" w:rsidRDefault="00112F33">
            <w:pPr>
              <w:spacing w:after="0" w:line="240" w:lineRule="auto"/>
              <w:jc w:val="center"/>
              <w:textAlignment w:val="baseline"/>
              <w:rPr>
                <w:rFonts w:cstheme="minorHAnsi"/>
                <w:noProof/>
                <w:color w:val="000000"/>
                <w:sz w:val="20"/>
                <w:szCs w:val="20"/>
              </w:rPr>
            </w:pPr>
          </w:p>
        </w:tc>
        <w:tc>
          <w:tcPr>
            <w:tcW w:w="1276" w:type="dxa"/>
            <w:tcBorders>
              <w:top w:val="single" w:sz="6" w:space="0" w:color="auto"/>
              <w:left w:val="nil"/>
              <w:bottom w:val="single" w:sz="6" w:space="0" w:color="auto"/>
              <w:right w:val="single" w:sz="6" w:space="0" w:color="auto"/>
            </w:tcBorders>
            <w:shd w:val="clear" w:color="auto" w:fill="C6EFCE"/>
            <w:vAlign w:val="center"/>
          </w:tcPr>
          <w:p w14:paraId="5376DD39" w14:textId="77777777" w:rsidR="00112F33" w:rsidRPr="00D922B7" w:rsidRDefault="00112F33">
            <w:pPr>
              <w:spacing w:after="0" w:line="240" w:lineRule="auto"/>
              <w:jc w:val="center"/>
              <w:textAlignment w:val="baseline"/>
              <w:rPr>
                <w:rFonts w:cstheme="minorHAnsi"/>
                <w:noProof/>
                <w:color w:val="000000"/>
                <w:sz w:val="20"/>
                <w:szCs w:val="20"/>
              </w:rPr>
            </w:pPr>
            <w:r>
              <w:rPr>
                <w:noProof/>
                <w:color w:val="000000"/>
                <w:sz w:val="20"/>
              </w:rPr>
              <w:t>Iznos obroka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211AD40" w14:textId="77777777" w:rsidR="00112F33" w:rsidRPr="00D922B7" w:rsidRDefault="00112F33">
            <w:pPr>
              <w:spacing w:after="0" w:line="240" w:lineRule="auto"/>
              <w:textAlignment w:val="baseline"/>
              <w:rPr>
                <w:rFonts w:cstheme="minorHAnsi"/>
                <w:noProof/>
                <w:color w:val="000000"/>
                <w:sz w:val="20"/>
                <w:szCs w:val="20"/>
              </w:rPr>
            </w:pPr>
            <w:r>
              <w:rPr>
                <w:noProof/>
                <w:color w:val="000000"/>
                <w:sz w:val="20"/>
              </w:rPr>
              <w:t>804 597 701 EUR</w:t>
            </w:r>
          </w:p>
        </w:tc>
      </w:tr>
    </w:tbl>
    <w:p w14:paraId="238193D7" w14:textId="77777777" w:rsidR="00095369" w:rsidRDefault="00095369" w:rsidP="00095369">
      <w:pPr>
        <w:rPr>
          <w:noProof/>
        </w:rPr>
      </w:pPr>
    </w:p>
    <w:p w14:paraId="5E426F72" w14:textId="77777777" w:rsidR="00095369" w:rsidRPr="0059000D" w:rsidRDefault="00095369" w:rsidP="00095369">
      <w:pPr>
        <w:spacing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w:t>
      </w:r>
    </w:p>
    <w:p w14:paraId="35BA4ED8" w14:textId="77777777" w:rsidR="00095369" w:rsidRPr="0059000D" w:rsidRDefault="00095369" w:rsidP="003E6AF4">
      <w:pPr>
        <w:pageBreakBefore/>
        <w:numPr>
          <w:ilvl w:val="0"/>
          <w:numId w:val="48"/>
        </w:numPr>
        <w:spacing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noProof/>
          <w:sz w:val="24"/>
        </w:rPr>
        <w:t>Drugi obrok (bespovratna potpora):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276"/>
        <w:gridCol w:w="5387"/>
      </w:tblGrid>
      <w:tr w:rsidR="00095369" w:rsidRPr="0059000D" w14:paraId="6FBCEF76" w14:textId="77777777" w:rsidTr="003E6AF4">
        <w:trPr>
          <w:trHeight w:val="1191"/>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476F738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9B10C8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83AF0E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87" w:type="dxa"/>
            <w:vMerge w:val="restart"/>
            <w:tcBorders>
              <w:top w:val="single" w:sz="6" w:space="0" w:color="auto"/>
              <w:left w:val="nil"/>
              <w:bottom w:val="single" w:sz="6" w:space="0" w:color="000000"/>
              <w:right w:val="single" w:sz="6" w:space="0" w:color="auto"/>
            </w:tcBorders>
            <w:shd w:val="clear" w:color="auto" w:fill="BDD7EE"/>
            <w:vAlign w:val="center"/>
            <w:hideMark/>
          </w:tcPr>
          <w:p w14:paraId="4839E2C1"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3D82E3BB" w14:textId="77777777">
        <w:trPr>
          <w:trHeight w:val="450"/>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E3B6A8B"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87326E6"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4A7F536"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87" w:type="dxa"/>
            <w:vMerge/>
            <w:tcBorders>
              <w:top w:val="single" w:sz="6" w:space="0" w:color="auto"/>
              <w:left w:val="nil"/>
              <w:bottom w:val="single" w:sz="6" w:space="0" w:color="000000"/>
              <w:right w:val="single" w:sz="6" w:space="0" w:color="auto"/>
            </w:tcBorders>
            <w:shd w:val="clear" w:color="auto" w:fill="auto"/>
            <w:vAlign w:val="center"/>
            <w:hideMark/>
          </w:tcPr>
          <w:p w14:paraId="7A76E02C"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36B34EB9" w14:textId="77777777">
        <w:trPr>
          <w:trHeight w:val="397"/>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61675E9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2</w:t>
            </w:r>
          </w:p>
        </w:tc>
        <w:tc>
          <w:tcPr>
            <w:tcW w:w="1642" w:type="dxa"/>
            <w:tcBorders>
              <w:top w:val="nil"/>
              <w:left w:val="nil"/>
              <w:bottom w:val="single" w:sz="6" w:space="0" w:color="auto"/>
              <w:right w:val="single" w:sz="6" w:space="0" w:color="auto"/>
            </w:tcBorders>
            <w:shd w:val="clear" w:color="auto" w:fill="C6EFCE"/>
            <w:vAlign w:val="center"/>
            <w:hideMark/>
          </w:tcPr>
          <w:p w14:paraId="55A3AE2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R1-I1</w:t>
            </w:r>
          </w:p>
        </w:tc>
        <w:tc>
          <w:tcPr>
            <w:tcW w:w="1276" w:type="dxa"/>
            <w:tcBorders>
              <w:top w:val="nil"/>
              <w:left w:val="nil"/>
              <w:bottom w:val="single" w:sz="6" w:space="0" w:color="auto"/>
              <w:right w:val="single" w:sz="6" w:space="0" w:color="auto"/>
            </w:tcBorders>
            <w:shd w:val="clear" w:color="auto" w:fill="C6EFCE"/>
            <w:vAlign w:val="center"/>
            <w:hideMark/>
          </w:tcPr>
          <w:p w14:paraId="035CE0F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87" w:type="dxa"/>
            <w:tcBorders>
              <w:top w:val="nil"/>
              <w:left w:val="nil"/>
              <w:bottom w:val="single" w:sz="6" w:space="0" w:color="auto"/>
              <w:right w:val="single" w:sz="6" w:space="0" w:color="auto"/>
            </w:tcBorders>
            <w:shd w:val="clear" w:color="auto" w:fill="C6EFCE"/>
            <w:vAlign w:val="center"/>
            <w:hideMark/>
          </w:tcPr>
          <w:p w14:paraId="1D2F328F"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 xml:space="preserve">Operativna digitalna platforma za plaćanje naknada </w:t>
            </w:r>
          </w:p>
        </w:tc>
      </w:tr>
      <w:tr w:rsidR="00095369" w:rsidRPr="0059000D" w14:paraId="0F666BCE" w14:textId="77777777">
        <w:trPr>
          <w:trHeight w:val="6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7DFE095"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6</w:t>
            </w:r>
          </w:p>
        </w:tc>
        <w:tc>
          <w:tcPr>
            <w:tcW w:w="1642" w:type="dxa"/>
            <w:tcBorders>
              <w:top w:val="single" w:sz="6" w:space="0" w:color="auto"/>
              <w:left w:val="nil"/>
              <w:bottom w:val="single" w:sz="6" w:space="0" w:color="auto"/>
              <w:right w:val="single" w:sz="6" w:space="0" w:color="auto"/>
            </w:tcBorders>
            <w:shd w:val="clear" w:color="auto" w:fill="C6EFCE"/>
            <w:vAlign w:val="center"/>
            <w:hideMark/>
          </w:tcPr>
          <w:p w14:paraId="02B771A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R1-I2</w:t>
            </w:r>
          </w:p>
        </w:tc>
        <w:tc>
          <w:tcPr>
            <w:tcW w:w="1276" w:type="dxa"/>
            <w:tcBorders>
              <w:top w:val="single" w:sz="6" w:space="0" w:color="auto"/>
              <w:left w:val="nil"/>
              <w:bottom w:val="single" w:sz="6" w:space="0" w:color="auto"/>
              <w:right w:val="single" w:sz="6" w:space="0" w:color="auto"/>
            </w:tcBorders>
            <w:shd w:val="clear" w:color="auto" w:fill="C6EFCE"/>
            <w:vAlign w:val="center"/>
            <w:hideMark/>
          </w:tcPr>
          <w:p w14:paraId="528FA5A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hideMark/>
          </w:tcPr>
          <w:p w14:paraId="6BD2C1EC"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Provedba Akcijskog plana za smanjenje neporeznih i parafiskalnih davanja za 2020.</w:t>
            </w:r>
          </w:p>
        </w:tc>
      </w:tr>
      <w:tr w:rsidR="00095369" w:rsidRPr="0059000D" w14:paraId="4696F155" w14:textId="77777777">
        <w:trPr>
          <w:trHeight w:val="1208"/>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42750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B91954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R4-I1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B18433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CD79C6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Objava pozivâ za dodjelu sredstava za ulaganja usmjerena na ekološki prihvatljive aktivnosti s uspostavljenim kriterijima prihvatljivosti za prijavitelje i projekte (među ostalim kriteriji usklađenosti s načelom nenanošenja bitne štete)</w:t>
            </w:r>
          </w:p>
        </w:tc>
      </w:tr>
      <w:tr w:rsidR="00095369" w:rsidRPr="0059000D" w14:paraId="3349D8D0"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7B5174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94AF0F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R4-I2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B0BC6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DCAAC8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financijskog instrumenta radi poticanja ulaganja mikro, malih i srednjih poduzeća.</w:t>
            </w:r>
          </w:p>
        </w:tc>
      </w:tr>
      <w:tr w:rsidR="00095369" w:rsidRPr="0059000D" w14:paraId="39F3F46A" w14:textId="77777777">
        <w:trPr>
          <w:trHeight w:val="61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30F839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5393F5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R4-I3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04062A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116277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financijskog instrumenta radi poticanja ulaganja poduzeća srednje tržišne kapitalizacije i velikih poduzeća</w:t>
            </w:r>
          </w:p>
        </w:tc>
      </w:tr>
      <w:tr w:rsidR="00095369" w:rsidRPr="0059000D" w14:paraId="4F14036D" w14:textId="77777777">
        <w:trPr>
          <w:trHeight w:val="69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F4629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077441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R4-I4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A7D507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4850B6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financijskog instrumenta za povoljnije financiranje javnih subjekata</w:t>
            </w:r>
          </w:p>
        </w:tc>
      </w:tr>
      <w:tr w:rsidR="00095369" w:rsidRPr="0059000D" w14:paraId="0FFB2E66"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DD45A9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6A4459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R6</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70DCF6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7DA625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Izmjene pravnog okvira</w:t>
            </w:r>
          </w:p>
        </w:tc>
      </w:tr>
      <w:tr w:rsidR="00095369" w:rsidRPr="0059000D" w14:paraId="315FF51F" w14:textId="77777777">
        <w:trPr>
          <w:trHeight w:val="1278"/>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22FB88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BC6D2B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58F38E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287088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Objava dokumenta o procjeni s preporukama za uklanjanje prepreka i olakšanje administrativnih postupaka koji sprečavaju veće korištenje energije iz obnovljivih izvora</w:t>
            </w:r>
          </w:p>
        </w:tc>
      </w:tr>
      <w:tr w:rsidR="00095369" w:rsidRPr="0059000D" w14:paraId="0B08C725" w14:textId="77777777">
        <w:trPr>
          <w:trHeight w:val="40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94B6F5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50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FA541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778ABC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B62DEC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Strategije razvoja vodika</w:t>
            </w:r>
          </w:p>
        </w:tc>
      </w:tr>
      <w:tr w:rsidR="00095369" w:rsidRPr="0059000D" w14:paraId="21F7FAD1"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ACC83E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2EDD86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9933E4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0C934B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Izgrađena ili rekonstruirana mreža javne odvodnje otpadnih voda </w:t>
            </w:r>
          </w:p>
        </w:tc>
      </w:tr>
      <w:tr w:rsidR="00095369" w:rsidRPr="0059000D" w14:paraId="57A9A84F"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15DEF7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BB8129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FAD7E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DE079B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Izgrađena ili rekonstruirana javna vodoopskrbna mreža </w:t>
            </w:r>
          </w:p>
        </w:tc>
      </w:tr>
      <w:tr w:rsidR="00112F33" w:rsidRPr="0059000D" w14:paraId="5C4AA2AA"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25FC6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A511B05"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4863E3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D0ECFE7"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Zakon o komasaciji poljoprivrednog zemljišta</w:t>
            </w:r>
          </w:p>
        </w:tc>
      </w:tr>
      <w:tr w:rsidR="00141DCF" w:rsidRPr="0059000D" w14:paraId="37E9DBCB"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19430F" w14:textId="39DBE0E8" w:rsidR="00141DCF" w:rsidRPr="00D922B7" w:rsidRDefault="000E6A2F">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D2E6400" w14:textId="127A8B35" w:rsidR="00141DCF" w:rsidRPr="00D922B7" w:rsidRDefault="000E6A2F">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7BF2DC4" w14:textId="6AAE07EE" w:rsidR="00141DCF" w:rsidRPr="00D922B7" w:rsidRDefault="00E37B5A">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E659540" w14:textId="77777777" w:rsidR="000E6A2F" w:rsidRPr="000E6A2F" w:rsidRDefault="000E6A2F" w:rsidP="000E6A2F">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Internetska platforma za sprečavanje otpada od hrane i poboljšani IT sustav za doniranje hrane </w:t>
            </w:r>
          </w:p>
          <w:p w14:paraId="3C4B82E8" w14:textId="4A1BB1B5" w:rsidR="00141DCF" w:rsidRPr="00D922B7" w:rsidRDefault="00141DCF" w:rsidP="000E6A2F">
            <w:pPr>
              <w:spacing w:after="0" w:line="240" w:lineRule="auto"/>
              <w:textAlignment w:val="baseline"/>
              <w:rPr>
                <w:rFonts w:ascii="Times New Roman" w:hAnsi="Times New Roman" w:cs="Times New Roman"/>
                <w:noProof/>
                <w:color w:val="000000"/>
                <w:sz w:val="20"/>
                <w:szCs w:val="20"/>
              </w:rPr>
            </w:pPr>
          </w:p>
        </w:tc>
      </w:tr>
      <w:tr w:rsidR="00141DCF" w:rsidRPr="0059000D" w14:paraId="7B349C1E"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1A1C899" w14:textId="0BF456CC" w:rsidR="00141DCF" w:rsidRPr="00D922B7" w:rsidRDefault="000E6A2F">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69964DB" w14:textId="3245E4C5" w:rsidR="00141DCF" w:rsidRPr="00D922B7" w:rsidRDefault="000E6A2F">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5BF0624" w14:textId="5A78E31F" w:rsidR="00141DCF" w:rsidRPr="00D922B7" w:rsidRDefault="00E37B5A">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9105097" w14:textId="77777777" w:rsidR="00E37B5A" w:rsidRPr="00E37B5A" w:rsidRDefault="00E37B5A" w:rsidP="00E37B5A">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Nadogradnja IT sustava eFondovi: Repozitorijski sustav za reviziju </w:t>
            </w:r>
          </w:p>
          <w:p w14:paraId="1C5B7217" w14:textId="41F0915D" w:rsidR="00141DCF" w:rsidRPr="00D922B7" w:rsidRDefault="00E37B5A" w:rsidP="00E37B5A">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 kontrolu: informacije za praćenje provedbe RRF-a</w:t>
            </w:r>
          </w:p>
        </w:tc>
      </w:tr>
      <w:tr w:rsidR="00112F33" w:rsidRPr="0059000D" w14:paraId="6A9A48B5"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64F341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78F2D0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ABE4B7D"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62E93B"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Izmjena zakonodavnih okvira radi poticanja dobrovoljnog funkcionalnog ili stvarnog spajanja jedinica lokalne uprave (JLS) i donošenja Odluke Vlade Republike Hrvatske o kriterijima za dodjelu fiskalnih poticaja za dobrovoljno funkcionalno odnosno stvarno spajanje</w:t>
            </w:r>
          </w:p>
        </w:tc>
      </w:tr>
      <w:tr w:rsidR="00112F33" w:rsidRPr="0059000D" w14:paraId="1EDFEDBF"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BE44483"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F2519A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D54E645"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D12A210"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Optimizacija postupka izdavanja dozvola za ulaganja u povezivost </w:t>
            </w:r>
          </w:p>
        </w:tc>
      </w:tr>
      <w:tr w:rsidR="00112F33" w:rsidRPr="0059000D" w14:paraId="22173FE6"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B0792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0239812"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08D9D0A"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3CE72D0"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Osigurani elektronički alati i odgovarajući administrativni kapaciteti za DSV i DOV</w:t>
            </w:r>
          </w:p>
        </w:tc>
      </w:tr>
      <w:tr w:rsidR="00112F33" w:rsidRPr="0059000D" w14:paraId="22E75271"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FB2614"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F0D11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A914022"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15632CA"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izmjena Stečajnog zakona i Zakona o stečaju potrošača</w:t>
            </w:r>
          </w:p>
        </w:tc>
      </w:tr>
      <w:tr w:rsidR="00112F33" w:rsidRPr="0059000D" w14:paraId="0E20C045"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F52717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8D8002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18BBAA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8847F9E"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izmjena Zakona o kaznenom postupku</w:t>
            </w:r>
          </w:p>
        </w:tc>
      </w:tr>
      <w:tr w:rsidR="00112F33" w:rsidRPr="0059000D" w14:paraId="4D260957"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7CD1E3"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48CBB7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601BC4D"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BA17C31"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Sveobuhvatna analiza potreba srednjoškolskog obrazovanja</w:t>
            </w:r>
          </w:p>
        </w:tc>
      </w:tr>
      <w:tr w:rsidR="00112F33" w:rsidRPr="0059000D" w14:paraId="01AD0924"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7412885"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9BC4EF5"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82DE24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34E6607"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Dopuna mjera aktivne politike zapošljavanja</w:t>
            </w:r>
          </w:p>
        </w:tc>
      </w:tr>
      <w:tr w:rsidR="00112F33" w:rsidRPr="0059000D" w14:paraId="7FA58D3F"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446173"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85B5B88"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3D370B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196C237"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Razvoj vještina u skladu s potrebama tržišta</w:t>
            </w:r>
          </w:p>
        </w:tc>
      </w:tr>
      <w:tr w:rsidR="00112F33" w:rsidRPr="0059000D" w14:paraId="52648B67"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D289EDA"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A62D98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D3EE834"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5EF187"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novog Zakona o socijalnoj skrbi</w:t>
            </w:r>
          </w:p>
        </w:tc>
      </w:tr>
      <w:tr w:rsidR="00112F33" w:rsidRPr="0059000D" w14:paraId="0B73CD31"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644D39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9756A1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874F843"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A64E360"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Osposobljavanje stručnjaka za socijalno mentorstvo </w:t>
            </w:r>
          </w:p>
        </w:tc>
      </w:tr>
      <w:tr w:rsidR="00112F33" w:rsidRPr="0059000D" w14:paraId="17D440EA"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493994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352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D6B454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74CA52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268C181"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Programa energetske obnove zgrada javnog sektora za razdoblje 2021.–2030.</w:t>
            </w:r>
          </w:p>
        </w:tc>
      </w:tr>
      <w:tr w:rsidR="00112F33" w:rsidRPr="0059000D" w14:paraId="4350981E" w14:textId="77777777" w:rsidTr="00112F33">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4CB1CA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p>
        </w:tc>
        <w:tc>
          <w:tcPr>
            <w:tcW w:w="1642" w:type="dxa"/>
            <w:tcBorders>
              <w:top w:val="single" w:sz="6" w:space="0" w:color="auto"/>
              <w:left w:val="nil"/>
              <w:bottom w:val="single" w:sz="6" w:space="0" w:color="auto"/>
              <w:right w:val="single" w:sz="6" w:space="0" w:color="auto"/>
            </w:tcBorders>
            <w:shd w:val="clear" w:color="auto" w:fill="C6EFCE"/>
            <w:vAlign w:val="center"/>
          </w:tcPr>
          <w:p w14:paraId="3F1850F2" w14:textId="77777777" w:rsidR="00112F33" w:rsidRPr="00D922B7" w:rsidRDefault="00112F33" w:rsidP="00112F33">
            <w:pPr>
              <w:spacing w:after="0" w:line="240" w:lineRule="auto"/>
              <w:jc w:val="center"/>
              <w:textAlignment w:val="baseline"/>
              <w:rPr>
                <w:rFonts w:ascii="Times New Roman" w:hAnsi="Times New Roman" w:cs="Times New Roman"/>
                <w:noProof/>
                <w:color w:val="000000"/>
                <w:sz w:val="20"/>
                <w:szCs w:val="20"/>
              </w:rPr>
            </w:pPr>
          </w:p>
        </w:tc>
        <w:tc>
          <w:tcPr>
            <w:tcW w:w="1276" w:type="dxa"/>
            <w:tcBorders>
              <w:top w:val="single" w:sz="6" w:space="0" w:color="auto"/>
              <w:left w:val="nil"/>
              <w:bottom w:val="single" w:sz="6" w:space="0" w:color="auto"/>
              <w:right w:val="single" w:sz="6" w:space="0" w:color="auto"/>
            </w:tcBorders>
            <w:shd w:val="clear" w:color="auto" w:fill="C6EFCE"/>
            <w:vAlign w:val="center"/>
          </w:tcPr>
          <w:p w14:paraId="22E638EB" w14:textId="77777777" w:rsidR="00112F33" w:rsidRPr="00D922B7" w:rsidRDefault="00112F33" w:rsidP="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5226383" w14:textId="77777777" w:rsidR="00112F33" w:rsidRPr="00D922B7" w:rsidRDefault="00112F33" w:rsidP="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804 597 701 EUR</w:t>
            </w:r>
          </w:p>
        </w:tc>
      </w:tr>
    </w:tbl>
    <w:p w14:paraId="133BE70E" w14:textId="77777777" w:rsidR="00095369" w:rsidRDefault="00095369" w:rsidP="00095369">
      <w:pPr>
        <w:spacing w:after="0" w:line="240" w:lineRule="auto"/>
        <w:jc w:val="both"/>
        <w:textAlignment w:val="baseline"/>
        <w:rPr>
          <w:rFonts w:ascii="Times New Roman" w:eastAsia="Times New Roman" w:hAnsi="Times New Roman" w:cs="Times New Roman"/>
          <w:noProof/>
          <w:sz w:val="24"/>
          <w:szCs w:val="24"/>
          <w:lang w:val="en-IE" w:eastAsia="en-IE"/>
        </w:rPr>
      </w:pPr>
    </w:p>
    <w:p w14:paraId="7C1BB9A8"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lang w:val="en-IE" w:eastAsia="en-IE"/>
        </w:rPr>
      </w:pPr>
    </w:p>
    <w:p w14:paraId="4EAE5D5D"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lang w:val="en-IE" w:eastAsia="en-IE"/>
        </w:rPr>
      </w:pPr>
    </w:p>
    <w:p w14:paraId="12409207" w14:textId="77777777" w:rsidR="00095369" w:rsidRPr="0059000D" w:rsidRDefault="00095369" w:rsidP="00095369">
      <w:pPr>
        <w:numPr>
          <w:ilvl w:val="0"/>
          <w:numId w:val="49"/>
        </w:numPr>
        <w:spacing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noProof/>
          <w:sz w:val="24"/>
        </w:rPr>
        <w:t>Treći obrok (bespovratna potpora):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276"/>
        <w:gridCol w:w="5387"/>
      </w:tblGrid>
      <w:tr w:rsidR="00095369" w:rsidRPr="0059000D" w14:paraId="345F1BE1" w14:textId="77777777" w:rsidTr="003E6AF4">
        <w:trPr>
          <w:trHeight w:val="450"/>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22ED6D5"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9F47D5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37A971A"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87" w:type="dxa"/>
            <w:vMerge w:val="restart"/>
            <w:tcBorders>
              <w:top w:val="single" w:sz="6" w:space="0" w:color="auto"/>
              <w:left w:val="nil"/>
              <w:bottom w:val="single" w:sz="6" w:space="0" w:color="000000"/>
              <w:right w:val="single" w:sz="6" w:space="0" w:color="auto"/>
            </w:tcBorders>
            <w:shd w:val="clear" w:color="auto" w:fill="BDD7EE"/>
            <w:vAlign w:val="center"/>
            <w:hideMark/>
          </w:tcPr>
          <w:p w14:paraId="7103A85E"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66F43526"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FBD58C9"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03ECE3"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7A3A072"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87" w:type="dxa"/>
            <w:vMerge/>
            <w:tcBorders>
              <w:top w:val="single" w:sz="6" w:space="0" w:color="auto"/>
              <w:left w:val="nil"/>
              <w:bottom w:val="single" w:sz="6" w:space="0" w:color="000000"/>
              <w:right w:val="single" w:sz="6" w:space="0" w:color="auto"/>
            </w:tcBorders>
            <w:shd w:val="clear" w:color="auto" w:fill="auto"/>
            <w:vAlign w:val="center"/>
            <w:hideMark/>
          </w:tcPr>
          <w:p w14:paraId="3B4F2967"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36FF4B80"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1A7DFC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w:t>
            </w:r>
          </w:p>
        </w:tc>
        <w:tc>
          <w:tcPr>
            <w:tcW w:w="1642" w:type="dxa"/>
            <w:tcBorders>
              <w:top w:val="nil"/>
              <w:left w:val="nil"/>
              <w:bottom w:val="single" w:sz="6" w:space="0" w:color="auto"/>
              <w:right w:val="single" w:sz="6" w:space="0" w:color="auto"/>
            </w:tcBorders>
            <w:shd w:val="clear" w:color="auto" w:fill="C6EFCE"/>
            <w:vAlign w:val="center"/>
            <w:hideMark/>
          </w:tcPr>
          <w:p w14:paraId="603FA6A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w:t>
            </w:r>
          </w:p>
        </w:tc>
        <w:tc>
          <w:tcPr>
            <w:tcW w:w="1276" w:type="dxa"/>
            <w:tcBorders>
              <w:top w:val="nil"/>
              <w:left w:val="nil"/>
              <w:bottom w:val="single" w:sz="6" w:space="0" w:color="auto"/>
              <w:right w:val="single" w:sz="6" w:space="0" w:color="auto"/>
            </w:tcBorders>
            <w:shd w:val="clear" w:color="auto" w:fill="C6EFCE"/>
            <w:vAlign w:val="center"/>
            <w:hideMark/>
          </w:tcPr>
          <w:p w14:paraId="04E8858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87" w:type="dxa"/>
            <w:tcBorders>
              <w:top w:val="nil"/>
              <w:left w:val="nil"/>
              <w:bottom w:val="single" w:sz="6" w:space="0" w:color="auto"/>
              <w:right w:val="single" w:sz="6" w:space="0" w:color="auto"/>
            </w:tcBorders>
            <w:shd w:val="clear" w:color="auto" w:fill="C6EFCE"/>
            <w:vAlign w:val="center"/>
            <w:hideMark/>
          </w:tcPr>
          <w:p w14:paraId="67580687"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 xml:space="preserve">Vlada Republike Hrvatske donosi Strategiju za procjenu ekonomskog učinka propisa na sektor MSP-ova i prateći akcijski plan </w:t>
            </w:r>
          </w:p>
        </w:tc>
      </w:tr>
      <w:tr w:rsidR="00095369" w:rsidRPr="0059000D" w14:paraId="1A56E67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7B003AE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7</w:t>
            </w:r>
          </w:p>
        </w:tc>
        <w:tc>
          <w:tcPr>
            <w:tcW w:w="1642" w:type="dxa"/>
            <w:tcBorders>
              <w:top w:val="single" w:sz="6" w:space="0" w:color="auto"/>
              <w:left w:val="nil"/>
              <w:bottom w:val="single" w:sz="6" w:space="0" w:color="auto"/>
              <w:right w:val="single" w:sz="6" w:space="0" w:color="auto"/>
            </w:tcBorders>
            <w:shd w:val="clear" w:color="auto" w:fill="C6EFCE"/>
            <w:vAlign w:val="center"/>
            <w:hideMark/>
          </w:tcPr>
          <w:p w14:paraId="52E07BB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R1-I2</w:t>
            </w:r>
          </w:p>
        </w:tc>
        <w:tc>
          <w:tcPr>
            <w:tcW w:w="1276" w:type="dxa"/>
            <w:tcBorders>
              <w:top w:val="single" w:sz="6" w:space="0" w:color="auto"/>
              <w:left w:val="nil"/>
              <w:bottom w:val="single" w:sz="6" w:space="0" w:color="auto"/>
              <w:right w:val="single" w:sz="6" w:space="0" w:color="auto"/>
            </w:tcBorders>
            <w:shd w:val="clear" w:color="auto" w:fill="C6EFCE"/>
            <w:vAlign w:val="center"/>
            <w:hideMark/>
          </w:tcPr>
          <w:p w14:paraId="08F8215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hideMark/>
          </w:tcPr>
          <w:p w14:paraId="322396A4"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Provedba mjera iz akcijskih planova za administrativno rasterećenje gospodarstva za 2018., 2019., 2020.</w:t>
            </w:r>
          </w:p>
        </w:tc>
      </w:tr>
      <w:tr w:rsidR="00095369" w:rsidRPr="0059000D" w14:paraId="1818FB0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2D4821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D8F16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R5-I1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54FBF4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F6B07D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Stvaranje instrumenta vlasničkog i kvazivlasničkog financiranja (privatni vlasnički kapital) </w:t>
            </w:r>
          </w:p>
        </w:tc>
      </w:tr>
      <w:tr w:rsidR="00095369" w:rsidRPr="0059000D" w14:paraId="139B3B9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1641F2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90BF78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B24DB0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FF275B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Stupanje na snagu zakona i/ili drugog propisa za povećanje korištenje energije iz obnovljivih izvora, uključujući uvođenje sustava temeljenog na premijama radi podupiranja obnovljivih izvora energije.</w:t>
            </w:r>
          </w:p>
        </w:tc>
      </w:tr>
      <w:tr w:rsidR="00095369" w:rsidRPr="0059000D" w14:paraId="6C592A1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54A9DD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A956C6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16DD4C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D89038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Izmjene pravnog okvira u sektoru vodnih usluga </w:t>
            </w:r>
          </w:p>
        </w:tc>
      </w:tr>
      <w:tr w:rsidR="00095369" w:rsidRPr="0059000D" w14:paraId="1AC1E7E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3B051E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E41EE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257E1E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081B32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Mjerni uređaji ugrađeni na vodocrpilištima </w:t>
            </w:r>
          </w:p>
        </w:tc>
      </w:tr>
      <w:tr w:rsidR="00095369" w:rsidRPr="0059000D" w14:paraId="11FA23D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E99C5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C1FD49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C2C02B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F71208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Sklopljeni ugovori o izvođenju radova za projekte zaštite od poplava </w:t>
            </w:r>
          </w:p>
        </w:tc>
      </w:tr>
      <w:tr w:rsidR="00095369" w:rsidRPr="0059000D" w14:paraId="0D9372A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43E343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167046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820505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AB5DAB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Izgrađene strukture za zaštitu od poplava </w:t>
            </w:r>
          </w:p>
        </w:tc>
      </w:tr>
      <w:tr w:rsidR="00095369" w:rsidRPr="0059000D" w14:paraId="6D45558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CA2F71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2ED251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EB3A13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C3CA2F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Revitalizirani vodotoci </w:t>
            </w:r>
          </w:p>
        </w:tc>
      </w:tr>
      <w:tr w:rsidR="00095369" w:rsidRPr="0059000D" w14:paraId="0801358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EE9D2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81049F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3F296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C8A12D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Plana gospodarenja otpadom Republike Hrvatske za razdoblje 2023.–2029.</w:t>
            </w:r>
          </w:p>
        </w:tc>
      </w:tr>
      <w:tr w:rsidR="00095369" w:rsidRPr="0059000D" w14:paraId="4BCBC6F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16EF56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8C8375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400122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1C4F3D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Smanjenje udjela komunalnog otpada upućenog na odlaganje (49 %)</w:t>
            </w:r>
          </w:p>
        </w:tc>
      </w:tr>
      <w:tr w:rsidR="00095369" w:rsidRPr="0059000D" w14:paraId="6ED2AFB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39BCFB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99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B7D445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FB4F1F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BB44BF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Nacionalni plan razvoja željezničke infrastrukture i Nacionalni plan upravljanja željezničkom infrastrukturom i uslužnim objektima</w:t>
            </w:r>
          </w:p>
        </w:tc>
      </w:tr>
      <w:tr w:rsidR="00095369" w:rsidRPr="0059000D" w14:paraId="13E7315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AB3AA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AF4C27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AD483B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5CD66A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Zakon o pomorskom dobru i morskim lukama</w:t>
            </w:r>
          </w:p>
        </w:tc>
      </w:tr>
      <w:tr w:rsidR="00095369" w:rsidRPr="0059000D" w14:paraId="23F567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75BA97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2805D0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R3-I3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17D642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278161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Nova skela „Križnica” preko rijeke Drave u općini Pitomača u funkciji je</w:t>
            </w:r>
          </w:p>
        </w:tc>
      </w:tr>
      <w:tr w:rsidR="00095369" w:rsidRPr="0059000D" w14:paraId="6686DBE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894253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66541A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59512E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303740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Vlada Republike Hrvatske donosi Strategiju razvoja održivog turizma za razdoblje do 2030.  </w:t>
            </w:r>
          </w:p>
        </w:tc>
      </w:tr>
      <w:tr w:rsidR="00095369" w:rsidRPr="0059000D" w14:paraId="1393571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AFF38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F1E797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F272BB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CC3EE2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Objava natječaja za zelenu i digitalnu tranziciju postojeće javne turističke infrastrukture i razvoj javne turističke infrastrukture izvan glavnih turističkih i obalnih područja</w:t>
            </w:r>
          </w:p>
        </w:tc>
      </w:tr>
      <w:tr w:rsidR="00095369" w:rsidRPr="0059000D" w14:paraId="0491CFB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6818EF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356394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DE01E5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9F8459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Objava javnih poziva za jačanje održivosti i poticanje zelene i digitalne tranzicije poduzeća u turizmu, s najmanje 50 % ukupnih ulaganja koja podupiru zelenu tranziciju.</w:t>
            </w:r>
          </w:p>
        </w:tc>
      </w:tr>
      <w:tr w:rsidR="00806C2A" w:rsidRPr="0059000D" w14:paraId="729A14D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DD6426F" w14:textId="0378E065" w:rsidR="00806C2A" w:rsidRPr="00D922B7" w:rsidRDefault="00806C2A">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150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FBF7FE6" w14:textId="065191AF" w:rsidR="00806C2A" w:rsidRPr="00D922B7" w:rsidRDefault="00D422CF">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09AAA1D" w14:textId="024E87FF" w:rsidR="00806C2A" w:rsidRPr="00D922B7" w:rsidRDefault="00D422CF">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F3D35DE" w14:textId="77777777" w:rsidR="00D422CF" w:rsidRPr="00D422CF" w:rsidRDefault="00D422CF" w:rsidP="00D422CF">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Izmjene Zakona o sustavu strateškog planiranja i </w:t>
            </w:r>
          </w:p>
          <w:p w14:paraId="787D1BA2" w14:textId="4A486615" w:rsidR="00806C2A" w:rsidRPr="00D922B7" w:rsidRDefault="00D422CF" w:rsidP="00D422CF">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upravljanja razvojem Republike Hrvatske i pripadajućih podzakonskih akata</w:t>
            </w:r>
          </w:p>
        </w:tc>
      </w:tr>
      <w:tr w:rsidR="00112F33" w:rsidRPr="0059000D" w14:paraId="70C01036"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939DFB8"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C485D3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C2.1. R2-I1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F2E3E0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C0FAF2D"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Izrada projektno-tehničke dokumentacije za projekte u području zelene i digitalne tranzicije</w:t>
            </w:r>
          </w:p>
        </w:tc>
      </w:tr>
      <w:tr w:rsidR="00112F33" w:rsidRPr="0059000D" w14:paraId="2065BA88"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3AD0AB"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263FD12"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0F08A48"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6F5D7D5"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Ukupno 100 % službenika svih javnih institucija koji imaju obvezu polaganja državnog ispita digitalno polažu državni ispit na temelju novog modela ispita.  </w:t>
            </w:r>
          </w:p>
        </w:tc>
      </w:tr>
      <w:tr w:rsidR="00112F33" w:rsidRPr="0059000D" w14:paraId="660506B1"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B1B71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1C8E1D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28CC6DB"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DB5798D"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 Strategija Digitalna Hrvatska </w:t>
            </w:r>
          </w:p>
        </w:tc>
      </w:tr>
      <w:tr w:rsidR="00112F33" w:rsidRPr="0059000D" w14:paraId="069F27D9"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9DE976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B643CB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R2</w:t>
            </w:r>
            <w:r>
              <w:rPr>
                <w:rFonts w:ascii="Times New Roman" w:hAnsi="Times New Roman"/>
                <w:noProof/>
                <w:color w:val="000000"/>
                <w:sz w:val="20"/>
              </w:rPr>
              <w:br/>
              <w:t>C2.3. R2.I2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F7A0594"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734FB72"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Uspostava platformi za središnji sustav interoperabilnosti </w:t>
            </w:r>
          </w:p>
        </w:tc>
      </w:tr>
      <w:tr w:rsidR="00112F33" w:rsidRPr="0059000D" w14:paraId="1D322735"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C864BC"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CCD3CE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8A6B4D2"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E73D7FE"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Nadogradnja Državnog oblaka </w:t>
            </w:r>
          </w:p>
        </w:tc>
      </w:tr>
      <w:tr w:rsidR="00112F33" w:rsidRPr="0059000D" w14:paraId="24E2E76F"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16E05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0AA2DE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BAF896C"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837EF44"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Digitalni arhiv HZMO-a</w:t>
            </w:r>
          </w:p>
        </w:tc>
      </w:tr>
      <w:tr w:rsidR="00112F33" w:rsidRPr="0059000D" w14:paraId="5249A256"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FD55E1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787B794"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R1-I6</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C9A8215"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E7D26E2"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Svi prvostupanjski sudovi opremljeni su i ispunjuju uvjete za održavanje ročišta na daljinu.</w:t>
            </w:r>
          </w:p>
        </w:tc>
      </w:tr>
      <w:tr w:rsidR="00112F33" w:rsidRPr="0059000D" w14:paraId="5DCB812D"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E5AF5B"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F85286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26BB21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89BD874"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izmjena Zakona o zaštiti osoba koje prijavljuju nepravilnosti</w:t>
            </w:r>
          </w:p>
        </w:tc>
      </w:tr>
      <w:tr w:rsidR="00112F33" w:rsidRPr="0059000D" w14:paraId="1BE8758E"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3278D8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F6DBA13"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C2.7.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F886E0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FF1D797"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Razvoj strukturnog makroekonomskog modela za hrvatsko gospodarstvo namijenjenog izradi srednjoročnih makroekonomskih prognoza, proračunskom planiranju</w:t>
            </w:r>
            <w:r>
              <w:rPr>
                <w:rFonts w:ascii="Times New Roman" w:hAnsi="Times New Roman"/>
                <w:noProof/>
                <w:color w:val="000000"/>
                <w:sz w:val="20"/>
              </w:rPr>
              <w:br/>
              <w:t>i analizi ekonomskih politika</w:t>
            </w:r>
          </w:p>
        </w:tc>
      </w:tr>
      <w:tr w:rsidR="00112F33" w:rsidRPr="0059000D" w14:paraId="1F3B23EF"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F276D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256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3C50C8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97ED11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2839B9"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Smjernice za poboljšanje sudjelovanja MSP-ova u postupcima javne nabave i njihovo objedinjavanje </w:t>
            </w:r>
          </w:p>
        </w:tc>
      </w:tr>
      <w:tr w:rsidR="00112F33" w:rsidRPr="0059000D" w14:paraId="03CA3F08"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ADE445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BF19AF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ED4021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66174CA"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Objava neovisne analize i konkretnih preporuka za poboljšanje upravljanja opterećenjem svih kadrova u ključnim ustanovama u sustavu javne nabave (MINGOR, SAFU, DKOM)</w:t>
            </w:r>
          </w:p>
        </w:tc>
      </w:tr>
      <w:tr w:rsidR="00112F33" w:rsidRPr="0059000D" w14:paraId="3E11363A"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0E0BAA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8643FC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8EE885C"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1F20E0A"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Izmjene zakonodavnog okvira za javnu nabavu kojima e-žalba postaje obvezan način izjavljivanja žalbe</w:t>
            </w:r>
          </w:p>
        </w:tc>
      </w:tr>
      <w:tr w:rsidR="00112F33" w:rsidRPr="0059000D" w14:paraId="01EF85C2"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5A297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EF47A6A"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4090E58"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A783E01"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Donošenje novog Zakona o znanstvenoj djelatnosti i visokom obrazovanju </w:t>
            </w:r>
          </w:p>
        </w:tc>
      </w:tr>
      <w:tr w:rsidR="00112F33" w:rsidRPr="0059000D" w14:paraId="060CCE25"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CEB0B5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01ED45C"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9C5B06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00D373C"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Zakon o znanstvenoj djelatnosti i visokom obrazovanju</w:t>
            </w:r>
          </w:p>
        </w:tc>
      </w:tr>
      <w:tr w:rsidR="00112F33" w:rsidRPr="0059000D" w14:paraId="77BCFB98"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44D10A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B84746B"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372E49D"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9B960A3"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Novi pravni okvir koji uređuje zahtjeve u pogledu kvalitete za studijske programe, doktorske studije i uvjete za rad znanstvenih ustanova </w:t>
            </w:r>
          </w:p>
        </w:tc>
      </w:tr>
      <w:tr w:rsidR="00112F33" w:rsidRPr="0059000D" w14:paraId="38946FA3"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0CE0C5"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117A46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30BF902"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D5CB4E5"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zakon o Hrvatskoj zakladi za znanost</w:t>
            </w:r>
          </w:p>
        </w:tc>
      </w:tr>
      <w:tr w:rsidR="00112F33" w:rsidRPr="0059000D" w14:paraId="17FEBD9D"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18B8DC4"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1CA71F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E8301CC"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2E8CC9E"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Zakona o suzbijanju neprijavljenog rada i novog Zakona o radu</w:t>
            </w:r>
          </w:p>
        </w:tc>
      </w:tr>
      <w:tr w:rsidR="00112F33" w:rsidRPr="0059000D" w14:paraId="110BDF8C"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BCFF5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79B5A48"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DE35B2B"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62D4064"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Donošenje standarda postupanja za obiteljske suradnike </w:t>
            </w:r>
          </w:p>
        </w:tc>
      </w:tr>
      <w:tr w:rsidR="00112F33" w:rsidRPr="0059000D" w14:paraId="56DC67E4"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8BBF93"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F41295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1DBDEA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AF868E1"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Donošenje okvira za procjenu učinkovitosti zdravstvenog sustava </w:t>
            </w:r>
          </w:p>
        </w:tc>
      </w:tr>
      <w:tr w:rsidR="00317D3A" w:rsidRPr="0059000D" w14:paraId="79510487"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03661" w14:textId="10DEFCA4" w:rsidR="00317D3A" w:rsidRPr="00D922B7" w:rsidRDefault="00317D3A">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AF2DEE9" w14:textId="6C7FB966" w:rsidR="00317D3A" w:rsidRPr="00D922B7" w:rsidRDefault="00317D3A">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R1-I4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25E68E9" w14:textId="7AF87291" w:rsidR="00317D3A" w:rsidRPr="00D922B7" w:rsidRDefault="00317D3A">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9E326DD" w14:textId="77777777" w:rsidR="00E220E5" w:rsidRPr="00E220E5" w:rsidRDefault="00E220E5" w:rsidP="00E220E5">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Modernizacija zdravstvenih usluga u KBC-u Split </w:t>
            </w:r>
          </w:p>
          <w:p w14:paraId="3AEB8B6F" w14:textId="0A56C5C1" w:rsidR="00317D3A" w:rsidRPr="00D922B7" w:rsidRDefault="00317D3A" w:rsidP="00E220E5">
            <w:pPr>
              <w:spacing w:after="0" w:line="240" w:lineRule="auto"/>
              <w:textAlignment w:val="baseline"/>
              <w:rPr>
                <w:rFonts w:ascii="Times New Roman" w:hAnsi="Times New Roman" w:cs="Times New Roman"/>
                <w:noProof/>
                <w:color w:val="000000"/>
                <w:sz w:val="20"/>
                <w:szCs w:val="20"/>
              </w:rPr>
            </w:pPr>
          </w:p>
        </w:tc>
      </w:tr>
      <w:tr w:rsidR="00112F33" w:rsidRPr="0059000D" w14:paraId="0D8A9BCE"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8A72D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A637F5D"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619D88C"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8952A74"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Izmjene Zakona o zdravstvenoj zaštiti i Zakona o obveznom zdravstvenom osiguranju</w:t>
            </w:r>
          </w:p>
        </w:tc>
      </w:tr>
      <w:tr w:rsidR="00112F33" w:rsidRPr="0059000D" w14:paraId="0C4DC6A9"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87E47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D54464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R5</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519E417"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D504AAD"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Poboljšanje i proširenje usluga telemedicine</w:t>
            </w:r>
          </w:p>
        </w:tc>
      </w:tr>
      <w:tr w:rsidR="00112F33" w:rsidRPr="0059000D" w14:paraId="472EA1C2"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CB05F5"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B04332"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R5-I3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E0EC20A"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736AA43"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Teletransfuzijske usluge </w:t>
            </w:r>
          </w:p>
        </w:tc>
      </w:tr>
      <w:tr w:rsidR="00112F33" w:rsidRPr="0059000D" w14:paraId="77482A1C"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3006C03"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353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23C9572"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93DEE8A"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7F4D97C"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Potpisani ugovori za energetsku obnovu javnih i višestambenih zgrada </w:t>
            </w:r>
          </w:p>
        </w:tc>
      </w:tr>
      <w:tr w:rsidR="00112F33" w:rsidRPr="0059000D" w14:paraId="61963ABF"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8459A0"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E6F26DE"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932E106"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FEF7CDF"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Nacionalnog plana za razvoj vještina u kontekstu zelenih poslova vezanih uz energetsku obnovu i obnovu nakon potresa</w:t>
            </w:r>
          </w:p>
        </w:tc>
      </w:tr>
      <w:tr w:rsidR="00112F33" w:rsidRPr="0059000D" w14:paraId="793CAD4B"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589304"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363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00CF44A"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C04B40B"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B7BD8E6"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Internetski jedinstveni kontaktni centar za energetsku obnovu i seizmičko ojačanje uspostavljen je i operativan </w:t>
            </w:r>
          </w:p>
        </w:tc>
      </w:tr>
      <w:tr w:rsidR="00112F33" w:rsidRPr="0059000D" w14:paraId="3BAEE1CC"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7D109DD"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366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9742141"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R4-I1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72C7669"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FC74BAD"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Nabavljene jedinice seizmološke opreme </w:t>
            </w:r>
          </w:p>
        </w:tc>
      </w:tr>
      <w:tr w:rsidR="00112F33" w:rsidRPr="0059000D" w14:paraId="3CDA48C2" w14:textId="77777777" w:rsidTr="00112F33">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19208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p>
        </w:tc>
        <w:tc>
          <w:tcPr>
            <w:tcW w:w="1642" w:type="dxa"/>
            <w:tcBorders>
              <w:top w:val="single" w:sz="6" w:space="0" w:color="auto"/>
              <w:left w:val="nil"/>
              <w:bottom w:val="single" w:sz="6" w:space="0" w:color="auto"/>
              <w:right w:val="single" w:sz="6" w:space="0" w:color="auto"/>
            </w:tcBorders>
            <w:shd w:val="clear" w:color="auto" w:fill="C6EFCE"/>
            <w:vAlign w:val="center"/>
          </w:tcPr>
          <w:p w14:paraId="4202D26F"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p>
        </w:tc>
        <w:tc>
          <w:tcPr>
            <w:tcW w:w="1276" w:type="dxa"/>
            <w:tcBorders>
              <w:top w:val="single" w:sz="6" w:space="0" w:color="auto"/>
              <w:left w:val="nil"/>
              <w:bottom w:val="single" w:sz="6" w:space="0" w:color="auto"/>
              <w:right w:val="single" w:sz="6" w:space="0" w:color="auto"/>
            </w:tcBorders>
            <w:shd w:val="clear" w:color="auto" w:fill="C6EFCE"/>
            <w:vAlign w:val="center"/>
          </w:tcPr>
          <w:p w14:paraId="014FC6EB" w14:textId="77777777" w:rsidR="00112F33" w:rsidRPr="00D922B7" w:rsidRDefault="00112F3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C8EC9A2" w14:textId="77777777" w:rsidR="00112F33" w:rsidRPr="00D922B7" w:rsidRDefault="00112F33">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804 597 701 EUR</w:t>
            </w:r>
          </w:p>
        </w:tc>
      </w:tr>
    </w:tbl>
    <w:p w14:paraId="56B18197" w14:textId="77777777" w:rsidR="00095369" w:rsidRPr="00D922B7" w:rsidRDefault="00095369" w:rsidP="00095369">
      <w:pPr>
        <w:rPr>
          <w:noProof/>
          <w:sz w:val="20"/>
          <w:szCs w:val="20"/>
        </w:rPr>
      </w:pPr>
    </w:p>
    <w:p w14:paraId="7353BE09" w14:textId="77777777" w:rsidR="00095369" w:rsidRDefault="00095369" w:rsidP="00095369">
      <w:pPr>
        <w:spacing w:line="240" w:lineRule="auto"/>
        <w:ind w:left="720"/>
        <w:jc w:val="both"/>
        <w:textAlignment w:val="baseline"/>
        <w:rPr>
          <w:rFonts w:ascii="Times New Roman" w:eastAsia="Times New Roman" w:hAnsi="Times New Roman" w:cs="Times New Roman"/>
          <w:noProof/>
          <w:sz w:val="24"/>
          <w:szCs w:val="24"/>
          <w:lang w:val="en-IE" w:eastAsia="en-IE"/>
        </w:rPr>
      </w:pPr>
    </w:p>
    <w:p w14:paraId="6EAE555B" w14:textId="77777777" w:rsidR="00095369" w:rsidRPr="00AF1AEE" w:rsidRDefault="00095369" w:rsidP="00095369">
      <w:pPr>
        <w:pStyle w:val="ListParagraph"/>
        <w:numPr>
          <w:ilvl w:val="0"/>
          <w:numId w:val="49"/>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Četvrti obrok (bespovratna potpora):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39"/>
        <w:gridCol w:w="1274"/>
        <w:gridCol w:w="5347"/>
      </w:tblGrid>
      <w:tr w:rsidR="00095369" w:rsidRPr="0059000D" w14:paraId="55843BDB" w14:textId="77777777" w:rsidTr="003E6AF4">
        <w:trPr>
          <w:trHeight w:val="450"/>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10D681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A5F00B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9AB357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182EC69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61E9446F"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CF92D94"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E566B9F"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46B78F9"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4A0CA380"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2C1B4230"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CF3357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39</w:t>
            </w:r>
          </w:p>
        </w:tc>
        <w:tc>
          <w:tcPr>
            <w:tcW w:w="1639" w:type="dxa"/>
            <w:tcBorders>
              <w:top w:val="nil"/>
              <w:left w:val="nil"/>
              <w:bottom w:val="single" w:sz="6" w:space="0" w:color="auto"/>
              <w:right w:val="single" w:sz="6" w:space="0" w:color="auto"/>
            </w:tcBorders>
            <w:shd w:val="clear" w:color="auto" w:fill="C6EFCE"/>
            <w:vAlign w:val="center"/>
            <w:hideMark/>
          </w:tcPr>
          <w:p w14:paraId="2957A3C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C1.2. R1-I1</w:t>
            </w:r>
          </w:p>
        </w:tc>
        <w:tc>
          <w:tcPr>
            <w:tcW w:w="1274" w:type="dxa"/>
            <w:tcBorders>
              <w:top w:val="nil"/>
              <w:left w:val="nil"/>
              <w:bottom w:val="single" w:sz="6" w:space="0" w:color="auto"/>
              <w:right w:val="single" w:sz="6" w:space="0" w:color="auto"/>
            </w:tcBorders>
            <w:shd w:val="clear" w:color="auto" w:fill="C6EFCE"/>
            <w:vAlign w:val="center"/>
            <w:hideMark/>
          </w:tcPr>
          <w:p w14:paraId="2231BE1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nil"/>
              <w:left w:val="nil"/>
              <w:bottom w:val="single" w:sz="6" w:space="0" w:color="auto"/>
              <w:right w:val="single" w:sz="6" w:space="0" w:color="auto"/>
            </w:tcBorders>
            <w:shd w:val="clear" w:color="auto" w:fill="C6EFCE"/>
            <w:vAlign w:val="center"/>
            <w:hideMark/>
          </w:tcPr>
          <w:p w14:paraId="69563AD1"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Građevinska dozvola izdana za modernizaciju visokonaponske mreže</w:t>
            </w:r>
          </w:p>
        </w:tc>
      </w:tr>
      <w:tr w:rsidR="00095369" w:rsidRPr="0059000D" w14:paraId="22B97EF1"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2CC6F23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163</w:t>
            </w:r>
          </w:p>
        </w:tc>
        <w:tc>
          <w:tcPr>
            <w:tcW w:w="1639" w:type="dxa"/>
            <w:tcBorders>
              <w:top w:val="nil"/>
              <w:left w:val="nil"/>
              <w:bottom w:val="single" w:sz="6" w:space="0" w:color="auto"/>
              <w:right w:val="single" w:sz="6" w:space="0" w:color="auto"/>
            </w:tcBorders>
            <w:shd w:val="clear" w:color="auto" w:fill="C6EFCE"/>
            <w:vAlign w:val="center"/>
            <w:hideMark/>
          </w:tcPr>
          <w:p w14:paraId="6748275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C2.2. R1</w:t>
            </w:r>
          </w:p>
        </w:tc>
        <w:tc>
          <w:tcPr>
            <w:tcW w:w="1274" w:type="dxa"/>
            <w:tcBorders>
              <w:top w:val="nil"/>
              <w:left w:val="nil"/>
              <w:bottom w:val="single" w:sz="6" w:space="0" w:color="auto"/>
              <w:right w:val="single" w:sz="6" w:space="0" w:color="auto"/>
            </w:tcBorders>
            <w:shd w:val="clear" w:color="auto" w:fill="C6EFCE"/>
            <w:vAlign w:val="center"/>
            <w:hideMark/>
          </w:tcPr>
          <w:p w14:paraId="56190C6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nil"/>
              <w:left w:val="nil"/>
              <w:bottom w:val="single" w:sz="6" w:space="0" w:color="auto"/>
              <w:right w:val="single" w:sz="6" w:space="0" w:color="auto"/>
            </w:tcBorders>
            <w:shd w:val="clear" w:color="auto" w:fill="C6EFCE"/>
            <w:vAlign w:val="center"/>
            <w:hideMark/>
          </w:tcPr>
          <w:p w14:paraId="19FD3A7D"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Izmijenjeni zakonodavni okvir radi centralizacije sustava selekcije u državnoj upravi, kojim se utvrđuju potrebne kvalifikacije državnih službenika i omogućava suvremeni postupak odabira</w:t>
            </w:r>
          </w:p>
        </w:tc>
      </w:tr>
      <w:tr w:rsidR="00095369" w:rsidRPr="0059000D" w14:paraId="20ABEF6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147998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166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72D894F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C2.2. R2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79D6F2C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62BFD94"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Stupanje na snagu Zakona o plaćama u državnoj upravi i javnim službama te propisa za mobilnost</w:t>
            </w:r>
          </w:p>
        </w:tc>
      </w:tr>
      <w:tr w:rsidR="00095369" w:rsidRPr="0059000D" w14:paraId="2D77C3E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F0C3E0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3B5475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C7E037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957843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Potpisivanje ugovora o dodjeli bespovratnih sredstava za izgradnju pasivne elektroničke komunikacijske infrastrukture</w:t>
            </w:r>
          </w:p>
        </w:tc>
      </w:tr>
      <w:tr w:rsidR="00095369" w:rsidRPr="0059000D" w14:paraId="000F0F9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A2C53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D73A79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8F12DF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7C211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edukacijski programi uvedeni su u program stručnog usavršavanja pravosudnih dužnosnika i službenika</w:t>
            </w:r>
          </w:p>
        </w:tc>
      </w:tr>
      <w:tr w:rsidR="00095369" w:rsidRPr="0059000D" w14:paraId="2225C8A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CD67E6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BB3D9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37602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C70101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izmjena zakonodavnog okvira u području pravosuđa s novim Zakonom o izvanparničnom postupku</w:t>
            </w:r>
          </w:p>
        </w:tc>
      </w:tr>
      <w:tr w:rsidR="00095369" w:rsidRPr="0059000D" w14:paraId="7DF23E8E" w14:textId="77777777">
        <w:trPr>
          <w:trHeight w:val="269"/>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8F6C0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F30660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EC786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7F692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četiriju centara za mirenje na trgovačkim sudovima u Zagrebu, Splitu, Osijeku i Rijeci i donesene izmjene Zakona o mirenju</w:t>
            </w:r>
          </w:p>
        </w:tc>
      </w:tr>
      <w:tr w:rsidR="00095369" w:rsidRPr="0059000D" w14:paraId="0D8EAA9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156C6A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257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9107C5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87EF6D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D14D4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Izmjene Pravilnika o izobrazbi u području javne nabave</w:t>
            </w:r>
          </w:p>
        </w:tc>
      </w:tr>
      <w:tr w:rsidR="00095369" w:rsidRPr="0059000D" w14:paraId="4A4DDF2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31FCE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BFF24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3BF394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A0559A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Modela financiranja RPOO-a</w:t>
            </w:r>
          </w:p>
        </w:tc>
      </w:tr>
      <w:tr w:rsidR="00095369" w:rsidRPr="0059000D" w14:paraId="02DDAA9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76691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1AB026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88223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94F73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Sredstva dodijeljena istraživačkim projektima na temelju internih poziva istraživačkih organizacija tijekom prvog dvogodišnjeg ciklusa provedbe programskih sporazuma</w:t>
            </w:r>
          </w:p>
        </w:tc>
      </w:tr>
      <w:tr w:rsidR="00095369" w:rsidRPr="0059000D" w14:paraId="7A72972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E71F8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B062D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ECDC8A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797ED2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izmjena Zakona o mirovinskom osiguranju</w:t>
            </w:r>
          </w:p>
        </w:tc>
      </w:tr>
      <w:tr w:rsidR="00095369" w:rsidRPr="0059000D" w14:paraId="482900C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1D6D0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8EBEEA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2E1E2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46C60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IT sustav izračunavanja cijena za socijalne usluge i pružatelje usluga u mreži</w:t>
            </w:r>
          </w:p>
        </w:tc>
      </w:tr>
      <w:tr w:rsidR="00095369" w:rsidRPr="0059000D" w14:paraId="703D4FA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80F5EC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0B4EB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7BAEE6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958D70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Dijagnostički medicinski uređaji u KB-u Dubrava</w:t>
            </w:r>
          </w:p>
        </w:tc>
      </w:tr>
      <w:tr w:rsidR="00095369" w:rsidRPr="0059000D" w14:paraId="43C130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25910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39D85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R1-I8</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52C715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5060A2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Medicinski uređaji za preoperativnu obradu i liječenje bolesnika s farmakorezistentnom epilepsijom u KB-u Dubrava</w:t>
            </w:r>
          </w:p>
        </w:tc>
      </w:tr>
      <w:tr w:rsidR="00095369" w:rsidRPr="0059000D" w14:paraId="60AB682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57AC54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1EEF83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7B5B53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0F4F6C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Dijagnostičke jedinice u KBC-u Merkur</w:t>
            </w:r>
          </w:p>
        </w:tc>
      </w:tr>
      <w:tr w:rsidR="00095369" w:rsidRPr="0059000D" w14:paraId="498D42C2" w14:textId="77777777">
        <w:trPr>
          <w:trHeight w:val="42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6E3A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1753F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8FCA7E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FC166B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Telekardiološke usluge</w:t>
            </w:r>
          </w:p>
        </w:tc>
      </w:tr>
      <w:tr w:rsidR="00095369" w:rsidRPr="0059000D" w14:paraId="135EE96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4B46D7A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39" w:type="dxa"/>
            <w:tcBorders>
              <w:top w:val="single" w:sz="6" w:space="0" w:color="auto"/>
              <w:left w:val="nil"/>
              <w:bottom w:val="single" w:sz="6" w:space="0" w:color="auto"/>
              <w:right w:val="single" w:sz="6" w:space="0" w:color="auto"/>
            </w:tcBorders>
            <w:shd w:val="clear" w:color="auto" w:fill="C6EFCE"/>
          </w:tcPr>
          <w:p w14:paraId="77CB1C71"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p>
        </w:tc>
        <w:tc>
          <w:tcPr>
            <w:tcW w:w="1274" w:type="dxa"/>
            <w:tcBorders>
              <w:top w:val="single" w:sz="6" w:space="0" w:color="auto"/>
              <w:left w:val="nil"/>
              <w:bottom w:val="single" w:sz="6" w:space="0" w:color="auto"/>
              <w:right w:val="single" w:sz="6" w:space="0" w:color="auto"/>
            </w:tcBorders>
            <w:shd w:val="clear" w:color="auto" w:fill="C6EFCE"/>
          </w:tcPr>
          <w:p w14:paraId="460F1CE7"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D49B84" w14:textId="754C641B"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306 166 382 EUR</w:t>
            </w:r>
          </w:p>
        </w:tc>
      </w:tr>
    </w:tbl>
    <w:p w14:paraId="3B2BDA39"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lang w:val="en-IE" w:eastAsia="en-IE"/>
        </w:rPr>
      </w:pPr>
    </w:p>
    <w:p w14:paraId="1C5F8816" w14:textId="77777777" w:rsidR="00095369" w:rsidRPr="00B45F0B" w:rsidRDefault="00095369" w:rsidP="00095369">
      <w:pPr>
        <w:pStyle w:val="ListParagraph"/>
        <w:numPr>
          <w:ilvl w:val="0"/>
          <w:numId w:val="49"/>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Peti obrok (bespovratna potpora):</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39"/>
        <w:gridCol w:w="1274"/>
        <w:gridCol w:w="5347"/>
      </w:tblGrid>
      <w:tr w:rsidR="00095369" w:rsidRPr="0059000D" w14:paraId="1E78B3AC" w14:textId="77777777" w:rsidTr="003E6AF4">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7F4837E"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A6547E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A84153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782E2CC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2BC9AB72"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919E2F"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86E3C9A"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817BD61"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51C91F7C"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2CEE4818"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2C2EE4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8</w:t>
            </w:r>
          </w:p>
        </w:tc>
        <w:tc>
          <w:tcPr>
            <w:tcW w:w="1639" w:type="dxa"/>
            <w:tcBorders>
              <w:top w:val="nil"/>
              <w:left w:val="nil"/>
              <w:bottom w:val="single" w:sz="6" w:space="0" w:color="auto"/>
              <w:right w:val="single" w:sz="6" w:space="0" w:color="auto"/>
            </w:tcBorders>
            <w:shd w:val="clear" w:color="auto" w:fill="C6EFCE"/>
            <w:vAlign w:val="center"/>
            <w:hideMark/>
          </w:tcPr>
          <w:p w14:paraId="3B3B3C8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R1-I2</w:t>
            </w:r>
          </w:p>
        </w:tc>
        <w:tc>
          <w:tcPr>
            <w:tcW w:w="1274" w:type="dxa"/>
            <w:tcBorders>
              <w:top w:val="nil"/>
              <w:left w:val="nil"/>
              <w:bottom w:val="single" w:sz="6" w:space="0" w:color="auto"/>
              <w:right w:val="single" w:sz="6" w:space="0" w:color="auto"/>
            </w:tcBorders>
            <w:shd w:val="clear" w:color="auto" w:fill="C6EFCE"/>
            <w:vAlign w:val="center"/>
            <w:hideMark/>
          </w:tcPr>
          <w:p w14:paraId="6A8D1BA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nil"/>
              <w:left w:val="nil"/>
              <w:bottom w:val="single" w:sz="6" w:space="0" w:color="auto"/>
              <w:right w:val="single" w:sz="6" w:space="0" w:color="auto"/>
            </w:tcBorders>
            <w:shd w:val="clear" w:color="auto" w:fill="C6EFCE"/>
            <w:vAlign w:val="center"/>
            <w:hideMark/>
          </w:tcPr>
          <w:p w14:paraId="426B6429"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Digitalizacija Testa procjene učinka na mala i srednja poduzeća, odnosno izrada digitalne platforme za suradnju koordinatora, online edukacije i međusobnu komunikaciju.</w:t>
            </w:r>
          </w:p>
        </w:tc>
      </w:tr>
      <w:tr w:rsidR="00095369" w:rsidRPr="0059000D" w14:paraId="49CF8056"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C509A55"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9</w:t>
            </w:r>
          </w:p>
        </w:tc>
        <w:tc>
          <w:tcPr>
            <w:tcW w:w="1639" w:type="dxa"/>
            <w:tcBorders>
              <w:top w:val="nil"/>
              <w:left w:val="nil"/>
              <w:bottom w:val="single" w:sz="6" w:space="0" w:color="auto"/>
              <w:right w:val="single" w:sz="6" w:space="0" w:color="auto"/>
            </w:tcBorders>
            <w:shd w:val="clear" w:color="auto" w:fill="C6EFCE"/>
            <w:vAlign w:val="center"/>
            <w:hideMark/>
          </w:tcPr>
          <w:p w14:paraId="4B3D920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R1-I2</w:t>
            </w:r>
          </w:p>
        </w:tc>
        <w:tc>
          <w:tcPr>
            <w:tcW w:w="1274" w:type="dxa"/>
            <w:tcBorders>
              <w:top w:val="nil"/>
              <w:left w:val="nil"/>
              <w:bottom w:val="single" w:sz="6" w:space="0" w:color="auto"/>
              <w:right w:val="single" w:sz="6" w:space="0" w:color="auto"/>
            </w:tcBorders>
            <w:shd w:val="clear" w:color="auto" w:fill="C6EFCE"/>
            <w:vAlign w:val="center"/>
            <w:hideMark/>
          </w:tcPr>
          <w:p w14:paraId="14173C7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hideMark/>
          </w:tcPr>
          <w:p w14:paraId="5A7807C9"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 xml:space="preserve">Provedba djelatnosti novog Akcijskog plana za smanjenje neporeznih i parafiskalnih davanja </w:t>
            </w:r>
          </w:p>
        </w:tc>
      </w:tr>
      <w:tr w:rsidR="00095369" w:rsidRPr="0059000D" w14:paraId="48132EF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87B46A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38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6C530FB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C1.2.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98FF55E"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2C4EF0A"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Izdavanje certifikata Hrvatske energetske regulatorne agencije (HERA) društvu Plinacro</w:t>
            </w:r>
          </w:p>
        </w:tc>
      </w:tr>
      <w:tr w:rsidR="00095369" w:rsidRPr="0059000D" w14:paraId="74319CE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FCCB5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12734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9DCF8A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D3C0FA9"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Ugovori o izvođenju radova sklopljeni za vodootpadne infrastrukturne projekte </w:t>
            </w:r>
          </w:p>
        </w:tc>
      </w:tr>
      <w:tr w:rsidR="00095369" w:rsidRPr="0059000D" w14:paraId="1ACC3CD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E5E752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8C174F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0B0339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2B81360"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Ugovori o izvođenju radovima sklopljeni za vodoopskrbne projekte </w:t>
            </w:r>
          </w:p>
        </w:tc>
      </w:tr>
      <w:tr w:rsidR="00095369" w:rsidRPr="0059000D" w14:paraId="1F08A5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45E9F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D2E03A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94FADE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0CE8D1E"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Izgrađena ili rekonstruirana javna vodoopskrbna mreža </w:t>
            </w:r>
          </w:p>
        </w:tc>
      </w:tr>
      <w:tr w:rsidR="00095369" w:rsidRPr="0059000D" w14:paraId="39D5B7E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9CE2EA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94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5E15DF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1DEB2A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777CBE4"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Uvođenje funkcionalnog sustava korištenja prava osoba s invaliditetom u području mobilnosti</w:t>
            </w:r>
          </w:p>
        </w:tc>
      </w:tr>
      <w:tr w:rsidR="00095369" w:rsidRPr="0059000D" w14:paraId="6676A60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FCFD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2867C4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C5B761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BCEC560"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Logističko-distributivni centar izgrađen je i u funkciji</w:t>
            </w:r>
          </w:p>
        </w:tc>
      </w:tr>
      <w:tr w:rsidR="00095369" w:rsidRPr="0059000D" w14:paraId="4C5CB10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CB3BB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FBDF28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50D2CC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7BE068"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Program potpore za infrastrukturno opremanje banke hrane i posrednika u lancu doniranja hrane</w:t>
            </w:r>
          </w:p>
        </w:tc>
      </w:tr>
      <w:tr w:rsidR="00095369" w:rsidRPr="0059000D" w14:paraId="51D84D6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010D3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264305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89EAEF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AB89F4"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Izrada metodološkog okvira za satelitski račun održivog turizma Republike Hrvatske</w:t>
            </w:r>
          </w:p>
        </w:tc>
      </w:tr>
      <w:tr w:rsidR="00095369" w:rsidRPr="0059000D" w14:paraId="3D5A858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21D3FC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723ADD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ED041E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67D3B58"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Zakon o turizmu kojim se uspostavlja okvir za praćenje i razvoj turističkog sektora</w:t>
            </w:r>
          </w:p>
        </w:tc>
      </w:tr>
      <w:tr w:rsidR="00095369" w:rsidRPr="0059000D" w14:paraId="6111161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C218F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151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5446BB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E3FC0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1478DA0"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Izmjene Zakona o procjeni učinka propisa</w:t>
            </w:r>
          </w:p>
        </w:tc>
      </w:tr>
      <w:tr w:rsidR="00095369" w:rsidRPr="0059000D" w14:paraId="4DE913A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89E1B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FA46C5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1DD170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9CA3892"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Najmanje 20 % državnih službenika primjenjuje pametni model rada</w:t>
            </w:r>
          </w:p>
        </w:tc>
      </w:tr>
      <w:tr w:rsidR="00095369" w:rsidRPr="0059000D" w14:paraId="73A4149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1A2D21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E639F7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E8840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91DB48C"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Najmanje 60 % državnih službenika educirano je za primjenu pametnog modela rada</w:t>
            </w:r>
          </w:p>
        </w:tc>
      </w:tr>
      <w:tr w:rsidR="00095369" w:rsidRPr="0059000D" w14:paraId="206E57B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B67B0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B9AD91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E882D7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943FDD9"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Uvođenje usluge e-konzervatorskih podloga</w:t>
            </w:r>
          </w:p>
        </w:tc>
      </w:tr>
      <w:tr w:rsidR="00095369" w:rsidRPr="0059000D" w14:paraId="487A8D3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427877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B8553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4E20D5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F270F1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Pilot-projekt o kibersigurnosti</w:t>
            </w:r>
          </w:p>
        </w:tc>
      </w:tr>
      <w:tr w:rsidR="00095369" w:rsidRPr="0059000D" w14:paraId="1EF35BB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08869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34B01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C53105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A66167"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jedinstvenog kontaktnog centra</w:t>
            </w:r>
          </w:p>
        </w:tc>
      </w:tr>
      <w:tr w:rsidR="00095369" w:rsidRPr="0059000D" w14:paraId="29A5AF2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11AD1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62ABEC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R3-I9</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0E677C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48E7EDD"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nove platforme javne nabave i mobilne aplikacije</w:t>
            </w:r>
          </w:p>
        </w:tc>
      </w:tr>
      <w:tr w:rsidR="00095369" w:rsidRPr="0059000D" w14:paraId="6D48335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3CBD2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931B9D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R3-I10</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B449A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67B250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Sustav za upravljanje digitalnim identitetima i sustav za upravljanje ljudskim resursima HZZ-a</w:t>
            </w:r>
          </w:p>
        </w:tc>
      </w:tr>
      <w:tr w:rsidR="00095369" w:rsidRPr="0059000D" w14:paraId="788CDB6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5E67AA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5FB4D3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CE82A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17675A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Potpisivanje ugovora o dodjeli bespovratnih sredstava za provedbu projekata u sklopu Okvirnog nacionalnog programa razvoja infrastrukture širokopojasnog pristupa (ONP)</w:t>
            </w:r>
          </w:p>
        </w:tc>
      </w:tr>
      <w:tr w:rsidR="00095369" w:rsidRPr="0059000D" w14:paraId="7C813B5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ECA577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8B122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434CE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5EA6714"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Donesena nova Okvirna mjerila za rad sudaca i uveden alat za aktivno upravljanje sudskim predmetima.</w:t>
            </w:r>
          </w:p>
        </w:tc>
      </w:tr>
      <w:tr w:rsidR="00095369" w:rsidRPr="0059000D" w14:paraId="20F5922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CE409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7918FF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4BE04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E7C17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kodeksa etike za saborske zastupnike i kodeksa etike za dužnosnike u izvršnoj vlasti</w:t>
            </w:r>
          </w:p>
        </w:tc>
      </w:tr>
      <w:tr w:rsidR="00095369" w:rsidRPr="0059000D" w14:paraId="0C3B12F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7F4A42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F4B53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7D01B3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5B0D729"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Vrednovanje učinaka Zakona o pravu na pristup informacijama</w:t>
            </w:r>
          </w:p>
        </w:tc>
      </w:tr>
      <w:tr w:rsidR="00095369" w:rsidRPr="0059000D" w14:paraId="5CCD527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1545E9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254 </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BE535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C2.8.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8F6A0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4E33DF9"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Jačanje nadzora financijskog sektora na temelju procjene rizika u području sprečavanja pranja novca i financiranja terorizma</w:t>
            </w:r>
          </w:p>
        </w:tc>
      </w:tr>
      <w:tr w:rsidR="00095369" w:rsidRPr="0059000D" w14:paraId="5DE1026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BE1BDB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258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E3782C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29FC9D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70FA2AF"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Integriranje ciljanog okvira za kontinuirano osposobljavanje službenika za javnu nabavu u skladu s okvirom ProcurCompEU u obvezni program obuke i certificiranja u javnoj nabavi.</w:t>
            </w:r>
          </w:p>
        </w:tc>
      </w:tr>
      <w:tr w:rsidR="00095369" w:rsidRPr="0059000D" w14:paraId="6CD6C5F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C25A8F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D0087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E2677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6A7578E"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izmjena za model cjelodnevne nastave</w:t>
            </w:r>
          </w:p>
        </w:tc>
      </w:tr>
      <w:tr w:rsidR="00095369" w:rsidRPr="0059000D" w14:paraId="7FA5F33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67482D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CC7F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649BB5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A54071"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Optimizacija vremena za dijagnostičko liječenje (liste čekanja)</w:t>
            </w:r>
          </w:p>
        </w:tc>
      </w:tr>
      <w:tr w:rsidR="00095369" w:rsidRPr="0059000D" w14:paraId="2F6C685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C7129E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C60519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25DD5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A89518"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Funkcionalna integracija bolnica</w:t>
            </w:r>
          </w:p>
        </w:tc>
      </w:tr>
      <w:tr w:rsidR="00095369" w:rsidRPr="0059000D" w14:paraId="6CF2C78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CEB113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101503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A70106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831E389"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Postupak zajedničke javne nabave za zdravstvene ustanove</w:t>
            </w:r>
          </w:p>
        </w:tc>
      </w:tr>
      <w:tr w:rsidR="00095369" w:rsidRPr="0059000D" w14:paraId="72CE17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8DD47D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369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C197C7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8C7A82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E8AEDB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strategija zelene urbane obnove</w:t>
            </w:r>
          </w:p>
        </w:tc>
      </w:tr>
      <w:tr w:rsidR="00095369" w:rsidRPr="0059000D" w14:paraId="7AC50D3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5B7B0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371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B8A99A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F3454C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5A66031"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Uspješno završen pilot-projekt za sustavno upravljanje energijom s ciljem testiranja novog modela financiranja energetske obnove</w:t>
            </w:r>
          </w:p>
        </w:tc>
      </w:tr>
      <w:tr w:rsidR="00095369" w:rsidRPr="0059000D" w14:paraId="223B08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498F9E1" w14:textId="0AF8024F" w:rsidR="00095369" w:rsidRPr="00D922B7" w:rsidRDefault="0061477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398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B7132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96717C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3085894" w14:textId="21DD000B"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Stupanje na snagu izmjena Zakona o socijalnoj skrbi i donošenje Odluke o zajamčenoj minimalnoj naknadi</w:t>
            </w:r>
          </w:p>
        </w:tc>
      </w:tr>
      <w:tr w:rsidR="00095369" w:rsidRPr="0059000D" w14:paraId="5DCE19F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DBFDFCB" w14:textId="386A982E" w:rsidR="00095369" w:rsidRPr="00D922B7" w:rsidRDefault="002E1C7A">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399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4F95B8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D39B37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9A5EEFD"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sustava centraliziranog financiranja specijalističkog medicinskog usavršavanja</w:t>
            </w:r>
          </w:p>
        </w:tc>
      </w:tr>
      <w:tr w:rsidR="00095369" w:rsidRPr="0059000D" w14:paraId="3ED19B8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6C7834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39" w:type="dxa"/>
            <w:tcBorders>
              <w:top w:val="single" w:sz="6" w:space="0" w:color="auto"/>
              <w:left w:val="nil"/>
              <w:bottom w:val="single" w:sz="6" w:space="0" w:color="auto"/>
              <w:right w:val="single" w:sz="6" w:space="0" w:color="auto"/>
            </w:tcBorders>
            <w:shd w:val="clear" w:color="auto" w:fill="C6EFCE"/>
            <w:vAlign w:val="center"/>
          </w:tcPr>
          <w:p w14:paraId="6F0342F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274" w:type="dxa"/>
            <w:tcBorders>
              <w:top w:val="single" w:sz="6" w:space="0" w:color="auto"/>
              <w:left w:val="nil"/>
              <w:bottom w:val="single" w:sz="6" w:space="0" w:color="auto"/>
              <w:right w:val="single" w:sz="6" w:space="0" w:color="auto"/>
            </w:tcBorders>
            <w:shd w:val="clear" w:color="auto" w:fill="C6EFCE"/>
            <w:vAlign w:val="center"/>
          </w:tcPr>
          <w:p w14:paraId="6B2D866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88FFFE"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642 949 403 EUR</w:t>
            </w:r>
          </w:p>
        </w:tc>
      </w:tr>
    </w:tbl>
    <w:p w14:paraId="0A474A61" w14:textId="77777777" w:rsidR="00095369" w:rsidRDefault="00095369" w:rsidP="00095369">
      <w:pPr>
        <w:spacing w:after="0" w:line="240" w:lineRule="auto"/>
        <w:jc w:val="both"/>
        <w:textAlignment w:val="baseline"/>
        <w:rPr>
          <w:rFonts w:ascii="Times New Roman" w:eastAsia="Times New Roman" w:hAnsi="Times New Roman" w:cs="Times New Roman"/>
          <w:noProof/>
          <w:sz w:val="24"/>
          <w:szCs w:val="24"/>
          <w:lang w:val="en-IE" w:eastAsia="en-IE"/>
        </w:rPr>
      </w:pPr>
    </w:p>
    <w:p w14:paraId="6BFD2CA6" w14:textId="77777777" w:rsidR="00095369" w:rsidRDefault="00095369" w:rsidP="00095369">
      <w:pPr>
        <w:spacing w:after="0" w:line="240" w:lineRule="auto"/>
        <w:jc w:val="both"/>
        <w:textAlignment w:val="baseline"/>
        <w:rPr>
          <w:rFonts w:ascii="Times New Roman" w:eastAsia="Times New Roman" w:hAnsi="Times New Roman" w:cs="Times New Roman"/>
          <w:noProof/>
          <w:sz w:val="24"/>
          <w:szCs w:val="24"/>
          <w:lang w:val="en-IE" w:eastAsia="en-IE"/>
        </w:rPr>
      </w:pPr>
    </w:p>
    <w:p w14:paraId="6AA6CC18" w14:textId="77777777" w:rsidR="00095369" w:rsidRPr="009A0978" w:rsidRDefault="00095369" w:rsidP="00095369">
      <w:pPr>
        <w:pStyle w:val="ListParagraph"/>
        <w:numPr>
          <w:ilvl w:val="0"/>
          <w:numId w:val="49"/>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Šesti obrok (bespovratna potpora):</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39"/>
        <w:gridCol w:w="1274"/>
        <w:gridCol w:w="5347"/>
      </w:tblGrid>
      <w:tr w:rsidR="00095369" w:rsidRPr="0059000D" w14:paraId="16A934B8" w14:textId="77777777" w:rsidTr="003E6AF4">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BF0B53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C6512E3"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4C927DB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2AEE651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284A719F"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4583901"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78FC41C"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16363FA"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3CFF46C3"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2CCE560C"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AF59EE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40</w:t>
            </w:r>
          </w:p>
        </w:tc>
        <w:tc>
          <w:tcPr>
            <w:tcW w:w="1639" w:type="dxa"/>
            <w:tcBorders>
              <w:top w:val="nil"/>
              <w:left w:val="nil"/>
              <w:bottom w:val="single" w:sz="6" w:space="0" w:color="auto"/>
              <w:right w:val="single" w:sz="6" w:space="0" w:color="auto"/>
            </w:tcBorders>
            <w:shd w:val="clear" w:color="auto" w:fill="C6EFCE"/>
            <w:vAlign w:val="center"/>
            <w:hideMark/>
          </w:tcPr>
          <w:p w14:paraId="4BDCE77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C1.2. R1-I1</w:t>
            </w:r>
          </w:p>
        </w:tc>
        <w:tc>
          <w:tcPr>
            <w:tcW w:w="1274" w:type="dxa"/>
            <w:tcBorders>
              <w:top w:val="nil"/>
              <w:left w:val="nil"/>
              <w:bottom w:val="single" w:sz="6" w:space="0" w:color="auto"/>
              <w:right w:val="single" w:sz="6" w:space="0" w:color="auto"/>
            </w:tcBorders>
            <w:shd w:val="clear" w:color="auto" w:fill="C6EFCE"/>
            <w:vAlign w:val="center"/>
            <w:hideMark/>
          </w:tcPr>
          <w:p w14:paraId="74A8B63D"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hideMark/>
          </w:tcPr>
          <w:p w14:paraId="07644597"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 xml:space="preserve">Dovršena je nadogradnja podzemnih kabela kojima se šest otoka povezuje s kopnenom mrežom </w:t>
            </w:r>
          </w:p>
        </w:tc>
      </w:tr>
      <w:tr w:rsidR="00095369" w:rsidRPr="0059000D" w14:paraId="31955815" w14:textId="77777777">
        <w:trPr>
          <w:trHeight w:val="353"/>
        </w:trPr>
        <w:tc>
          <w:tcPr>
            <w:tcW w:w="1096" w:type="dxa"/>
            <w:tcBorders>
              <w:top w:val="nil"/>
              <w:left w:val="single" w:sz="6" w:space="0" w:color="auto"/>
              <w:bottom w:val="single" w:sz="6" w:space="0" w:color="auto"/>
              <w:right w:val="single" w:sz="6" w:space="0" w:color="auto"/>
            </w:tcBorders>
            <w:shd w:val="clear" w:color="auto" w:fill="C6EFCE"/>
            <w:vAlign w:val="center"/>
          </w:tcPr>
          <w:p w14:paraId="02C7D9F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77</w:t>
            </w:r>
          </w:p>
        </w:tc>
        <w:tc>
          <w:tcPr>
            <w:tcW w:w="1639" w:type="dxa"/>
            <w:tcBorders>
              <w:top w:val="nil"/>
              <w:left w:val="nil"/>
              <w:bottom w:val="single" w:sz="6" w:space="0" w:color="auto"/>
              <w:right w:val="single" w:sz="6" w:space="0" w:color="auto"/>
            </w:tcBorders>
            <w:shd w:val="clear" w:color="auto" w:fill="C6EFCE"/>
            <w:vAlign w:val="center"/>
          </w:tcPr>
          <w:p w14:paraId="48007BE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 I3</w:t>
            </w:r>
          </w:p>
        </w:tc>
        <w:tc>
          <w:tcPr>
            <w:tcW w:w="1274" w:type="dxa"/>
            <w:tcBorders>
              <w:top w:val="nil"/>
              <w:left w:val="nil"/>
              <w:bottom w:val="single" w:sz="6" w:space="0" w:color="auto"/>
              <w:right w:val="single" w:sz="6" w:space="0" w:color="auto"/>
            </w:tcBorders>
            <w:shd w:val="clear" w:color="auto" w:fill="C6EFCE"/>
            <w:vAlign w:val="center"/>
          </w:tcPr>
          <w:p w14:paraId="559EB4E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tcPr>
          <w:p w14:paraId="448EB3D2"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Izgrađene strukture za zaštitu od poplava</w:t>
            </w:r>
          </w:p>
        </w:tc>
      </w:tr>
      <w:tr w:rsidR="00095369" w:rsidRPr="0059000D" w14:paraId="71EA0BD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960DA7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120</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23AA1A51"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C1.4. R5-I2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FC05E6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21F2927A"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Novi propis o autonomnoj vožnji</w:t>
            </w:r>
          </w:p>
        </w:tc>
      </w:tr>
      <w:tr w:rsidR="00095369" w:rsidRPr="0059000D" w14:paraId="57949E7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AD60A4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171</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056374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692F8E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F62AD07"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nacionalnog arhivskog informacijskog sustava</w:t>
            </w:r>
          </w:p>
        </w:tc>
      </w:tr>
      <w:tr w:rsidR="00095369" w:rsidRPr="0059000D" w14:paraId="5A6932BC"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7B90FD0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182</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44894D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6F81FFA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939687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Javna preventivna kampanja u području kibersigurnosti</w:t>
            </w:r>
          </w:p>
        </w:tc>
      </w:tr>
      <w:tr w:rsidR="00095369" w:rsidRPr="0059000D" w14:paraId="185E0DFF"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0CC352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184</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52017B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R3-I4</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B3AE60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5D9781DE"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Informacijski sustav CEZIH</w:t>
            </w:r>
          </w:p>
        </w:tc>
      </w:tr>
      <w:tr w:rsidR="00095369" w:rsidRPr="0059000D" w14:paraId="77AE219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B4BBC2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537D760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C2.4. R2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0F252F2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208DB6E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Novi pravni okvir o poduzećima u državnom vlasništvu, u koji su ugrađene preporuke OECD-a</w:t>
            </w:r>
          </w:p>
        </w:tc>
      </w:tr>
      <w:tr w:rsidR="00095369" w:rsidRPr="0059000D" w14:paraId="7EF06283"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E4C8D9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9E139A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R1-I5</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06E1E2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B888202"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Novoobnovljene zgrade sudova koje udovoljavaju Tehničkom propisu o racionalnoj upotrebi energije i toplinskoj zaštiti u zgradama</w:t>
            </w:r>
          </w:p>
        </w:tc>
      </w:tr>
      <w:tr w:rsidR="00095369" w:rsidRPr="0059000D" w14:paraId="36C0A2D0"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70028F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235</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C312CE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5938BB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18635BAC"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proračuna za osoblje antikorupcijskih tijela u pravosudnom sustavu.</w:t>
            </w:r>
          </w:p>
        </w:tc>
      </w:tr>
      <w:tr w:rsidR="00095369" w:rsidRPr="0059000D" w14:paraId="11339379"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732CA6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128C684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F8A2E5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32157D6"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proračuna za nabavu informatičkih alata i opreme u pravosudnim tijelima za potrebe istraživanja za kaznena djela korupcije i organiziranog kriminaliteta</w:t>
            </w:r>
          </w:p>
        </w:tc>
      </w:tr>
      <w:tr w:rsidR="00095369" w:rsidRPr="0059000D" w14:paraId="17526527"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2AD3D9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241</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B1F5E0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R1-I3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0D68276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FBBEBCF"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unaprijeđeni informacijski sustavi imovinskih kartica državnih dužnosnika i pravosudnih dužnosnika</w:t>
            </w:r>
          </w:p>
        </w:tc>
      </w:tr>
      <w:tr w:rsidR="00095369" w:rsidRPr="0059000D" w14:paraId="360000CB"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EFF53D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244</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34416F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D60358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7EF271AD"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Primjena OECD-ovih preporuka o korporativnom upravljanja društvima u većinskom vlasništvu jedinica lokalne i regionalne uprave</w:t>
            </w:r>
          </w:p>
        </w:tc>
      </w:tr>
      <w:tr w:rsidR="00095369" w:rsidRPr="0059000D" w14:paraId="13625BFE"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92B4AD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CE2941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R4</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B58E1F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BE2B5B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Edukacija sudaca o upravljanju korupcijskim rizicima u javnoj nabavi i sudskoj zaštiti u postupcima javne nabave.</w:t>
            </w:r>
          </w:p>
        </w:tc>
      </w:tr>
      <w:tr w:rsidR="00095369" w:rsidRPr="0059000D" w14:paraId="2B9C4833"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F6FD45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263</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0313EB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C3F755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984ED9B"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Programi i aktivnosti namijenjeni oblikovanju i upravljanju inovativne javne nabave</w:t>
            </w:r>
          </w:p>
        </w:tc>
      </w:tr>
      <w:tr w:rsidR="00095369" w:rsidRPr="0059000D" w14:paraId="5C220268"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258A8DC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F6E603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C4.2.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86EE68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18F28EE"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Zaključka o prihvaćanju Izvješća o provedenim analizama isplativosti ulaganja obveznih mirovinskih fondova u poduzeća u državnom vlasništvu,</w:t>
            </w:r>
          </w:p>
        </w:tc>
      </w:tr>
      <w:tr w:rsidR="00095369" w:rsidRPr="0059000D" w14:paraId="3E8564A4"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FC348B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21C974C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R1-I7</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891465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84447DB"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Novi objekti u KBC-u Sestre milosrdnice</w:t>
            </w:r>
          </w:p>
        </w:tc>
      </w:tr>
      <w:tr w:rsidR="00095369" w:rsidRPr="0059000D" w14:paraId="1A85889C"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E72B76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347</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31F1C8E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R5-I1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3B3FB8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AC59F8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Operacijske dvorane (Firule i Križine) i robotski sustav na lokaciji Firule ugrađeni su i u funkciji</w:t>
            </w:r>
          </w:p>
        </w:tc>
      </w:tr>
      <w:tr w:rsidR="00095369" w:rsidRPr="0059000D" w14:paraId="1CCA4638"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FD6939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350</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35E9470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R5-I4</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1558C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59FB67CF"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Operacijske dvorane KBC-a Sestre milosrdnice opremljene robotskom kirurgijom</w:t>
            </w:r>
          </w:p>
        </w:tc>
      </w:tr>
      <w:tr w:rsidR="00095369" w:rsidRPr="0059000D" w14:paraId="036E840A"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6F499E7" w14:textId="62565C81" w:rsidR="00095369" w:rsidRPr="00D922B7" w:rsidRDefault="00C50FB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407</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0C0F84D" w14:textId="1AEE642D"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602837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979DF0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Koordinacijsko tijelo za vodik</w:t>
            </w:r>
          </w:p>
        </w:tc>
      </w:tr>
      <w:tr w:rsidR="00095369" w:rsidRPr="0059000D" w14:paraId="7C986B9F"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1CC1B58" w14:textId="500DEFC8" w:rsidR="00095369" w:rsidRPr="00D922B7" w:rsidRDefault="00C50FB3">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412</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E41E326" w14:textId="0691053D"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0B3FD0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23FEAF51"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Plan razvoja geotermalnog potencijala</w:t>
            </w:r>
          </w:p>
        </w:tc>
      </w:tr>
      <w:tr w:rsidR="00095369" w:rsidRPr="0059000D" w14:paraId="5E8E7AE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7E65B19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1E5BC1C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126D9B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A7B588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505 174 531 EUR</w:t>
            </w:r>
          </w:p>
          <w:p w14:paraId="390060CD"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p>
        </w:tc>
      </w:tr>
    </w:tbl>
    <w:p w14:paraId="1B0EC9DD" w14:textId="77777777" w:rsidR="00095369" w:rsidRDefault="00095369" w:rsidP="00095369">
      <w:pPr>
        <w:rPr>
          <w:noProof/>
        </w:rPr>
      </w:pPr>
    </w:p>
    <w:p w14:paraId="2162EF1D" w14:textId="77777777" w:rsidR="00095369" w:rsidRPr="00B45F0B" w:rsidRDefault="00095369" w:rsidP="00095369">
      <w:pPr>
        <w:spacing w:after="0" w:line="240" w:lineRule="auto"/>
        <w:jc w:val="both"/>
        <w:textAlignment w:val="baseline"/>
        <w:rPr>
          <w:rFonts w:ascii="Times New Roman" w:eastAsia="Times New Roman" w:hAnsi="Times New Roman" w:cs="Times New Roman"/>
          <w:noProof/>
          <w:sz w:val="24"/>
          <w:szCs w:val="24"/>
          <w:lang w:val="fr-BE" w:eastAsia="en-IE"/>
        </w:rPr>
      </w:pPr>
    </w:p>
    <w:p w14:paraId="6B7BFE7A" w14:textId="77777777" w:rsidR="00095369" w:rsidRDefault="00095369" w:rsidP="00095369">
      <w:pPr>
        <w:pStyle w:val="ListParagraph"/>
        <w:numPr>
          <w:ilvl w:val="0"/>
          <w:numId w:val="49"/>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Sedmi obrok (bespovratna potpora):</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39"/>
        <w:gridCol w:w="1274"/>
        <w:gridCol w:w="5347"/>
      </w:tblGrid>
      <w:tr w:rsidR="00095369" w:rsidRPr="0059000D" w14:paraId="7C3803E4" w14:textId="77777777" w:rsidTr="003E6AF4">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EDE9173"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B7E977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2854391"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1D7DBFE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1A2DBE73"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BFA2F27"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EF9F3F"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BCF094"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11663C8E"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0EDFD086"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67EFF15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3</w:t>
            </w:r>
          </w:p>
        </w:tc>
        <w:tc>
          <w:tcPr>
            <w:tcW w:w="1639" w:type="dxa"/>
            <w:tcBorders>
              <w:top w:val="nil"/>
              <w:left w:val="nil"/>
              <w:bottom w:val="single" w:sz="6" w:space="0" w:color="auto"/>
              <w:right w:val="single" w:sz="6" w:space="0" w:color="auto"/>
            </w:tcBorders>
            <w:shd w:val="clear" w:color="auto" w:fill="C6EFCE"/>
            <w:vAlign w:val="center"/>
            <w:hideMark/>
          </w:tcPr>
          <w:p w14:paraId="7B0B170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R1-I1</w:t>
            </w:r>
          </w:p>
        </w:tc>
        <w:tc>
          <w:tcPr>
            <w:tcW w:w="1274" w:type="dxa"/>
            <w:tcBorders>
              <w:top w:val="nil"/>
              <w:left w:val="nil"/>
              <w:bottom w:val="single" w:sz="6" w:space="0" w:color="auto"/>
              <w:right w:val="single" w:sz="6" w:space="0" w:color="auto"/>
            </w:tcBorders>
            <w:shd w:val="clear" w:color="auto" w:fill="C6EFCE"/>
            <w:vAlign w:val="center"/>
            <w:hideMark/>
          </w:tcPr>
          <w:p w14:paraId="737E979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nil"/>
              <w:left w:val="nil"/>
              <w:bottom w:val="single" w:sz="6" w:space="0" w:color="auto"/>
              <w:right w:val="single" w:sz="6" w:space="0" w:color="auto"/>
            </w:tcBorders>
            <w:shd w:val="clear" w:color="auto" w:fill="C6EFCE"/>
            <w:vAlign w:val="center"/>
            <w:hideMark/>
          </w:tcPr>
          <w:p w14:paraId="5A8A8366"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Nadogradnja sustava START</w:t>
            </w:r>
          </w:p>
        </w:tc>
      </w:tr>
      <w:tr w:rsidR="00095369" w:rsidRPr="0059000D" w14:paraId="564DE77E"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3B4F70C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4</w:t>
            </w:r>
          </w:p>
        </w:tc>
        <w:tc>
          <w:tcPr>
            <w:tcW w:w="1639" w:type="dxa"/>
            <w:tcBorders>
              <w:top w:val="nil"/>
              <w:left w:val="nil"/>
              <w:bottom w:val="single" w:sz="6" w:space="0" w:color="auto"/>
              <w:right w:val="single" w:sz="6" w:space="0" w:color="auto"/>
            </w:tcBorders>
            <w:shd w:val="clear" w:color="auto" w:fill="C6EFCE"/>
            <w:vAlign w:val="center"/>
            <w:hideMark/>
          </w:tcPr>
          <w:p w14:paraId="71A77DA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R1-I1</w:t>
            </w:r>
          </w:p>
        </w:tc>
        <w:tc>
          <w:tcPr>
            <w:tcW w:w="1274" w:type="dxa"/>
            <w:tcBorders>
              <w:top w:val="nil"/>
              <w:left w:val="nil"/>
              <w:bottom w:val="single" w:sz="6" w:space="0" w:color="auto"/>
              <w:right w:val="single" w:sz="6" w:space="0" w:color="auto"/>
            </w:tcBorders>
            <w:shd w:val="clear" w:color="auto" w:fill="C6EFCE"/>
            <w:vAlign w:val="center"/>
            <w:hideMark/>
          </w:tcPr>
          <w:p w14:paraId="418C624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hideMark/>
          </w:tcPr>
          <w:p w14:paraId="41A4473E"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Uspostava fizičkih pristupnih točaka platformi START</w:t>
            </w:r>
          </w:p>
        </w:tc>
      </w:tr>
      <w:tr w:rsidR="00095369" w:rsidRPr="0059000D" w14:paraId="1B8F68E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5B6C20A"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5</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F3EB76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40DAB21"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B6ACEE2"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Digitalizacija ciljanih procesa MINGOR-a prema Zakonu o strateškim investicijskim projektima Republike Hrvatske, Zakonu o poticanju ulaganja i Zakonu o državnoj potpori za istraživačko-razvojne projekte te daljnja digitalizacija i umrežavanje sustava jedinstvenog registra poduzetničke infrastrukture (JRPI)</w:t>
            </w:r>
          </w:p>
        </w:tc>
      </w:tr>
      <w:tr w:rsidR="00095369" w:rsidRPr="0059000D" w14:paraId="42F83D6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B9281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544961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33F852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6E38F2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Provedba prvog skupa mjera utvrđenih u novom/petom Akcijskom planu za administrativno rasterećenje poduzetnika</w:t>
            </w:r>
          </w:p>
        </w:tc>
      </w:tr>
      <w:tr w:rsidR="00095369" w:rsidRPr="0059000D" w14:paraId="1FA8C7A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58C85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10AEB0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AE8411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B14FFD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Pojednostavnjenje ili uklanjanje najmanje 50 regulatornih zahtjeva za profesionalne usluge</w:t>
            </w:r>
          </w:p>
        </w:tc>
      </w:tr>
      <w:tr w:rsidR="00095369" w:rsidRPr="0059000D" w14:paraId="1207276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FF5F8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8018BE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E61C59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7E4DD3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br/>
              <w:t>Uspostava strateškog okvira za promociju privatnih ulaganja</w:t>
            </w:r>
          </w:p>
        </w:tc>
      </w:tr>
      <w:tr w:rsidR="00095369" w:rsidRPr="0059000D" w14:paraId="780A9D1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804D0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017C38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AB4346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E4A6B7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Izmjene pravnog okvira za poticaje u području istraživanja i razvoja</w:t>
            </w:r>
          </w:p>
        </w:tc>
      </w:tr>
      <w:tr w:rsidR="00095369" w:rsidRPr="0059000D" w14:paraId="14E9547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A39267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D84819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C1.1.2. R2-I5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F6D1F3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853E0F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Potpora projektima za komercijalizaciju inovacija</w:t>
            </w:r>
          </w:p>
        </w:tc>
      </w:tr>
      <w:tr w:rsidR="00095369" w:rsidRPr="0059000D" w14:paraId="57F31B3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5A4E0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170DCA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CDD8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0FD13F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Dovršena nadogradnja visokonaponske mreže (220/110 kV)</w:t>
            </w:r>
          </w:p>
        </w:tc>
      </w:tr>
      <w:tr w:rsidR="00095369" w:rsidRPr="0059000D" w14:paraId="54D97F9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688AF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A8DC9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E24183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9C139F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Dodatnih 1 500 MW kapaciteta obnovljivih izvora energije priključeno je na mrežu.</w:t>
            </w:r>
          </w:p>
        </w:tc>
      </w:tr>
      <w:tr w:rsidR="00095369" w:rsidRPr="0059000D" w14:paraId="5697BE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017D6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F35C52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CD9E52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E38DD8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Broj novih potrošača priključenih na pametnu mrežu</w:t>
            </w:r>
          </w:p>
        </w:tc>
      </w:tr>
      <w:tr w:rsidR="00095369" w:rsidRPr="0059000D" w14:paraId="56F7C7F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681116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0865BD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D7E076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6EE81D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Potpisani ugovori za istraživanje geotermalnog potencijala u kontekstu centraliziranog grijanja</w:t>
            </w:r>
          </w:p>
        </w:tc>
      </w:tr>
      <w:tr w:rsidR="00095369" w:rsidRPr="0059000D" w14:paraId="2D6865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ABFCED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6EBBB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2250CF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26F284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Integracija pružatelja vodnih usluga  </w:t>
            </w:r>
          </w:p>
        </w:tc>
      </w:tr>
      <w:tr w:rsidR="00095369" w:rsidRPr="0059000D" w14:paraId="6F37BB3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0DFDD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8CFEC7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BB0208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EDD69F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Smanjenje udjela komunalnog otpada upućenog na odlaganje (51 %)</w:t>
            </w:r>
          </w:p>
        </w:tc>
      </w:tr>
      <w:tr w:rsidR="00095369" w:rsidRPr="0059000D" w14:paraId="694AE7C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152E0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F948E3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R1-I4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1220BD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22BE70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izvještajno-upravljačkog sustav putničkog i teretnog prijevoza u cestovnom prometu</w:t>
            </w:r>
          </w:p>
        </w:tc>
      </w:tr>
      <w:tr w:rsidR="00095369" w:rsidRPr="0059000D" w14:paraId="6E3A81E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AAE79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97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84112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R1-I5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192078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37155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Razvoj sustava za praćenje prijevoza opasnih tvari u cestovnom prometu (e-ADR)</w:t>
            </w:r>
          </w:p>
        </w:tc>
      </w:tr>
      <w:tr w:rsidR="00095369" w:rsidRPr="0059000D" w14:paraId="3CB927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5961F7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42A4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69E3AE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F47B35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Reorganizacija upravljanja željezničkim društvima i poslovanjem</w:t>
            </w:r>
          </w:p>
        </w:tc>
      </w:tr>
      <w:tr w:rsidR="00095369" w:rsidRPr="0059000D" w14:paraId="0166619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2BE5E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D1FE1C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B2569B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5560E1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informacijskog sustava za sljedivost</w:t>
            </w:r>
          </w:p>
        </w:tc>
      </w:tr>
      <w:tr w:rsidR="00095369" w:rsidRPr="0059000D" w14:paraId="5B5C6AB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FB9C4E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4C49C5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5AF0F5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EC9D5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Obrazovni programi za jačanje znanja i vještina u turizmu</w:t>
            </w:r>
          </w:p>
        </w:tc>
      </w:tr>
      <w:tr w:rsidR="00095369" w:rsidRPr="0059000D" w14:paraId="4C0C2B7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377E2F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4A5B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4AA9AD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002F20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Ukupno 100 % novih, stalno zaposlenih državnih službenika u državnim tijelima zapošljava se isključivo kroz novi, centralizirani, digitalizirani i standardizirani sustav odabira i zapošljavanja, dostupan putem novorazvijene IT platforme</w:t>
            </w:r>
          </w:p>
        </w:tc>
      </w:tr>
      <w:tr w:rsidR="00095369" w:rsidRPr="0059000D" w14:paraId="5BADA5F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9ED740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5887ED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077D41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00FDD6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središnjeg sustava interoperabilnosti</w:t>
            </w:r>
          </w:p>
        </w:tc>
      </w:tr>
      <w:tr w:rsidR="00095369" w:rsidRPr="0059000D" w14:paraId="405F908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FC4BDA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ABE5F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2A10C3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75E86A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E-potpis digitalne osobne iskaznice</w:t>
            </w:r>
          </w:p>
        </w:tc>
      </w:tr>
      <w:tr w:rsidR="00095369" w:rsidRPr="0059000D" w14:paraId="03995E8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37595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F6A319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7FD84C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3DAFFF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mreže DII</w:t>
            </w:r>
          </w:p>
        </w:tc>
      </w:tr>
      <w:tr w:rsidR="00095369" w:rsidRPr="0059000D" w14:paraId="5CBE815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CC075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7421AC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R3-I8</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E090D8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C59668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Elektroničke javne usluge integrirane u novu mobilnu platformu </w:t>
            </w:r>
          </w:p>
        </w:tc>
      </w:tr>
      <w:tr w:rsidR="00095369" w:rsidRPr="0059000D" w14:paraId="724DBDF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74A09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C41FE0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ABC04D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12E7A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Sustav za e-račune i digitalno knjigovodstvo u sustavu PDV-a </w:t>
            </w:r>
          </w:p>
        </w:tc>
      </w:tr>
      <w:tr w:rsidR="00095369" w:rsidRPr="0059000D" w14:paraId="782FD67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B7CC34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C5D71C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C2.4.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7E3F04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E86E5E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Razviti informatički sustav i metodologiju za smanjenje portfelja imovine u državnom vlasništvu te brže i učinkovitije aktiviranje neiskorištene državne imovine </w:t>
            </w:r>
          </w:p>
        </w:tc>
      </w:tr>
      <w:tr w:rsidR="00095369" w:rsidRPr="0059000D" w14:paraId="3E43710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44835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6FFCF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44897C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FF467E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Sve nove prvostupanjske i drugostupanjske sudske odluke kojima se završavaju postupci anonimiziraju se i objavljuju na portalu.</w:t>
            </w:r>
          </w:p>
        </w:tc>
      </w:tr>
      <w:tr w:rsidR="00095369" w:rsidRPr="0059000D" w14:paraId="103CA9F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C54A88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6D34F9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A02A7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28916C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Sustav eSpis nadograđen je novim funkcijama i nova arhitektura integrirana je u Centar dijeljenih usluga (CDU)</w:t>
            </w:r>
          </w:p>
        </w:tc>
      </w:tr>
      <w:tr w:rsidR="00095369" w:rsidRPr="0059000D" w14:paraId="087900B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250329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252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B1422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C2.8.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0441C6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0026F6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Ojačati nadzor redovnim sastancima skupine MIRS </w:t>
            </w:r>
          </w:p>
        </w:tc>
      </w:tr>
      <w:tr w:rsidR="00095369" w:rsidRPr="0059000D" w14:paraId="76EF167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51E229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0228D3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89163C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CAEBF5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Udio sveučilišta ili istraživačkih instituta koji su potpisali programske sporazume</w:t>
            </w:r>
          </w:p>
        </w:tc>
      </w:tr>
      <w:tr w:rsidR="00095369" w:rsidRPr="0059000D" w14:paraId="0B0F009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4D3EA7D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288</w:t>
            </w:r>
          </w:p>
        </w:tc>
        <w:tc>
          <w:tcPr>
            <w:tcW w:w="1639" w:type="dxa"/>
            <w:tcBorders>
              <w:top w:val="single" w:sz="6" w:space="0" w:color="auto"/>
              <w:left w:val="nil"/>
              <w:bottom w:val="single" w:sz="6" w:space="0" w:color="auto"/>
              <w:right w:val="single" w:sz="6" w:space="0" w:color="auto"/>
            </w:tcBorders>
            <w:shd w:val="clear" w:color="auto" w:fill="C6EFCE"/>
          </w:tcPr>
          <w:p w14:paraId="77BA4C8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R2</w:t>
            </w:r>
          </w:p>
        </w:tc>
        <w:tc>
          <w:tcPr>
            <w:tcW w:w="1274" w:type="dxa"/>
            <w:tcBorders>
              <w:top w:val="single" w:sz="6" w:space="0" w:color="auto"/>
              <w:left w:val="nil"/>
              <w:bottom w:val="single" w:sz="6" w:space="0" w:color="auto"/>
              <w:right w:val="single" w:sz="6" w:space="0" w:color="auto"/>
            </w:tcBorders>
            <w:shd w:val="clear" w:color="auto" w:fill="C6EFCE"/>
          </w:tcPr>
          <w:p w14:paraId="4115E9C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00B7178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Stupanje na snagu izmjena Zakona o tržištu rada</w:t>
            </w:r>
          </w:p>
        </w:tc>
      </w:tr>
      <w:tr w:rsidR="00095369" w:rsidRPr="0059000D" w14:paraId="3FF90FB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995A90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D8305B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67E2EA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1D1280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Bolja kvaliteta potpore ranjivim skupinama </w:t>
            </w:r>
          </w:p>
        </w:tc>
      </w:tr>
      <w:tr w:rsidR="00095369" w:rsidRPr="0059000D" w14:paraId="7C71E6C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0DDFA9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EE425E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8F436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01A4FB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Donošenje normativnog propisa o funkcionalno objedinjenim socijalnim naknadama </w:t>
            </w:r>
          </w:p>
        </w:tc>
      </w:tr>
      <w:tr w:rsidR="00095369" w:rsidRPr="0059000D" w14:paraId="0DF588A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8AED6A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66CA7D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16FDCA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B704AE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Digitalna dostupnost informacija o naknadama iz sustava socijalne zaštite na nacionalnoj razini</w:t>
            </w:r>
          </w:p>
        </w:tc>
      </w:tr>
      <w:tr w:rsidR="00095369" w:rsidRPr="0059000D" w14:paraId="255015B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F8782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96CB5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004267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449D3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Jačanje ljudskih kapaciteta za pružanje usluga u zajednici</w:t>
            </w:r>
          </w:p>
        </w:tc>
      </w:tr>
      <w:tr w:rsidR="00095369" w:rsidRPr="0059000D" w14:paraId="0641E14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5E7D1B" w14:textId="5952D14F" w:rsidR="00095369" w:rsidRPr="00D922B7" w:rsidRDefault="001275EC">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378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FF223F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75991B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2371588"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Stupanje na snagu Uredbe o naknadi zbog korištenja odlagališta</w:t>
            </w:r>
          </w:p>
        </w:tc>
      </w:tr>
      <w:tr w:rsidR="00095369" w:rsidRPr="0059000D" w14:paraId="2AA8A21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286BC5E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39" w:type="dxa"/>
            <w:tcBorders>
              <w:top w:val="single" w:sz="6" w:space="0" w:color="auto"/>
              <w:left w:val="nil"/>
              <w:bottom w:val="single" w:sz="6" w:space="0" w:color="auto"/>
              <w:right w:val="single" w:sz="6" w:space="0" w:color="auto"/>
            </w:tcBorders>
            <w:shd w:val="clear" w:color="auto" w:fill="C6EFCE"/>
          </w:tcPr>
          <w:p w14:paraId="4993B403"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p>
        </w:tc>
        <w:tc>
          <w:tcPr>
            <w:tcW w:w="1274" w:type="dxa"/>
            <w:tcBorders>
              <w:top w:val="single" w:sz="6" w:space="0" w:color="auto"/>
              <w:left w:val="nil"/>
              <w:bottom w:val="single" w:sz="6" w:space="0" w:color="auto"/>
              <w:right w:val="single" w:sz="6" w:space="0" w:color="auto"/>
            </w:tcBorders>
            <w:shd w:val="clear" w:color="auto" w:fill="C6EFCE"/>
          </w:tcPr>
          <w:p w14:paraId="426DBE6B"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72ED4D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607 246 171 EUR</w:t>
            </w:r>
          </w:p>
        </w:tc>
      </w:tr>
    </w:tbl>
    <w:p w14:paraId="225E04C0" w14:textId="77777777" w:rsidR="00095369" w:rsidRPr="00B45F0B" w:rsidRDefault="00095369" w:rsidP="00095369">
      <w:pPr>
        <w:spacing w:after="0" w:line="240" w:lineRule="auto"/>
        <w:jc w:val="both"/>
        <w:textAlignment w:val="baseline"/>
        <w:rPr>
          <w:rFonts w:ascii="Times New Roman" w:eastAsia="Times New Roman" w:hAnsi="Times New Roman" w:cs="Times New Roman"/>
          <w:noProof/>
          <w:sz w:val="24"/>
          <w:szCs w:val="24"/>
          <w:lang w:val="en-IE" w:eastAsia="en-IE"/>
        </w:rPr>
      </w:pPr>
    </w:p>
    <w:p w14:paraId="0BE8F16D" w14:textId="77777777" w:rsidR="00095369" w:rsidRPr="00B45F0B" w:rsidRDefault="00095369" w:rsidP="003E6AF4">
      <w:pPr>
        <w:pStyle w:val="ListParagraph"/>
        <w:pageBreakBefore/>
        <w:numPr>
          <w:ilvl w:val="0"/>
          <w:numId w:val="49"/>
        </w:numPr>
        <w:spacing w:line="240" w:lineRule="auto"/>
        <w:ind w:left="714" w:hanging="357"/>
        <w:jc w:val="both"/>
        <w:textAlignment w:val="baseline"/>
        <w:rPr>
          <w:rFonts w:ascii="Times New Roman" w:eastAsia="Times New Roman" w:hAnsi="Times New Roman" w:cs="Times New Roman"/>
          <w:noProof/>
          <w:sz w:val="24"/>
          <w:szCs w:val="24"/>
        </w:rPr>
      </w:pPr>
      <w:r>
        <w:rPr>
          <w:rFonts w:ascii="Times New Roman" w:hAnsi="Times New Roman"/>
          <w:noProof/>
          <w:sz w:val="24"/>
        </w:rPr>
        <w:t xml:space="preserve">Osmi obrok (bespovratna potpora):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39"/>
        <w:gridCol w:w="1274"/>
        <w:gridCol w:w="5347"/>
      </w:tblGrid>
      <w:tr w:rsidR="00095369" w:rsidRPr="0059000D" w14:paraId="437346C3" w14:textId="77777777">
        <w:trPr>
          <w:trHeight w:val="458"/>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2829481"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687CB4A"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28EB91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385F84B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48CDB39D"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86E6EFF"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FA50366"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8806D4B"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71EDBF38"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5BF2B3BD"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16707A0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30</w:t>
            </w:r>
          </w:p>
        </w:tc>
        <w:tc>
          <w:tcPr>
            <w:tcW w:w="1639" w:type="dxa"/>
            <w:tcBorders>
              <w:top w:val="nil"/>
              <w:left w:val="nil"/>
              <w:bottom w:val="single" w:sz="6" w:space="0" w:color="auto"/>
              <w:right w:val="single" w:sz="6" w:space="0" w:color="auto"/>
            </w:tcBorders>
            <w:shd w:val="clear" w:color="auto" w:fill="C6EFCE"/>
            <w:vAlign w:val="center"/>
            <w:hideMark/>
          </w:tcPr>
          <w:p w14:paraId="74056EB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C1.1.2. R2-I3</w:t>
            </w:r>
          </w:p>
        </w:tc>
        <w:tc>
          <w:tcPr>
            <w:tcW w:w="1274" w:type="dxa"/>
            <w:tcBorders>
              <w:top w:val="nil"/>
              <w:left w:val="nil"/>
              <w:bottom w:val="single" w:sz="6" w:space="0" w:color="auto"/>
              <w:right w:val="single" w:sz="6" w:space="0" w:color="auto"/>
            </w:tcBorders>
            <w:shd w:val="clear" w:color="auto" w:fill="C6EFCE"/>
            <w:vAlign w:val="center"/>
            <w:hideMark/>
          </w:tcPr>
          <w:p w14:paraId="0F76954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hideMark/>
          </w:tcPr>
          <w:p w14:paraId="534A141E"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Dodjela potpore za poticanje rasta novoosnovanih poduzeća u sektorima visoke tehnologije i znanja</w:t>
            </w:r>
          </w:p>
        </w:tc>
      </w:tr>
      <w:tr w:rsidR="00095369" w:rsidRPr="0059000D" w14:paraId="002A1842" w14:textId="77777777">
        <w:trPr>
          <w:trHeight w:val="51"/>
        </w:trPr>
        <w:tc>
          <w:tcPr>
            <w:tcW w:w="1096" w:type="dxa"/>
            <w:tcBorders>
              <w:top w:val="nil"/>
              <w:left w:val="single" w:sz="6" w:space="0" w:color="auto"/>
              <w:bottom w:val="single" w:sz="6" w:space="0" w:color="auto"/>
              <w:right w:val="single" w:sz="6" w:space="0" w:color="auto"/>
            </w:tcBorders>
            <w:shd w:val="clear" w:color="auto" w:fill="C6EFCE"/>
          </w:tcPr>
          <w:p w14:paraId="08E648A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78</w:t>
            </w:r>
          </w:p>
        </w:tc>
        <w:tc>
          <w:tcPr>
            <w:tcW w:w="1639" w:type="dxa"/>
            <w:tcBorders>
              <w:top w:val="nil"/>
              <w:left w:val="nil"/>
              <w:bottom w:val="single" w:sz="6" w:space="0" w:color="auto"/>
              <w:right w:val="single" w:sz="6" w:space="0" w:color="auto"/>
            </w:tcBorders>
            <w:shd w:val="clear" w:color="auto" w:fill="C6EFCE"/>
          </w:tcPr>
          <w:p w14:paraId="057D22B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R1-I3</w:t>
            </w:r>
          </w:p>
        </w:tc>
        <w:tc>
          <w:tcPr>
            <w:tcW w:w="1274" w:type="dxa"/>
            <w:tcBorders>
              <w:top w:val="nil"/>
              <w:left w:val="nil"/>
              <w:bottom w:val="single" w:sz="6" w:space="0" w:color="auto"/>
              <w:right w:val="single" w:sz="6" w:space="0" w:color="auto"/>
            </w:tcBorders>
            <w:shd w:val="clear" w:color="auto" w:fill="C6EFCE"/>
          </w:tcPr>
          <w:p w14:paraId="2CA9218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tcPr>
          <w:p w14:paraId="6F78964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Revitalizirani vodotoci </w:t>
            </w:r>
          </w:p>
        </w:tc>
      </w:tr>
      <w:tr w:rsidR="00095369" w:rsidRPr="0059000D" w14:paraId="4728FAC5"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tcPr>
          <w:p w14:paraId="69F1563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119</w:t>
            </w:r>
          </w:p>
        </w:tc>
        <w:tc>
          <w:tcPr>
            <w:tcW w:w="1639" w:type="dxa"/>
            <w:tcBorders>
              <w:top w:val="nil"/>
              <w:left w:val="nil"/>
              <w:bottom w:val="single" w:sz="6" w:space="0" w:color="auto"/>
              <w:right w:val="single" w:sz="6" w:space="0" w:color="auto"/>
            </w:tcBorders>
            <w:shd w:val="clear" w:color="auto" w:fill="C6EFCE"/>
            <w:vAlign w:val="center"/>
          </w:tcPr>
          <w:p w14:paraId="6A849B2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R5-I2</w:t>
            </w:r>
          </w:p>
        </w:tc>
        <w:tc>
          <w:tcPr>
            <w:tcW w:w="1274" w:type="dxa"/>
            <w:tcBorders>
              <w:top w:val="nil"/>
              <w:left w:val="nil"/>
              <w:bottom w:val="single" w:sz="6" w:space="0" w:color="auto"/>
              <w:right w:val="single" w:sz="6" w:space="0" w:color="auto"/>
            </w:tcBorders>
            <w:shd w:val="clear" w:color="auto" w:fill="C6EFCE"/>
            <w:vAlign w:val="center"/>
          </w:tcPr>
          <w:p w14:paraId="7C41DB7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tcPr>
          <w:p w14:paraId="058E824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Verifikacijski prototipovi potpuno autonomnih i električnih vozila te odgovarajuće testiranje</w:t>
            </w:r>
          </w:p>
        </w:tc>
      </w:tr>
      <w:tr w:rsidR="00095369" w:rsidRPr="0059000D" w14:paraId="7CEF1A2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A291FA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133</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66AFF31A"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C1.5. R2-I2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070E177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2A63293"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Nadogradnja operativnog informacijskog sustava za praćenje poljoprivrednog zemljišta i uspostava 90 stalnih postaja za praćenje stanja poljoprivrednog zemljišta</w:t>
            </w:r>
          </w:p>
        </w:tc>
      </w:tr>
      <w:tr w:rsidR="00095369" w:rsidRPr="0059000D" w14:paraId="2E1FA1E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CB217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ACF76D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101C1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913228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Mehanizam podrške za dobrovoljno funkcionalno i stvarno spajanje i uspostava sveobuhvatnog sustava podrške za funkcionalno i stvarno spajanje jedinica</w:t>
            </w:r>
          </w:p>
        </w:tc>
      </w:tr>
      <w:tr w:rsidR="00095369" w:rsidRPr="0059000D" w14:paraId="5D81843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E92079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33AC17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01CCB3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BAE01A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Ocjena učinaka nacionalne informativne kampanje protiv korupcije</w:t>
            </w:r>
          </w:p>
        </w:tc>
      </w:tr>
      <w:tr w:rsidR="00095369" w:rsidRPr="0059000D" w14:paraId="0DDBB97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CB9D5D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04EA61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4460D7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E7FF4B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Nadogradnja i pametna digitalizacija četiriju regionalnih centara Policijskog nacionalnog ureda za suzbijanje korupcije i organiziranog kriminaliteta (PNUSKOK)</w:t>
            </w:r>
          </w:p>
        </w:tc>
      </w:tr>
      <w:tr w:rsidR="00095369" w:rsidRPr="0059000D" w14:paraId="69F28B4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166F1D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559406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C0904E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10D654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Završeni istraživački projekti u području zelenog istraživanja od strane znanstvenih organizacija koje su potpisale nove programske sporazume</w:t>
            </w:r>
          </w:p>
        </w:tc>
      </w:tr>
      <w:tr w:rsidR="00095369" w:rsidRPr="0059000D" w14:paraId="570758F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8D6687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4720A6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06BAB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B368E8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Sredstva dodijeljena istraživačkim projektima na temelju internih poziva istraživačkih organizacija</w:t>
            </w:r>
          </w:p>
        </w:tc>
      </w:tr>
      <w:tr w:rsidR="00095369" w:rsidRPr="0059000D" w14:paraId="53933FE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FEBE55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7CA725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90E90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E490D6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Bespovratna sredstva dodijeljena u programskom okviru za povećanje dostupnosti i zapošljivosti diplomanata u područjima STEM-a i IKT-a i poboljšanje njihove mobilnosti za nacionalnu i međunarodnu suradnju</w:t>
            </w:r>
          </w:p>
        </w:tc>
      </w:tr>
      <w:tr w:rsidR="00095369" w:rsidRPr="0059000D" w14:paraId="2455682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306FF3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E78F42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13C92C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BD8B99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Bolja kvaliteta potpore za najmanje 5 000 osoba iz ranjivih skupina</w:t>
            </w:r>
          </w:p>
        </w:tc>
      </w:tr>
      <w:tr w:rsidR="00095369" w:rsidRPr="0059000D" w14:paraId="0386123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8A12E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05487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4B90D5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A427B6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omjera minimalne plaće u odnosu na prosječnu bruto plaću 2024. na 50 %</w:t>
            </w:r>
          </w:p>
        </w:tc>
      </w:tr>
      <w:tr w:rsidR="00095369" w:rsidRPr="0059000D" w14:paraId="7BCBBB3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497586F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298</w:t>
            </w:r>
          </w:p>
        </w:tc>
        <w:tc>
          <w:tcPr>
            <w:tcW w:w="1639" w:type="dxa"/>
            <w:tcBorders>
              <w:top w:val="single" w:sz="6" w:space="0" w:color="auto"/>
              <w:left w:val="nil"/>
              <w:bottom w:val="single" w:sz="6" w:space="0" w:color="auto"/>
              <w:right w:val="single" w:sz="6" w:space="0" w:color="auto"/>
            </w:tcBorders>
            <w:shd w:val="clear" w:color="auto" w:fill="C6EFCE"/>
          </w:tcPr>
          <w:p w14:paraId="3CC8B54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C4.2. R1</w:t>
            </w:r>
          </w:p>
        </w:tc>
        <w:tc>
          <w:tcPr>
            <w:tcW w:w="1274" w:type="dxa"/>
            <w:tcBorders>
              <w:top w:val="single" w:sz="6" w:space="0" w:color="auto"/>
              <w:left w:val="nil"/>
              <w:bottom w:val="single" w:sz="6" w:space="0" w:color="auto"/>
              <w:right w:val="single" w:sz="6" w:space="0" w:color="auto"/>
            </w:tcBorders>
            <w:shd w:val="clear" w:color="auto" w:fill="C6EFCE"/>
          </w:tcPr>
          <w:p w14:paraId="7ADE8FE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47434C1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donošenje Zaključka o prihvaćanju Izvješća o provedenim analizama isplativosti ulaganja obveznih mirovinskih fondova u poduzeća u državnom vlasništvu, </w:t>
            </w:r>
          </w:p>
        </w:tc>
      </w:tr>
      <w:tr w:rsidR="00095369" w:rsidRPr="0059000D" w14:paraId="6A2E3C3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1D92BA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36C926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738CF4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975E06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ukupnog mirovinskog prihoda za 10 % do 15 % za korisnike redefiniranog oblika obiteljske mirovine (najmanje 10 %).</w:t>
            </w:r>
          </w:p>
        </w:tc>
      </w:tr>
      <w:tr w:rsidR="00095369" w:rsidRPr="0059000D" w14:paraId="3E83BA1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C9B6D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77754C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7FC42D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39DF9C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Centralno upravljanje svim parenteralnim pripravcima u osam bolnica </w:t>
            </w:r>
          </w:p>
        </w:tc>
      </w:tr>
      <w:tr w:rsidR="00095369" w:rsidRPr="0059000D" w14:paraId="0FDE3D2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8778D8"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342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E33EAE9"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C5.1. R4-I4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C7AA75"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EE34517" w14:textId="77777777" w:rsidR="00095369" w:rsidRPr="00D922B7" w:rsidRDefault="00095369">
            <w:pPr>
              <w:spacing w:after="0" w:line="240" w:lineRule="auto"/>
              <w:textAlignment w:val="baseline"/>
              <w:rPr>
                <w:rFonts w:ascii="Times New Roman" w:hAnsi="Times New Roman" w:cs="Times New Roman"/>
                <w:noProof/>
                <w:sz w:val="20"/>
                <w:szCs w:val="20"/>
              </w:rPr>
            </w:pPr>
            <w:r>
              <w:rPr>
                <w:rFonts w:ascii="Times New Roman" w:hAnsi="Times New Roman"/>
                <w:noProof/>
                <w:sz w:val="20"/>
              </w:rPr>
              <w:t>Sustav za praćenje nestašice lijekova na temelju tehnologije lanaca blokova</w:t>
            </w:r>
          </w:p>
        </w:tc>
      </w:tr>
      <w:tr w:rsidR="00095369" w:rsidRPr="0059000D" w14:paraId="59AD185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DBD030"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365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ACE99EE"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C6.1.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F406CC"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6B57096" w14:textId="77777777" w:rsidR="00095369" w:rsidRPr="00D922B7" w:rsidRDefault="00095369">
            <w:pPr>
              <w:spacing w:after="0" w:line="240" w:lineRule="auto"/>
              <w:textAlignment w:val="baseline"/>
              <w:rPr>
                <w:rFonts w:ascii="Times New Roman" w:hAnsi="Times New Roman" w:cs="Times New Roman"/>
                <w:noProof/>
                <w:sz w:val="20"/>
                <w:szCs w:val="20"/>
              </w:rPr>
            </w:pPr>
            <w:r>
              <w:rPr>
                <w:rFonts w:ascii="Times New Roman" w:hAnsi="Times New Roman"/>
                <w:noProof/>
                <w:sz w:val="20"/>
              </w:rPr>
              <w:t>Seizmološki podaci integrirani su u 10 stručnih podloga za prostorne planove jedinica lokalne uprave</w:t>
            </w:r>
          </w:p>
        </w:tc>
      </w:tr>
      <w:tr w:rsidR="00095369" w:rsidRPr="0059000D" w14:paraId="6E07721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608B9706" w14:textId="72D0255B" w:rsidR="00095369" w:rsidRPr="00D922B7" w:rsidRDefault="00CB1BFE">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406</w:t>
            </w:r>
          </w:p>
        </w:tc>
        <w:tc>
          <w:tcPr>
            <w:tcW w:w="1639" w:type="dxa"/>
            <w:tcBorders>
              <w:top w:val="single" w:sz="6" w:space="0" w:color="auto"/>
              <w:left w:val="nil"/>
              <w:bottom w:val="single" w:sz="6" w:space="0" w:color="auto"/>
              <w:right w:val="single" w:sz="6" w:space="0" w:color="auto"/>
            </w:tcBorders>
            <w:shd w:val="clear" w:color="auto" w:fill="C6EFCE"/>
          </w:tcPr>
          <w:p w14:paraId="662D9DB7" w14:textId="0EFC454C"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C7.1. R1</w:t>
            </w:r>
          </w:p>
        </w:tc>
        <w:tc>
          <w:tcPr>
            <w:tcW w:w="1274" w:type="dxa"/>
            <w:tcBorders>
              <w:top w:val="single" w:sz="6" w:space="0" w:color="auto"/>
              <w:left w:val="nil"/>
              <w:bottom w:val="single" w:sz="6" w:space="0" w:color="auto"/>
              <w:right w:val="single" w:sz="6" w:space="0" w:color="auto"/>
            </w:tcBorders>
            <w:shd w:val="clear" w:color="auto" w:fill="C6EFCE"/>
          </w:tcPr>
          <w:p w14:paraId="7F085BD4"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7EB7D8DC" w14:textId="77777777" w:rsidR="00095369" w:rsidRPr="00D922B7" w:rsidRDefault="00095369">
            <w:pPr>
              <w:spacing w:after="0" w:line="240" w:lineRule="auto"/>
              <w:textAlignment w:val="baseline"/>
              <w:rPr>
                <w:rFonts w:ascii="Times New Roman" w:hAnsi="Times New Roman" w:cs="Times New Roman"/>
                <w:noProof/>
                <w:sz w:val="20"/>
                <w:szCs w:val="20"/>
              </w:rPr>
            </w:pPr>
            <w:r>
              <w:rPr>
                <w:rFonts w:ascii="Times New Roman" w:hAnsi="Times New Roman"/>
                <w:noProof/>
                <w:sz w:val="20"/>
              </w:rPr>
              <w:t>Stupanje na snagu propisa o uvođenju novog sustava vlastite potrošnje</w:t>
            </w:r>
          </w:p>
        </w:tc>
      </w:tr>
      <w:tr w:rsidR="00095369" w:rsidRPr="0059000D" w14:paraId="6AA635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2EB00A03" w14:textId="5B11CC6A" w:rsidR="00095369" w:rsidRPr="00D922B7" w:rsidRDefault="00D647A8">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408</w:t>
            </w:r>
          </w:p>
        </w:tc>
        <w:tc>
          <w:tcPr>
            <w:tcW w:w="1639" w:type="dxa"/>
            <w:tcBorders>
              <w:top w:val="single" w:sz="6" w:space="0" w:color="auto"/>
              <w:left w:val="nil"/>
              <w:bottom w:val="single" w:sz="6" w:space="0" w:color="auto"/>
              <w:right w:val="single" w:sz="6" w:space="0" w:color="auto"/>
            </w:tcBorders>
            <w:shd w:val="clear" w:color="auto" w:fill="C6EFCE"/>
          </w:tcPr>
          <w:p w14:paraId="327CD71A" w14:textId="41A7BDB2"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C7.1. R1-I2</w:t>
            </w:r>
          </w:p>
        </w:tc>
        <w:tc>
          <w:tcPr>
            <w:tcW w:w="1274" w:type="dxa"/>
            <w:tcBorders>
              <w:top w:val="single" w:sz="6" w:space="0" w:color="auto"/>
              <w:left w:val="nil"/>
              <w:bottom w:val="single" w:sz="6" w:space="0" w:color="auto"/>
              <w:right w:val="single" w:sz="6" w:space="0" w:color="auto"/>
            </w:tcBorders>
            <w:shd w:val="clear" w:color="auto" w:fill="C6EFCE"/>
          </w:tcPr>
          <w:p w14:paraId="7A54DB41"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246C5283" w14:textId="77777777" w:rsidR="00095369" w:rsidRPr="00D922B7" w:rsidRDefault="00095369">
            <w:pPr>
              <w:spacing w:after="0" w:line="240" w:lineRule="auto"/>
              <w:textAlignment w:val="baseline"/>
              <w:rPr>
                <w:rFonts w:ascii="Times New Roman" w:hAnsi="Times New Roman" w:cs="Times New Roman"/>
                <w:noProof/>
                <w:sz w:val="20"/>
                <w:szCs w:val="20"/>
              </w:rPr>
            </w:pPr>
            <w:r>
              <w:rPr>
                <w:rFonts w:ascii="Times New Roman" w:hAnsi="Times New Roman"/>
                <w:noProof/>
                <w:sz w:val="20"/>
              </w:rPr>
              <w:t>Plan i program razvoja vodika</w:t>
            </w:r>
          </w:p>
        </w:tc>
      </w:tr>
      <w:tr w:rsidR="00095369" w:rsidRPr="0059000D" w14:paraId="7FF4A7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056C798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39" w:type="dxa"/>
            <w:tcBorders>
              <w:top w:val="single" w:sz="6" w:space="0" w:color="auto"/>
              <w:left w:val="nil"/>
              <w:bottom w:val="single" w:sz="6" w:space="0" w:color="auto"/>
              <w:right w:val="single" w:sz="6" w:space="0" w:color="auto"/>
            </w:tcBorders>
            <w:shd w:val="clear" w:color="auto" w:fill="C6EFCE"/>
          </w:tcPr>
          <w:p w14:paraId="2D7F3CFC"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p>
        </w:tc>
        <w:tc>
          <w:tcPr>
            <w:tcW w:w="1274" w:type="dxa"/>
            <w:tcBorders>
              <w:top w:val="single" w:sz="6" w:space="0" w:color="auto"/>
              <w:left w:val="nil"/>
              <w:bottom w:val="single" w:sz="6" w:space="0" w:color="auto"/>
              <w:right w:val="single" w:sz="6" w:space="0" w:color="auto"/>
            </w:tcBorders>
            <w:shd w:val="clear" w:color="auto" w:fill="C6EFCE"/>
          </w:tcPr>
          <w:p w14:paraId="05535C94"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1342C0" w14:textId="3F868FAB"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204 095 476 EUR</w:t>
            </w:r>
          </w:p>
        </w:tc>
      </w:tr>
    </w:tbl>
    <w:p w14:paraId="67C30FDC" w14:textId="77777777" w:rsidR="00095369" w:rsidRPr="00AF1AEE" w:rsidRDefault="00095369" w:rsidP="00095369">
      <w:pPr>
        <w:spacing w:after="0" w:line="240" w:lineRule="auto"/>
        <w:jc w:val="both"/>
        <w:textAlignment w:val="baseline"/>
        <w:rPr>
          <w:rFonts w:ascii="Times New Roman" w:eastAsia="Times New Roman" w:hAnsi="Times New Roman" w:cs="Times New Roman"/>
          <w:noProof/>
          <w:sz w:val="24"/>
          <w:szCs w:val="24"/>
          <w:lang w:val="en-IE" w:eastAsia="en-IE"/>
        </w:rPr>
      </w:pPr>
    </w:p>
    <w:p w14:paraId="41445180" w14:textId="77777777" w:rsidR="00095369" w:rsidRPr="00B45F0B" w:rsidRDefault="00095369" w:rsidP="00074A21">
      <w:pPr>
        <w:pStyle w:val="ListParagraph"/>
        <w:pageBreakBefore/>
        <w:numPr>
          <w:ilvl w:val="0"/>
          <w:numId w:val="49"/>
        </w:numPr>
        <w:spacing w:line="240" w:lineRule="auto"/>
        <w:ind w:left="714" w:hanging="357"/>
        <w:jc w:val="both"/>
        <w:textAlignment w:val="baseline"/>
        <w:rPr>
          <w:rFonts w:ascii="Times New Roman" w:eastAsia="Times New Roman" w:hAnsi="Times New Roman" w:cs="Times New Roman"/>
          <w:noProof/>
          <w:sz w:val="24"/>
          <w:szCs w:val="24"/>
        </w:rPr>
      </w:pPr>
      <w:r>
        <w:rPr>
          <w:rFonts w:ascii="Times New Roman" w:hAnsi="Times New Roman"/>
          <w:noProof/>
          <w:sz w:val="24"/>
        </w:rPr>
        <w:t>Deveti obrok (bespovratna potpora):</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39"/>
        <w:gridCol w:w="1274"/>
        <w:gridCol w:w="5347"/>
      </w:tblGrid>
      <w:tr w:rsidR="00095369" w:rsidRPr="0059000D" w14:paraId="2DC7A9AB" w14:textId="77777777" w:rsidTr="00074A21">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4F7688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271D26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3A12DF3"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096CCB8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0BA5E59A"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FC4D97D"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DD87E7B"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5790802"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5F34E79A"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9A0978" w14:paraId="2F05F43D"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665F293"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11</w:t>
            </w:r>
          </w:p>
        </w:tc>
        <w:tc>
          <w:tcPr>
            <w:tcW w:w="1639" w:type="dxa"/>
            <w:tcBorders>
              <w:top w:val="nil"/>
              <w:left w:val="nil"/>
              <w:bottom w:val="single" w:sz="6" w:space="0" w:color="auto"/>
              <w:right w:val="single" w:sz="6" w:space="0" w:color="auto"/>
            </w:tcBorders>
            <w:shd w:val="clear" w:color="auto" w:fill="C6EFCE"/>
            <w:vAlign w:val="center"/>
            <w:hideMark/>
          </w:tcPr>
          <w:p w14:paraId="4017E2FE"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R1-I2</w:t>
            </w:r>
          </w:p>
        </w:tc>
        <w:tc>
          <w:tcPr>
            <w:tcW w:w="1274" w:type="dxa"/>
            <w:tcBorders>
              <w:top w:val="nil"/>
              <w:left w:val="nil"/>
              <w:bottom w:val="single" w:sz="6" w:space="0" w:color="auto"/>
              <w:right w:val="single" w:sz="6" w:space="0" w:color="auto"/>
            </w:tcBorders>
            <w:shd w:val="clear" w:color="auto" w:fill="C6EFCE"/>
            <w:vAlign w:val="center"/>
            <w:hideMark/>
          </w:tcPr>
          <w:p w14:paraId="6F6C123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hideMark/>
          </w:tcPr>
          <w:p w14:paraId="200305E5"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Provedba drugog skupa mjera utvrđenih u novom/petom Akcijskom planu administrativnog rasterećenja poduzetnika</w:t>
            </w:r>
          </w:p>
        </w:tc>
      </w:tr>
      <w:tr w:rsidR="00095369" w:rsidRPr="009A0978" w14:paraId="36E0FA24"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12779E0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15</w:t>
            </w:r>
          </w:p>
        </w:tc>
        <w:tc>
          <w:tcPr>
            <w:tcW w:w="1639" w:type="dxa"/>
            <w:tcBorders>
              <w:top w:val="nil"/>
              <w:left w:val="nil"/>
              <w:bottom w:val="single" w:sz="6" w:space="0" w:color="auto"/>
              <w:right w:val="single" w:sz="6" w:space="0" w:color="auto"/>
            </w:tcBorders>
            <w:shd w:val="clear" w:color="auto" w:fill="C6EFCE"/>
            <w:vAlign w:val="center"/>
            <w:hideMark/>
          </w:tcPr>
          <w:p w14:paraId="11F6528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R4-I1</w:t>
            </w:r>
          </w:p>
        </w:tc>
        <w:tc>
          <w:tcPr>
            <w:tcW w:w="1274" w:type="dxa"/>
            <w:tcBorders>
              <w:top w:val="nil"/>
              <w:left w:val="nil"/>
              <w:bottom w:val="single" w:sz="6" w:space="0" w:color="auto"/>
              <w:right w:val="single" w:sz="6" w:space="0" w:color="auto"/>
            </w:tcBorders>
            <w:shd w:val="clear" w:color="auto" w:fill="C6EFCE"/>
            <w:vAlign w:val="center"/>
            <w:hideMark/>
          </w:tcPr>
          <w:p w14:paraId="31C8D2A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hideMark/>
          </w:tcPr>
          <w:p w14:paraId="0046CADC"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Dodjela sredstava MSP-ovima i poduzećima srednje tržišne kapitalizacije za ulaganja u ekološki prihvatljive aktivnosti</w:t>
            </w:r>
          </w:p>
        </w:tc>
      </w:tr>
      <w:tr w:rsidR="00095369" w:rsidRPr="009A0978" w14:paraId="3D734069" w14:textId="77777777">
        <w:trPr>
          <w:trHeight w:val="51"/>
        </w:trPr>
        <w:tc>
          <w:tcPr>
            <w:tcW w:w="1096" w:type="dxa"/>
            <w:tcBorders>
              <w:top w:val="nil"/>
              <w:left w:val="single" w:sz="6" w:space="0" w:color="auto"/>
              <w:bottom w:val="single" w:sz="6" w:space="0" w:color="auto"/>
              <w:right w:val="single" w:sz="6" w:space="0" w:color="auto"/>
            </w:tcBorders>
            <w:shd w:val="clear" w:color="auto" w:fill="C6EFCE"/>
          </w:tcPr>
          <w:p w14:paraId="6FE914F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w:t>
            </w:r>
          </w:p>
        </w:tc>
        <w:tc>
          <w:tcPr>
            <w:tcW w:w="1639" w:type="dxa"/>
            <w:tcBorders>
              <w:top w:val="nil"/>
              <w:left w:val="nil"/>
              <w:bottom w:val="single" w:sz="6" w:space="0" w:color="auto"/>
              <w:right w:val="single" w:sz="6" w:space="0" w:color="auto"/>
            </w:tcBorders>
            <w:shd w:val="clear" w:color="auto" w:fill="C6EFCE"/>
          </w:tcPr>
          <w:p w14:paraId="5BD6207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C1.1.2. R2-I2</w:t>
            </w:r>
          </w:p>
        </w:tc>
        <w:tc>
          <w:tcPr>
            <w:tcW w:w="1274" w:type="dxa"/>
            <w:tcBorders>
              <w:top w:val="nil"/>
              <w:left w:val="nil"/>
              <w:bottom w:val="single" w:sz="6" w:space="0" w:color="auto"/>
              <w:right w:val="single" w:sz="6" w:space="0" w:color="auto"/>
            </w:tcBorders>
            <w:shd w:val="clear" w:color="auto" w:fill="C6EFCE"/>
          </w:tcPr>
          <w:p w14:paraId="40A791A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tcPr>
          <w:p w14:paraId="778B7E2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Potpora malim i srednjim poduzećima u jačanju upravljačkih kapaciteta </w:t>
            </w:r>
          </w:p>
        </w:tc>
      </w:tr>
      <w:tr w:rsidR="00095369" w:rsidRPr="009A0978" w14:paraId="4EFA71A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97AD67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35</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8813571"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C1.1.2. R4-I1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1FEC171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F3E2ABD"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Osnivanje nacionalnih centara u okviru mreže europskih digitalnoinovacijskih centara (EDIH)</w:t>
            </w:r>
          </w:p>
        </w:tc>
      </w:tr>
      <w:tr w:rsidR="00095369" w:rsidRPr="009A0978" w14:paraId="4E67A5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E6B0B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5172EC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56A8CB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3A43A9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Rezultati geotermalnog potencijala za centralizirano grijanje javno su dostupni</w:t>
            </w:r>
          </w:p>
        </w:tc>
      </w:tr>
      <w:tr w:rsidR="003F6266" w:rsidRPr="009A0978" w14:paraId="50262631" w14:textId="77777777" w:rsidTr="003F6266">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00DD7835" w14:textId="58854D82" w:rsidR="003F6266" w:rsidRPr="00D922B7" w:rsidRDefault="003F6266" w:rsidP="003F6266">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51</w:t>
            </w:r>
          </w:p>
        </w:tc>
        <w:tc>
          <w:tcPr>
            <w:tcW w:w="1639" w:type="dxa"/>
            <w:tcBorders>
              <w:top w:val="single" w:sz="6" w:space="0" w:color="auto"/>
              <w:left w:val="nil"/>
              <w:bottom w:val="single" w:sz="6" w:space="0" w:color="auto"/>
              <w:right w:val="single" w:sz="6" w:space="0" w:color="auto"/>
            </w:tcBorders>
            <w:shd w:val="clear" w:color="auto" w:fill="C6EFCE"/>
          </w:tcPr>
          <w:p w14:paraId="4B594B0A" w14:textId="0CFB514A" w:rsidR="003F6266" w:rsidRPr="00D922B7" w:rsidRDefault="003F6266" w:rsidP="003F6266">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R1-I1</w:t>
            </w:r>
          </w:p>
        </w:tc>
        <w:tc>
          <w:tcPr>
            <w:tcW w:w="1274" w:type="dxa"/>
            <w:tcBorders>
              <w:top w:val="single" w:sz="6" w:space="0" w:color="auto"/>
              <w:left w:val="nil"/>
              <w:bottom w:val="single" w:sz="6" w:space="0" w:color="auto"/>
              <w:right w:val="single" w:sz="6" w:space="0" w:color="auto"/>
            </w:tcBorders>
            <w:shd w:val="clear" w:color="auto" w:fill="C6EFCE"/>
          </w:tcPr>
          <w:p w14:paraId="3BA0AAE8" w14:textId="206A4E4A" w:rsidR="003F6266" w:rsidRPr="00D922B7" w:rsidRDefault="003F6266" w:rsidP="003F6266">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1DC95748" w14:textId="294A2E86" w:rsidR="003F6266" w:rsidRPr="00D922B7" w:rsidRDefault="003F6266" w:rsidP="003F6266">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Ugrađen novi kapacitet za proizvodnju vodika</w:t>
            </w:r>
          </w:p>
        </w:tc>
      </w:tr>
      <w:tr w:rsidR="00095369" w:rsidRPr="009A0978" w14:paraId="3C00CE6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43A96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3C7F40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8EA396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CA9752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Postrojenja za pročišćavanje otpadnih voda izgrađena su i u funkciji</w:t>
            </w:r>
          </w:p>
        </w:tc>
      </w:tr>
      <w:tr w:rsidR="00095369" w:rsidRPr="009A0978" w14:paraId="4F77895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5FB594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69BD48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335F91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8A0E4D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Izgrađena ili rekonstruirana javna mreža odvodnje otpadnih voda</w:t>
            </w:r>
          </w:p>
        </w:tc>
      </w:tr>
      <w:tr w:rsidR="00095369" w:rsidRPr="009A0978" w14:paraId="319B5D0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DC668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D5560E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F72F89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8B7E36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Izgrađena ili rekonstruirana javna vodoopskrbna mreža</w:t>
            </w:r>
          </w:p>
        </w:tc>
      </w:tr>
      <w:tr w:rsidR="00095369" w:rsidRPr="009A0978" w14:paraId="29B7620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04DA0E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D21937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C22C06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C3CF60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Izgrađene strukture za zaštitu od poplava</w:t>
            </w:r>
          </w:p>
        </w:tc>
      </w:tr>
      <w:tr w:rsidR="00095369" w:rsidRPr="009A0978" w14:paraId="5B50249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39820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83F648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30031E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8696B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Izgrađeni objekti za razvrstavanje</w:t>
            </w:r>
          </w:p>
        </w:tc>
      </w:tr>
      <w:tr w:rsidR="00095369" w:rsidRPr="009A0978" w14:paraId="0564B86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C97E32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F35C5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82B30E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BFFF4F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Izgrađeni objekti za obradu odvojeno prikupljenog biootpada</w:t>
            </w:r>
          </w:p>
        </w:tc>
      </w:tr>
      <w:tr w:rsidR="00095369" w:rsidRPr="009A0978" w14:paraId="322F453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028AF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099761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A53A30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A1FB38"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Funkcionalna fiksna/mobilna lokacija za razvrstavanje otpada</w:t>
            </w:r>
          </w:p>
        </w:tc>
      </w:tr>
      <w:tr w:rsidR="00095369" w:rsidRPr="009A0978" w14:paraId="0F7B406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A805AA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923820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241197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679F36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Smanjenje udjela komunalnog otpada upućenog na odlaganje (45 %)</w:t>
            </w:r>
          </w:p>
        </w:tc>
      </w:tr>
      <w:tr w:rsidR="00095369" w:rsidRPr="009A0978" w14:paraId="45C01FA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661CF8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629B3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EEAA4B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BED36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Proizvedena dva prototipa vlakova; početak operativnog testiranja</w:t>
            </w:r>
          </w:p>
        </w:tc>
      </w:tr>
      <w:tr w:rsidR="00095369" w:rsidRPr="009A0978" w14:paraId="4675A8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68B4DB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305B1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F23487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79FBF2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Obnova tri kolodvora na dionici Oštarije-Knin-Split</w:t>
            </w:r>
          </w:p>
        </w:tc>
      </w:tr>
      <w:tr w:rsidR="00095369" w:rsidRPr="009A0978" w14:paraId="754D0F1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CC0F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C136E2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0752D9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A6239B8"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Signalno-sigurnosni uređaji na dionici Oštarije-Knin-Split ugrađeni su i u funkciji</w:t>
            </w:r>
          </w:p>
        </w:tc>
      </w:tr>
      <w:tr w:rsidR="00095369" w:rsidRPr="009A0978" w14:paraId="51FA77A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49285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9C9D8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854A97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F667D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Uklonjeno pet uskih grla na dionicama s trenutačnim ograničenjem brzine od 60 km/h</w:t>
            </w:r>
          </w:p>
        </w:tc>
      </w:tr>
      <w:tr w:rsidR="00095369" w:rsidRPr="009A0978" w14:paraId="0025AA9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CC0AC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EC5F2A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AFA7DE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6BDF32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Obnovljena je i nadograđena dvokolosiječna željeznička pruga na dionici Zagreb Kustošija-Zagreb Zapadni kolodvor-Zagreb Glavni kolodvor u duljini od 3,4 km</w:t>
            </w:r>
          </w:p>
        </w:tc>
      </w:tr>
      <w:tr w:rsidR="00095369" w:rsidRPr="009A0978" w14:paraId="3F50BB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00CFAC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CFE75E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8FEB2B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E1B7B2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Modernizirane/obnovljene dvije morske luke otvorene za javni promet</w:t>
            </w:r>
          </w:p>
        </w:tc>
      </w:tr>
      <w:tr w:rsidR="00095369" w:rsidRPr="009A0978" w14:paraId="3783FE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423EA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36A84E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87A666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AB6F28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Nabavljeno 30 tramvaja za javni prijevoz</w:t>
            </w:r>
          </w:p>
        </w:tc>
      </w:tr>
      <w:tr w:rsidR="00095369" w:rsidRPr="009A0978" w14:paraId="3EF95E1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DC5DCA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AAE6F6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R5-I1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0F369A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528F2D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Uvođenje potpuno elektrificiranog i ekološki prihvatljivog sustava za prihvat i otpremu zrakoplova u zračnoj luci Zadar</w:t>
            </w:r>
          </w:p>
        </w:tc>
      </w:tr>
      <w:tr w:rsidR="00095369" w:rsidRPr="009A0978" w14:paraId="354A22D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F9BDB3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36C4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51E0AD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92C2D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Dodjela potpore za istraživanje i razvoj projekta novog ekosustava urbane mobilnosti</w:t>
            </w:r>
          </w:p>
        </w:tc>
      </w:tr>
      <w:tr w:rsidR="00095369" w:rsidRPr="009A0978" w14:paraId="487D03A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27D01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A6827A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C6FFC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4F264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Potpuno autonomna električna vozila prilagođena potrebama putnika s invaliditetom i specijalizirana infrastruktura</w:t>
            </w:r>
          </w:p>
        </w:tc>
      </w:tr>
      <w:tr w:rsidR="00095369" w:rsidRPr="009A0978" w14:paraId="4D6D3E1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F0219E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EA86C8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E58B7D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C914E1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Digitalizacija najmanje 30 javnih usluga u poljoprivredi navedenih u Akcijskom planu za digitalnu transformaciju poljoprivrednih javnih usluga</w:t>
            </w:r>
          </w:p>
        </w:tc>
      </w:tr>
      <w:tr w:rsidR="00095369" w:rsidRPr="009A0978" w14:paraId="178D142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2F3D69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F7D323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0FBE7C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F6C26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platforme za pametnu poljoprivredu</w:t>
            </w:r>
          </w:p>
        </w:tc>
      </w:tr>
      <w:tr w:rsidR="00095369" w:rsidRPr="009A0978" w14:paraId="78FB2B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4C010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0D12F7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41760C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FE82C6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Educirani polaznici obrazovnih programa za jačanje znanja i vještina u turizmu, uključujući digitalne vještine za državne i javne službenike u sustavu turizma, nezaposlene i edukacije kod poslodavaca</w:t>
            </w:r>
          </w:p>
        </w:tc>
      </w:tr>
      <w:tr w:rsidR="00095369" w:rsidRPr="009A0978" w14:paraId="42C362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B90D4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152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440253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BE01AB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F6F0FF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Digitalizacija i pojednostavnjenje postupaka radi smanjenja administrativnog opterećenja koje izravno utječe na građane</w:t>
            </w:r>
          </w:p>
        </w:tc>
      </w:tr>
      <w:tr w:rsidR="00095369" w:rsidRPr="009A0978" w14:paraId="68072F7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CA49DB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153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24310F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1EF3A0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193393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Digitalizacija mapiranja svih poslovnih procesa u području strateškog planiranja i procjene učinka propisa</w:t>
            </w:r>
          </w:p>
        </w:tc>
      </w:tr>
      <w:tr w:rsidR="00095369" w:rsidRPr="009A0978" w14:paraId="0570D2F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6B61BA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162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4F29C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C2.1.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F01E6E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703BCD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Izrada projektno-tehničke dokumentacije za projekte u području zelene i digitalne tranzicije</w:t>
            </w:r>
          </w:p>
        </w:tc>
      </w:tr>
      <w:tr w:rsidR="00095369" w:rsidRPr="009A0978" w14:paraId="77D0E1E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5AD49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B9A13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0DB7E0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F7F75A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korisnici mreže DII</w:t>
            </w:r>
          </w:p>
        </w:tc>
      </w:tr>
      <w:tr w:rsidR="00095369" w:rsidRPr="009A0978" w14:paraId="392FECE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77462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1CAAA3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R3-I7</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6F109B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80DEC5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Digitalni prostorni planovi </w:t>
            </w:r>
          </w:p>
        </w:tc>
      </w:tr>
      <w:tr w:rsidR="00095369" w:rsidRPr="009A0978" w14:paraId="42974F4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E9FBE4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15335E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R3-I7</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048D5C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3E503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Nadogradnja informacijskog sustava prostornih planova</w:t>
            </w:r>
          </w:p>
        </w:tc>
      </w:tr>
      <w:tr w:rsidR="00095369" w:rsidRPr="009A0978" w14:paraId="12987C5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1C9391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F9FCFF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0FA21C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6EFA4F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Nadogradnja i optimizacija infrastrukture IKT-a u svim pravosudnim tijelima</w:t>
            </w:r>
          </w:p>
        </w:tc>
      </w:tr>
      <w:tr w:rsidR="00095369" w:rsidRPr="009A0978" w14:paraId="72EC5D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EE7AD1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8E812C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A24A0B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A36C9E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Uvođenje informacijskog sustava za praćenje provedbe nacionalnih antikorupcijskih mjera</w:t>
            </w:r>
          </w:p>
        </w:tc>
      </w:tr>
      <w:tr w:rsidR="00095369" w:rsidRPr="009A0978" w14:paraId="4A783DD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CF25F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5EFA8D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62CA6D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A09F13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informacijskog sustava za upravljanje etičkom infrastrukturom u državnoj službi</w:t>
            </w:r>
          </w:p>
        </w:tc>
      </w:tr>
      <w:tr w:rsidR="00095369" w:rsidRPr="009A0978" w14:paraId="0709EAA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1E895E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255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2CAA4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C2.8.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1541C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1885AA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broja nadzornih aktivnosti na terenu na temelju utvrđenih rizika od pranja novca i financiranja terorizma</w:t>
            </w:r>
          </w:p>
        </w:tc>
      </w:tr>
      <w:tr w:rsidR="00095369" w:rsidRPr="009A0978" w14:paraId="3D4FA0E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7C789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C2B03D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93FE1F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2CBBE4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Edukacija službenika za javnu nabavu o inovativnoj javnoj nabavi</w:t>
            </w:r>
          </w:p>
        </w:tc>
      </w:tr>
      <w:tr w:rsidR="00095369" w:rsidRPr="009A0978" w14:paraId="32F2DA4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2DD9CF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ADB3C5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7A5DD0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11DE54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Reorganizacija visokih učilišta i znanstvenih instituta</w:t>
            </w:r>
          </w:p>
        </w:tc>
      </w:tr>
      <w:tr w:rsidR="00095369" w:rsidRPr="009A0978" w14:paraId="4CE4BFD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9AC695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65264D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1F30FA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4AB5B9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Bespovratna sredstva dodijeljena u okviru „pilot-programa” za potporu uspostavi reformiranog okvira za istraživanje, razvoj i inovacije.</w:t>
            </w:r>
          </w:p>
        </w:tc>
      </w:tr>
      <w:tr w:rsidR="00095369" w:rsidRPr="009A0978" w14:paraId="72197AB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EA05FB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985BE2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ADDF9E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0C8CAD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Broj korisnika novih mjera aktivne politike zapošljavanja</w:t>
            </w:r>
          </w:p>
        </w:tc>
      </w:tr>
      <w:tr w:rsidR="00095369" w:rsidRPr="009A0978" w14:paraId="0CE780F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864AB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8ED7F8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A428CE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625382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izmjena Zakona o mirovinskom osiguranju</w:t>
            </w:r>
          </w:p>
        </w:tc>
      </w:tr>
      <w:tr w:rsidR="00095369" w:rsidRPr="009A0978" w14:paraId="518B3B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4B4D1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D9182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80CE9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28132E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Pristup jedinica lokalne uprave podacima o socijalnim naknadama za svakog pojedinog korisnika</w:t>
            </w:r>
          </w:p>
        </w:tc>
      </w:tr>
      <w:tr w:rsidR="00095369" w:rsidRPr="009A0978" w14:paraId="6C5302C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579CE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CF9720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898211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F3AC2E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Zapošljavanje stručnjaka za socijalno mentorstvo</w:t>
            </w:r>
          </w:p>
        </w:tc>
      </w:tr>
      <w:tr w:rsidR="00095369" w:rsidRPr="009A0978" w14:paraId="01E6192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79FAD9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3D282F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DF64DA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D0D4A3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Usluge socijalnog mentorstva koje se pružaju korisnicima</w:t>
            </w:r>
          </w:p>
        </w:tc>
      </w:tr>
      <w:tr w:rsidR="00095369" w:rsidRPr="009A0978" w14:paraId="326ED3A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3606F2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594C73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7AA912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5900DD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Zgrada centralnog operacijskog bloka OB-a Varaždin s pratećim sadržajem</w:t>
            </w:r>
          </w:p>
        </w:tc>
      </w:tr>
      <w:tr w:rsidR="00095369" w:rsidRPr="009A0978" w14:paraId="4ACAEF2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BBA26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536F9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0EBCF1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1746EC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Poboljšanje i usklađivanje kvalitete zdravstvene skrbi izradom kliničkih e-smjernica</w:t>
            </w:r>
          </w:p>
        </w:tc>
      </w:tr>
      <w:tr w:rsidR="00095369" w:rsidRPr="009A0978" w14:paraId="79C5B24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45BF1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CC02B2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34506B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A1F31C8"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Poboljšanje kvalitete onkološke radioterapije</w:t>
            </w:r>
          </w:p>
        </w:tc>
      </w:tr>
      <w:tr w:rsidR="00095369" w:rsidRPr="009A0978" w14:paraId="6153CB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0561C5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28A5D3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2713D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33131E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Jedinstvena IT platforma za povezivanje, praćenje i optimalno liječenje onkoloških pacijenata</w:t>
            </w:r>
          </w:p>
        </w:tc>
      </w:tr>
      <w:tr w:rsidR="00095369" w:rsidRPr="009A0978" w14:paraId="69346D6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AB09C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AA3426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4384AB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E96C5F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Sustav jedinične terapije za lijekove u krutom obliku u 40 hrvatskih bolnica</w:t>
            </w:r>
          </w:p>
        </w:tc>
      </w:tr>
      <w:tr w:rsidR="00095369" w:rsidRPr="009A0978" w14:paraId="1F51934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56648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C5C8EC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5DD3C8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369077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Praćenje ishoda liječenja kroničnih nebolničkih bolesnika u javnim ljekarnama</w:t>
            </w:r>
          </w:p>
        </w:tc>
      </w:tr>
      <w:tr w:rsidR="00095369" w:rsidRPr="009A0978" w14:paraId="4512AC6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8B628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50CD0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BD697E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28D62C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Donošenje smjernica za primjenu modela praćenja potrošnje energije u višestambenim zgradama</w:t>
            </w:r>
          </w:p>
        </w:tc>
      </w:tr>
      <w:tr w:rsidR="00095369" w:rsidRPr="009A0978" w14:paraId="5F66F85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6BE166" w14:textId="17497F70" w:rsidR="00095369" w:rsidRPr="00D922B7" w:rsidRDefault="003F6266">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379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DB2EFE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4AB4A4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4CCD2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Poboljšanje sustava obrade i prikupljanja biootpada</w:t>
            </w:r>
          </w:p>
        </w:tc>
      </w:tr>
      <w:tr w:rsidR="00095369" w:rsidRPr="009A0978" w14:paraId="02C7911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5294D3" w14:textId="4174BAEC" w:rsidR="00095369" w:rsidRPr="00D922B7" w:rsidRDefault="003F6266">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242D5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1ECD99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66383E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Oprema za obradu biootpada</w:t>
            </w:r>
          </w:p>
        </w:tc>
      </w:tr>
      <w:tr w:rsidR="00095369" w:rsidRPr="009A0978" w14:paraId="1DD0C8F1" w14:textId="77777777" w:rsidTr="00645061">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D167307" w14:textId="0BB6240C" w:rsidR="00095369" w:rsidRPr="00D922B7" w:rsidRDefault="003F6266">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147B28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C6.1. R2 </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99C85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64A80B92" w14:textId="7F813081"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Pokretanje postupka akreditacije za uspostavu novog interdisciplinarnog smjera na diplomskom studiju </w:t>
            </w:r>
          </w:p>
        </w:tc>
      </w:tr>
      <w:tr w:rsidR="00095369" w:rsidRPr="009A0978" w14:paraId="66CA6D0C" w14:textId="77777777" w:rsidTr="00645061">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BC4B09" w14:textId="64976D81" w:rsidR="00095369" w:rsidRPr="00D922B7" w:rsidRDefault="003F6266">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429</w:t>
            </w:r>
          </w:p>
          <w:p w14:paraId="1397593C" w14:textId="77777777" w:rsidR="00095369" w:rsidRPr="00D922B7" w:rsidRDefault="00095369">
            <w:pPr>
              <w:spacing w:after="0" w:line="240" w:lineRule="auto"/>
              <w:jc w:val="center"/>
              <w:textAlignment w:val="baseline"/>
              <w:rPr>
                <w:rFonts w:ascii="Times New Roman" w:eastAsia="Calibri" w:hAnsi="Times New Roman" w:cs="Times New Roman"/>
                <w:noProof/>
                <w:color w:val="000000"/>
                <w:sz w:val="20"/>
                <w:szCs w:val="20"/>
                <w:lang w:val="en-GB"/>
              </w:rPr>
            </w:pPr>
          </w:p>
        </w:tc>
        <w:tc>
          <w:tcPr>
            <w:tcW w:w="1639" w:type="dxa"/>
            <w:tcBorders>
              <w:top w:val="single" w:sz="6" w:space="0" w:color="auto"/>
              <w:left w:val="nil"/>
              <w:bottom w:val="single" w:sz="6" w:space="0" w:color="auto"/>
              <w:right w:val="single" w:sz="6" w:space="0" w:color="auto"/>
            </w:tcBorders>
            <w:shd w:val="clear" w:color="auto" w:fill="C6EFCE"/>
            <w:vAlign w:val="center"/>
          </w:tcPr>
          <w:p w14:paraId="304718C8" w14:textId="021C49DC" w:rsidR="00095369" w:rsidRPr="00D922B7" w:rsidRDefault="00095369">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C7.2.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28E7D29" w14:textId="77777777" w:rsidR="00095369" w:rsidRPr="00D922B7" w:rsidRDefault="00095369">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1F6452D5" w14:textId="77777777" w:rsidR="00095369" w:rsidRPr="00D922B7" w:rsidRDefault="00095369">
            <w:pPr>
              <w:spacing w:after="0" w:line="240" w:lineRule="auto"/>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 xml:space="preserve">Provedene participativne radionice za razvoj projekata energetske obnove, zelene infrastrukture i zelene gradnje </w:t>
            </w:r>
          </w:p>
        </w:tc>
      </w:tr>
      <w:tr w:rsidR="00095369" w:rsidRPr="009A0978" w14:paraId="503EE86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7EC663FC" w14:textId="372E15FE" w:rsidR="00095369" w:rsidRPr="00D922B7" w:rsidRDefault="003F6266">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430</w:t>
            </w:r>
          </w:p>
        </w:tc>
        <w:tc>
          <w:tcPr>
            <w:tcW w:w="1639" w:type="dxa"/>
            <w:tcBorders>
              <w:top w:val="single" w:sz="6" w:space="0" w:color="auto"/>
              <w:left w:val="nil"/>
              <w:bottom w:val="single" w:sz="6" w:space="0" w:color="auto"/>
              <w:right w:val="single" w:sz="6" w:space="0" w:color="auto"/>
            </w:tcBorders>
            <w:shd w:val="clear" w:color="auto" w:fill="C6EFCE"/>
          </w:tcPr>
          <w:p w14:paraId="1BF6B9B4" w14:textId="3F5DB2DC" w:rsidR="00095369" w:rsidRPr="00D922B7" w:rsidRDefault="00095369">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C7.2. R2</w:t>
            </w:r>
          </w:p>
        </w:tc>
        <w:tc>
          <w:tcPr>
            <w:tcW w:w="1274" w:type="dxa"/>
            <w:tcBorders>
              <w:top w:val="single" w:sz="6" w:space="0" w:color="auto"/>
              <w:left w:val="nil"/>
              <w:bottom w:val="single" w:sz="6" w:space="0" w:color="auto"/>
              <w:right w:val="single" w:sz="6" w:space="0" w:color="auto"/>
            </w:tcBorders>
            <w:shd w:val="clear" w:color="auto" w:fill="C6EFCE"/>
          </w:tcPr>
          <w:p w14:paraId="633EEB4E" w14:textId="77777777" w:rsidR="00095369" w:rsidRPr="00D922B7" w:rsidRDefault="00095369">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7FD60306" w14:textId="77777777" w:rsidR="00095369" w:rsidRPr="00D922B7" w:rsidRDefault="00095369">
            <w:pPr>
              <w:spacing w:after="0" w:line="240" w:lineRule="auto"/>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Donošenje strategija zelene urbane obnove</w:t>
            </w:r>
          </w:p>
        </w:tc>
      </w:tr>
      <w:tr w:rsidR="00095369" w:rsidRPr="009A0978" w14:paraId="5B242A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18668E9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39" w:type="dxa"/>
            <w:tcBorders>
              <w:top w:val="single" w:sz="6" w:space="0" w:color="auto"/>
              <w:left w:val="nil"/>
              <w:bottom w:val="single" w:sz="6" w:space="0" w:color="auto"/>
              <w:right w:val="single" w:sz="6" w:space="0" w:color="auto"/>
            </w:tcBorders>
            <w:shd w:val="clear" w:color="auto" w:fill="C6EFCE"/>
          </w:tcPr>
          <w:p w14:paraId="3177E74E"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p>
        </w:tc>
        <w:tc>
          <w:tcPr>
            <w:tcW w:w="1274" w:type="dxa"/>
            <w:tcBorders>
              <w:top w:val="single" w:sz="6" w:space="0" w:color="auto"/>
              <w:left w:val="nil"/>
              <w:bottom w:val="single" w:sz="6" w:space="0" w:color="auto"/>
              <w:right w:val="single" w:sz="6" w:space="0" w:color="auto"/>
            </w:tcBorders>
            <w:shd w:val="clear" w:color="auto" w:fill="C6EFCE"/>
          </w:tcPr>
          <w:p w14:paraId="5FF16FA1"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545A97" w14:textId="7363CAE0"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450 000 000 EUR</w:t>
            </w:r>
          </w:p>
        </w:tc>
      </w:tr>
    </w:tbl>
    <w:p w14:paraId="15777E7A" w14:textId="77777777" w:rsidR="00095369" w:rsidRPr="009A0978" w:rsidRDefault="00095369" w:rsidP="00095369">
      <w:pPr>
        <w:spacing w:after="0" w:line="240" w:lineRule="auto"/>
        <w:jc w:val="both"/>
        <w:textAlignment w:val="baseline"/>
        <w:rPr>
          <w:rFonts w:ascii="Times New Roman" w:eastAsia="Times New Roman" w:hAnsi="Times New Roman" w:cs="Times New Roman"/>
          <w:noProof/>
          <w:sz w:val="24"/>
          <w:szCs w:val="24"/>
          <w:lang w:val="en-IE" w:eastAsia="en-IE"/>
        </w:rPr>
      </w:pPr>
    </w:p>
    <w:p w14:paraId="243BD222" w14:textId="77777777" w:rsidR="00095369" w:rsidRDefault="00095369" w:rsidP="00095369">
      <w:pPr>
        <w:pStyle w:val="ListParagraph"/>
        <w:numPr>
          <w:ilvl w:val="0"/>
          <w:numId w:val="49"/>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Deseti obrok (bespovratna potpora):</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39"/>
        <w:gridCol w:w="1274"/>
        <w:gridCol w:w="5347"/>
      </w:tblGrid>
      <w:tr w:rsidR="00095369" w:rsidRPr="0059000D" w14:paraId="76BD2877" w14:textId="77777777" w:rsidTr="00074A21">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25F9249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1FD7E35"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4DFB0C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248E00B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3C408720"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1C656D7"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0FE4874"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62E5584"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6A939ED0"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3EADBAD2"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128CB03E"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17</w:t>
            </w:r>
          </w:p>
        </w:tc>
        <w:tc>
          <w:tcPr>
            <w:tcW w:w="1639" w:type="dxa"/>
            <w:tcBorders>
              <w:top w:val="nil"/>
              <w:left w:val="nil"/>
              <w:bottom w:val="single" w:sz="6" w:space="0" w:color="auto"/>
              <w:right w:val="single" w:sz="6" w:space="0" w:color="auto"/>
            </w:tcBorders>
            <w:shd w:val="clear" w:color="auto" w:fill="C6EFCE"/>
            <w:vAlign w:val="center"/>
            <w:hideMark/>
          </w:tcPr>
          <w:p w14:paraId="3A51F74A"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R4-I2</w:t>
            </w:r>
          </w:p>
        </w:tc>
        <w:tc>
          <w:tcPr>
            <w:tcW w:w="1274" w:type="dxa"/>
            <w:tcBorders>
              <w:top w:val="nil"/>
              <w:left w:val="nil"/>
              <w:bottom w:val="single" w:sz="6" w:space="0" w:color="auto"/>
              <w:right w:val="single" w:sz="6" w:space="0" w:color="auto"/>
            </w:tcBorders>
            <w:shd w:val="clear" w:color="auto" w:fill="C6EFCE"/>
            <w:vAlign w:val="center"/>
            <w:hideMark/>
          </w:tcPr>
          <w:p w14:paraId="7588B7A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nil"/>
              <w:left w:val="nil"/>
              <w:bottom w:val="single" w:sz="6" w:space="0" w:color="auto"/>
              <w:right w:val="single" w:sz="6" w:space="0" w:color="auto"/>
            </w:tcBorders>
            <w:shd w:val="clear" w:color="auto" w:fill="C6EFCE"/>
            <w:vAlign w:val="center"/>
            <w:hideMark/>
          </w:tcPr>
          <w:p w14:paraId="18F9B552"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Krediti/subvencije kamatnih stopa mikro, malim i srednjim poduzećima</w:t>
            </w:r>
          </w:p>
        </w:tc>
      </w:tr>
      <w:tr w:rsidR="00095369" w:rsidRPr="0059000D" w14:paraId="0FC7044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29E4CE53"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9CC1D4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C1.1.1. R4-I2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68CA99A"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D534D3D"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color w:val="000000"/>
                <w:sz w:val="20"/>
              </w:rPr>
              <w:t>Krediti/subvencije kamatnih stopa mikro, malim i srednjim poduzećima</w:t>
            </w:r>
          </w:p>
        </w:tc>
      </w:tr>
      <w:tr w:rsidR="00095369" w:rsidRPr="0059000D" w14:paraId="06A6E2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FB55C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516B2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R4-I3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2CB82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459DE0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Broj odobrenih projekata u poduzećima srednje tržišne kapitalizacije i velikim poduzećima</w:t>
            </w:r>
          </w:p>
        </w:tc>
      </w:tr>
      <w:tr w:rsidR="00095369" w:rsidRPr="0059000D" w14:paraId="743423F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B4A029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51FFC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R4-I4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1CEFDA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CE54FD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Odobreni krediti za projekte javnog sektora</w:t>
            </w:r>
          </w:p>
        </w:tc>
      </w:tr>
      <w:tr w:rsidR="00095369" w:rsidRPr="0059000D" w14:paraId="0DE8FE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55DF6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C675BE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R5-I1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43CF0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0E4359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Ulaganje u instrumente vlasničkog i kvazivlasničkog financiranja</w:t>
            </w:r>
          </w:p>
        </w:tc>
      </w:tr>
      <w:tr w:rsidR="00095369" w:rsidRPr="0059000D" w14:paraId="46F642C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E6B1AA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DE93AA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R6-I1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77BD9E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64615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Ulaganja u transformaciju i jačanje konkurentnosti kulturnih i kreativnih industrija</w:t>
            </w:r>
          </w:p>
        </w:tc>
      </w:tr>
      <w:tr w:rsidR="00095369" w:rsidRPr="0059000D" w14:paraId="6C220B2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6DC5A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43A7C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C1.1.1. R6-I2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89361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EEE042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sustava za provjeru činjenica</w:t>
            </w:r>
          </w:p>
        </w:tc>
      </w:tr>
      <w:tr w:rsidR="00095369" w:rsidRPr="0059000D" w14:paraId="1383766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113DAB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1B9C99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C1.1.2. R2-I4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F77611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1D5D61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Podupiranje rasta novoosnovanih poduzeća uspostavom akceleracijskog programa.</w:t>
            </w:r>
          </w:p>
        </w:tc>
      </w:tr>
      <w:tr w:rsidR="00095369" w:rsidRPr="0059000D" w14:paraId="29F68DC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61B71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0B9C24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C1.1.2.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15DE35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9E8905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Bespovratna potpora u obliku vaučera </w:t>
            </w:r>
          </w:p>
        </w:tc>
      </w:tr>
      <w:tr w:rsidR="00095369" w:rsidRPr="0059000D" w14:paraId="6D92E8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2AB121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7E2F3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C1.1.2.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8A5217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200A3A7"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Bespovratna potpora za digitalnu transformaciju hrvatskih MSP-ova </w:t>
            </w:r>
          </w:p>
        </w:tc>
      </w:tr>
      <w:tr w:rsidR="00095369" w:rsidRPr="0059000D" w14:paraId="3DE9136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F238D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27C237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F697A6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C888F2B"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Dovršena nadogradnja visokonaponske mreže (220/110 kV)</w:t>
            </w:r>
          </w:p>
        </w:tc>
      </w:tr>
      <w:tr w:rsidR="00E03A5E" w:rsidRPr="0059000D" w14:paraId="4D62FC0C" w14:textId="77777777" w:rsidTr="009926D5">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8A81D32" w14:textId="43B3C13F"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52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474C4AE" w14:textId="620978A8"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EAA25EB" w14:textId="2066BF04"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607D98FD" w14:textId="20BACB34" w:rsidR="00E03A5E" w:rsidRPr="00D922B7" w:rsidRDefault="00E03A5E" w:rsidP="00E03A5E">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Objavljen javni natječaj za dodatni kapacitet vodika </w:t>
            </w:r>
          </w:p>
        </w:tc>
      </w:tr>
      <w:tr w:rsidR="00E03A5E" w:rsidRPr="0059000D" w14:paraId="30F91162" w14:textId="77777777" w:rsidTr="009926D5">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96C45E7" w14:textId="3912600F"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53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9C29E2F" w14:textId="10FBF4F2"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A3B6729" w14:textId="2CF0A50F"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13F173ED" w14:textId="26F8EC52" w:rsidR="00E03A5E" w:rsidRPr="00D922B7" w:rsidRDefault="00E03A5E" w:rsidP="00E03A5E">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Izgrađeno najmanje šest punionica vodika za automobile, autobuse i teška vozila</w:t>
            </w:r>
          </w:p>
        </w:tc>
      </w:tr>
      <w:tr w:rsidR="00E03A5E" w:rsidRPr="0059000D" w14:paraId="6601309C" w14:textId="77777777" w:rsidTr="009926D5">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1C9E9D" w14:textId="368EBE49"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54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AFDC7DA" w14:textId="1D26CEB6"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E8AF5E" w14:textId="74D4EDF0"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2D9C7354" w14:textId="27B8F784" w:rsidR="00E03A5E" w:rsidRPr="00D922B7" w:rsidRDefault="00E03A5E" w:rsidP="00E03A5E">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Studije o geološkom skladištenju ugljika</w:t>
            </w:r>
          </w:p>
        </w:tc>
      </w:tr>
      <w:tr w:rsidR="00095369" w:rsidRPr="0059000D" w14:paraId="44AD290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19930E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CF5DE6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F617F5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5E09DD"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Smanjenje gubitaka u javnim vodoopskrbnim sustavima </w:t>
            </w:r>
          </w:p>
        </w:tc>
      </w:tr>
      <w:tr w:rsidR="00095369" w:rsidRPr="0059000D" w14:paraId="0B5300C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20C68F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67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23504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2CC76E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8F99EEF"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Broj stanovnika koji imaju koristi od poboljšanog pristupa unaprijeđenom sustavu pročišćavanja otpadnih voda</w:t>
            </w:r>
          </w:p>
        </w:tc>
      </w:tr>
      <w:tr w:rsidR="00095369" w:rsidRPr="0059000D" w14:paraId="625BD2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51B6D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73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E0738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CBCF3E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7E6F543"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Stanovništvo s poboljšanim pristupom vodoopskrbi</w:t>
            </w:r>
          </w:p>
        </w:tc>
      </w:tr>
      <w:tr w:rsidR="00095369" w:rsidRPr="0059000D" w14:paraId="059D761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79F87F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30378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ACFB27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CFECA22"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Stanovništvo obuhvaćeno poboljšanim mjerama zaštite od poplava</w:t>
            </w:r>
          </w:p>
        </w:tc>
      </w:tr>
      <w:tr w:rsidR="00095369" w:rsidRPr="0059000D" w14:paraId="1F53DB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C6F3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90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F68AAC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D6D2E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08E54B0"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Sanacija zatvorenih odlagališta</w:t>
            </w:r>
          </w:p>
        </w:tc>
      </w:tr>
      <w:tr w:rsidR="00095369" w:rsidRPr="0059000D" w14:paraId="42DFF45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F1699D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95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11825B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6AE2D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D8C853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Uspostava funkcionalnog nacionalnog sustava elektroničke pohrane i razmjene podataka u cestovnom prijevozu (NSCP)</w:t>
            </w:r>
          </w:p>
        </w:tc>
      </w:tr>
      <w:tr w:rsidR="00095369" w:rsidRPr="0059000D" w14:paraId="0651B2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AD613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A77F40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DA1B2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850296B"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Radi smanjenja buke zamijenjeni su kočni umetci na 2 000 teretnih vagona</w:t>
            </w:r>
          </w:p>
        </w:tc>
      </w:tr>
      <w:tr w:rsidR="00095369" w:rsidRPr="0059000D" w14:paraId="78C9CCE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73CC74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108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1B5139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R2-I7</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ABDF8F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505563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Nadogradnja i operativnost sustava prodaje karata u vlaku</w:t>
            </w:r>
          </w:p>
        </w:tc>
      </w:tr>
      <w:tr w:rsidR="00095369" w:rsidRPr="0059000D" w14:paraId="05D584B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C5BD7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D023D1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9EEAAD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41CF451"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Brodovi na alternativni (električno-solarni) pogon </w:t>
            </w:r>
          </w:p>
        </w:tc>
      </w:tr>
      <w:tr w:rsidR="00095369" w:rsidRPr="0059000D" w14:paraId="46969D9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B5150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8FC6E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R3-I4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BCF24A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4BECBA1"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Tri komunalna veza izgrađena za prihvat brodskog otpada</w:t>
            </w:r>
          </w:p>
        </w:tc>
      </w:tr>
      <w:tr w:rsidR="00095369" w:rsidRPr="0059000D" w14:paraId="0E4A846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290D0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116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0E6084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3D88F3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FB21C0"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Nabavljeno i pušteno u uporabu 70 autobusa na alternativni pogon (električna energija i vodik)</w:t>
            </w:r>
          </w:p>
        </w:tc>
      </w:tr>
      <w:tr w:rsidR="00095369" w:rsidRPr="0059000D" w14:paraId="5009660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C5A84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8D65FB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324110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9AF2AC9"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Osobama s invaliditetom izdano 50 000 besplatnih vaučera za putovanja potpuno autonomnim vozilima koji će vrijediti najmanje pet godina nakon izdavanja </w:t>
            </w:r>
          </w:p>
        </w:tc>
      </w:tr>
      <w:tr w:rsidR="00095369" w:rsidRPr="0059000D" w14:paraId="076064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9B912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21D508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C1.4. R5-I3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A6209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3CC50E"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Sufinancirana nabava 2 000 cestovnih vozila na alternativni pogon (električna energija ili vodik)</w:t>
            </w:r>
          </w:p>
        </w:tc>
      </w:tr>
      <w:tr w:rsidR="00E03A5E" w:rsidRPr="0059000D" w14:paraId="75E9B201" w14:textId="77777777" w:rsidTr="00E03A5E">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B8EE16" w14:textId="52AB4584"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492855B" w14:textId="0F96BFD5"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412B2D8" w14:textId="254A10EB" w:rsidR="00E03A5E" w:rsidRPr="00D922B7" w:rsidRDefault="00E03A5E" w:rsidP="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0C6410EB" w14:textId="2577C63D" w:rsidR="00E03A5E" w:rsidRPr="00D922B7" w:rsidRDefault="00E03A5E" w:rsidP="00E03A5E">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Sufinancirana izgradnja 1 300 brzih električnih punionica</w:t>
            </w:r>
          </w:p>
        </w:tc>
      </w:tr>
      <w:tr w:rsidR="00095369" w:rsidRPr="0059000D" w14:paraId="014F531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EF239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C35B95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13214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CEFA9B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Najmanje tri logističko-distributivna centra (LDC) izgrađena su i u funkciji</w:t>
            </w:r>
          </w:p>
        </w:tc>
      </w:tr>
      <w:tr w:rsidR="00095369" w:rsidRPr="0059000D" w14:paraId="3B353CB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3338E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129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1ABB7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79625A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62F9A0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Osposobljavanje za organizacije proizvođača</w:t>
            </w:r>
          </w:p>
        </w:tc>
      </w:tr>
      <w:tr w:rsidR="00095369" w:rsidRPr="0059000D" w14:paraId="1FAF136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66EC1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7CA76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2F850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0EDFD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Sustav označivanja voća i povrća</w:t>
            </w:r>
          </w:p>
        </w:tc>
      </w:tr>
      <w:tr w:rsidR="00095369" w:rsidRPr="0059000D" w14:paraId="23F29F5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88226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132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39C5D9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C1.5.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0BEA4E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CC9C76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Konsolidirano 18 000 ha poljoprivrednog zemljišta</w:t>
            </w:r>
          </w:p>
        </w:tc>
      </w:tr>
      <w:tr w:rsidR="00095369" w:rsidRPr="0059000D" w14:paraId="0BC450F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D6C06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2A0821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AC8A0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038BD5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Dovršetak provedbe prihvatljivih projekata ulaganja ili preraspodjela neiskorištenih sredstava za izgradnju i prilagodbu javne turističke infrastrukture prema kriterijima prihvatljivosti</w:t>
            </w:r>
          </w:p>
        </w:tc>
      </w:tr>
      <w:tr w:rsidR="00095369" w:rsidRPr="0059000D" w14:paraId="66A8751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56280C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147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EF3077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C1.6.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C73454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D35090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Dovršetak provedbe prihvatljivih projekata ulaganja ili preraspodjela neiskorištenih sredstava za jačanje održivosti i poticanje zelene i digitalne tranzicije poduzeća u turizmu</w:t>
            </w:r>
          </w:p>
        </w:tc>
      </w:tr>
      <w:tr w:rsidR="00095369" w:rsidRPr="0059000D" w14:paraId="0E9542A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A1A10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AAFB3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074EC0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08FFAC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Stvaranje 60 javno dostupnih konzervatorskih podloga za najsloženije kulturno-povijesne cjeline velike spomeničke vrijednosti</w:t>
            </w:r>
          </w:p>
        </w:tc>
      </w:tr>
      <w:tr w:rsidR="00095369" w:rsidRPr="0059000D" w14:paraId="16593A3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2B7CC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173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25FA6C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C2.2.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A8E061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58DA75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600 stvaratelja gradiva koristi arhivski informacijski sustav</w:t>
            </w:r>
          </w:p>
        </w:tc>
      </w:tr>
      <w:tr w:rsidR="00095369" w:rsidRPr="0059000D" w14:paraId="23A533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1B8E7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434A14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1BEFF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4D2BCE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broja korisnika u CDU-u</w:t>
            </w:r>
          </w:p>
        </w:tc>
      </w:tr>
      <w:tr w:rsidR="00095369" w:rsidRPr="0059000D" w14:paraId="2B58151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B94AF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67DC0E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R3-I10</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15D637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6BCFD8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Dovršetak digitalizacije HZZ-a</w:t>
            </w:r>
          </w:p>
        </w:tc>
      </w:tr>
      <w:tr w:rsidR="00095369" w:rsidRPr="0059000D" w14:paraId="7F9E0E7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2CF6E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08F1E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F36149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8C1030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Nadogradnja IT sustava HZMO-a</w:t>
            </w:r>
          </w:p>
        </w:tc>
      </w:tr>
      <w:tr w:rsidR="00095369" w:rsidRPr="0059000D" w14:paraId="134221B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9DCCC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C6280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1FAEC9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2521D7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Broj stranica u novom digitalnom arhivu</w:t>
            </w:r>
          </w:p>
        </w:tc>
      </w:tr>
      <w:tr w:rsidR="00095369" w:rsidRPr="0059000D" w14:paraId="7FEF65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B1388F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77A941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4903C4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C6453CC"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informacijski sustav Porezne uprave</w:t>
            </w:r>
          </w:p>
        </w:tc>
      </w:tr>
      <w:tr w:rsidR="00095369" w:rsidRPr="0059000D" w14:paraId="11C21E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22D3C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198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92452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7D584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0B097F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Postotak postupaka utvrđivanja i naplate poreza koji se provode digitalno u novom sustavu</w:t>
            </w:r>
          </w:p>
        </w:tc>
      </w:tr>
      <w:tr w:rsidR="00095369" w:rsidRPr="0059000D" w14:paraId="080ACDF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F10F4F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893A02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273111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362956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alati u turističkom informacijskom sustavu</w:t>
            </w:r>
          </w:p>
        </w:tc>
      </w:tr>
      <w:tr w:rsidR="00095369" w:rsidRPr="0059000D" w14:paraId="5B92A8B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18D2B8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FCB412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R3-I16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38FDCC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1155CB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Novi aplikativni moduli informacijskog sustava u sportu</w:t>
            </w:r>
          </w:p>
        </w:tc>
      </w:tr>
      <w:tr w:rsidR="00095369" w:rsidRPr="0059000D" w14:paraId="385AA64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5FD61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BA5072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50F172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EF7829D" w14:textId="2B7C52EA"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Širokopojasni pristup za kućanstva na područjima na kojima nema širokopojasne mreže sljedeće generacije </w:t>
            </w:r>
          </w:p>
        </w:tc>
      </w:tr>
      <w:tr w:rsidR="00095369" w:rsidRPr="0059000D" w14:paraId="33F190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8A9416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03E662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C2.3.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4E0E0C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1CBFA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Stanovništvo koje ima pristup mrežama 5G</w:t>
            </w:r>
          </w:p>
        </w:tc>
      </w:tr>
      <w:tr w:rsidR="00095369" w:rsidRPr="0059000D" w14:paraId="564C49A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5343F9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209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078AE1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C2.4.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0BB9C9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8725C4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Plan osposobljavanja za resorna ministarstva i središnje koordinacijske jedinice u aktivnostima korporativnog upravljanja</w:t>
            </w:r>
          </w:p>
        </w:tc>
      </w:tr>
      <w:tr w:rsidR="00095369" w:rsidRPr="0059000D" w14:paraId="5DADE5C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7B21E0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736B94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C2.4.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96E9E4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3B9E5B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Dovršetak prodaje 90 državnih poduzeća koja nisu od posebnog interesa za Republiku Hrvatsku i kojima upravlja CERP</w:t>
            </w:r>
          </w:p>
        </w:tc>
      </w:tr>
      <w:tr w:rsidR="00095369" w:rsidRPr="0059000D" w14:paraId="59C3818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356119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7EE7E9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C2.4.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37B368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8E6CFE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Dovršetak prodaje 20 poduzeća u državnom vlasništvu u portfelju CERP-a koja trenutačno nisu dostupna za prodaju.</w:t>
            </w:r>
          </w:p>
        </w:tc>
      </w:tr>
      <w:tr w:rsidR="00095369" w:rsidRPr="0059000D" w14:paraId="46AF8C8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C4BF38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8C953D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C2.4.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EA2068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8E0E49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komercijalizacije, racionalizacije i aktivacije imovine u državnom vlasništvu</w:t>
            </w:r>
          </w:p>
        </w:tc>
      </w:tr>
      <w:tr w:rsidR="00095369" w:rsidRPr="0059000D" w14:paraId="2C023F4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7AF6FB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05E64D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04ED13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BCE74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Skraćivanje trajanja parničnih i trgovačkih predmeta</w:t>
            </w:r>
          </w:p>
        </w:tc>
      </w:tr>
      <w:tr w:rsidR="00095369" w:rsidRPr="0059000D" w14:paraId="009C65B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434E0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A145ED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A866BD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1E3F0D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Smanjenje ukupnog broja svih neriješenih predmeta</w:t>
            </w:r>
          </w:p>
        </w:tc>
      </w:tr>
      <w:tr w:rsidR="00095369" w:rsidRPr="0059000D" w14:paraId="18B67E0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F6FAF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007B02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1FC966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22B63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Smanjenje udjela predmeta starijih od 3 godine u ukupnom broju neriješenih predmeta</w:t>
            </w:r>
          </w:p>
        </w:tc>
      </w:tr>
      <w:tr w:rsidR="00095369" w:rsidRPr="0059000D" w14:paraId="5FE400E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C0CEB8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6B40A2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F68D4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495BF9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Dovršeno je 60 % zemljišnoknjižnih i katastarskih podataka, uz krajnji cilj dovršetka do 100 %.</w:t>
            </w:r>
          </w:p>
        </w:tc>
      </w:tr>
      <w:tr w:rsidR="00095369" w:rsidRPr="0059000D" w14:paraId="46D9C0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903CA8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17E703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C2.5. R1-I4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AA4DF6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21A527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Ishođena uporabna dozvola za novoizgrađenu zgradu na Trgu pravde u Zagrebu kao preduvjet za preseljenje trgovačkog i upravnog suda, Centra za mirenje i Pravosudne akademije</w:t>
            </w:r>
          </w:p>
        </w:tc>
      </w:tr>
      <w:tr w:rsidR="00095369" w:rsidRPr="0059000D" w14:paraId="4902C5F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7173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238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2D2DBD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E49BE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E23A87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Skraćivanje prosječnog trajanja sudskih postupaka za kaznena djela korupcije i organiziranog kriminaliteta</w:t>
            </w:r>
          </w:p>
        </w:tc>
      </w:tr>
      <w:tr w:rsidR="00095369" w:rsidRPr="0059000D" w14:paraId="3B0AAB0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72057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245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348E43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C2.6.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69374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7B6CD4"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Procjena učinaka provedbe Antikorupcijskog programa za poduzeća u većinskom vlasništvu jedinica lokalne i regionalne uprave za razdoblje 2021.–2022.</w:t>
            </w:r>
          </w:p>
        </w:tc>
      </w:tr>
      <w:tr w:rsidR="00095369" w:rsidRPr="0059000D" w14:paraId="6C26672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50E7B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D72B9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6AFB88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E465B38"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Skraćivanje prosječnog roka rješavanja žalbenih predmeta i donošenja odluka na 28 dana od dana zaprimanja žalbe</w:t>
            </w:r>
          </w:p>
        </w:tc>
      </w:tr>
      <w:tr w:rsidR="00095369" w:rsidRPr="0059000D" w14:paraId="359CA87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851490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16B21A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C2.9.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5F6DF8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EA3268"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Skraćivanje prosječnog roka na 14 dana od dana kompletiranja dokumentacije žalbenog predmeta</w:t>
            </w:r>
          </w:p>
        </w:tc>
      </w:tr>
      <w:tr w:rsidR="00095369" w:rsidRPr="0059000D" w14:paraId="0A0FB14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5F8A2C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269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8A285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53AE00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EB17CDB"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Sudjelovanje u RPOO-u</w:t>
            </w:r>
          </w:p>
        </w:tc>
      </w:tr>
      <w:tr w:rsidR="00095369" w:rsidRPr="0059000D" w14:paraId="152A381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0FE05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1DEEE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263CFF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2E16B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Broj izgrađenih mjesta u RPOO-u</w:t>
            </w:r>
          </w:p>
        </w:tc>
      </w:tr>
      <w:tr w:rsidR="00095369" w:rsidRPr="0059000D" w14:paraId="2848D32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B7448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4CD4F1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35F902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429F28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Postotak učenika koji pohađaju jednosmjenske osnovne škole</w:t>
            </w:r>
          </w:p>
        </w:tc>
      </w:tr>
      <w:tr w:rsidR="00095369" w:rsidRPr="0059000D" w14:paraId="62D17A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D9FB1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181FBA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2A09AF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6652F39"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Upis u programe općeg srednjoškolskog obrazovanja</w:t>
            </w:r>
          </w:p>
        </w:tc>
      </w:tr>
      <w:tr w:rsidR="00095369" w:rsidRPr="0059000D" w14:paraId="01CEA2F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54227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274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BBBE788"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AE293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E710B62"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Udio javnih visokih učilišta opremljen digitalnom infrastrukturom</w:t>
            </w:r>
          </w:p>
        </w:tc>
      </w:tr>
      <w:tr w:rsidR="00095369" w:rsidRPr="0059000D" w14:paraId="6093731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F4ED1F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283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DD9003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C3.2.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8E9291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3DA80F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Infrastrukturni projekti za primijenjeno i ciljano istraživanje</w:t>
            </w:r>
          </w:p>
        </w:tc>
      </w:tr>
      <w:tr w:rsidR="00095369" w:rsidRPr="0059000D" w14:paraId="7467DA9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B39CB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C8EE98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A18E8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DE48FA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Upotreba vaučera za obrazovanje</w:t>
            </w:r>
          </w:p>
        </w:tc>
      </w:tr>
      <w:tr w:rsidR="00095369" w:rsidRPr="0059000D" w14:paraId="13AB0F6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F3B07C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296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6A5A36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B79640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B00402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Smanjenje udjela ugovora na određeno vrijeme na 17 %</w:t>
            </w:r>
          </w:p>
        </w:tc>
      </w:tr>
      <w:tr w:rsidR="00095369" w:rsidRPr="0059000D" w14:paraId="184FF77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7AFBC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D1A93F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FABD9FB"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ED624D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Povećanje najniže mirovine za 3 %</w:t>
            </w:r>
          </w:p>
        </w:tc>
      </w:tr>
      <w:tr w:rsidR="00095369" w:rsidRPr="0059000D" w14:paraId="203EC40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ED656C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FCB8DA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F06CB9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2BE0E7E"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Korisnici zajamčene minimalne naknade i nacionalne naknade za starije osobe</w:t>
            </w:r>
          </w:p>
        </w:tc>
      </w:tr>
      <w:tr w:rsidR="00095369" w:rsidRPr="0059000D" w14:paraId="7EDC014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F3FD1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306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422BF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9C46F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45B551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Smanjenje stope rizika od siromaštva </w:t>
            </w:r>
          </w:p>
        </w:tc>
      </w:tr>
      <w:tr w:rsidR="00095369" w:rsidRPr="0059000D" w14:paraId="30495D1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92A349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317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318F3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C4.3. R3-I4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F4F96C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B57544A"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Izgradnja centara za institucionalnu skrb, kućnu njegu i skrb u zajednici za starije osobe</w:t>
            </w:r>
          </w:p>
        </w:tc>
      </w:tr>
      <w:tr w:rsidR="00095369" w:rsidRPr="0059000D" w14:paraId="3C016CB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986379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328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D107B9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R1-I9</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C615B5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DFA0793"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Projekt razvoja KBC-a Zagreb</w:t>
            </w:r>
          </w:p>
        </w:tc>
      </w:tr>
      <w:tr w:rsidR="00095369" w:rsidRPr="0059000D" w14:paraId="78B443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DB3976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DC4CAE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1A8AA0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E8FAB8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Optimizacija vremena za radiološko liječenje (liste čekanja)</w:t>
            </w:r>
          </w:p>
        </w:tc>
      </w:tr>
      <w:tr w:rsidR="00095369" w:rsidRPr="0059000D" w14:paraId="5847F08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69B7B3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D33E1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4026A1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BAC33B1"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Specijalističko medicinsko osposobljavanje na primarnoj razini zdravstvene zaštite</w:t>
            </w:r>
          </w:p>
        </w:tc>
      </w:tr>
      <w:tr w:rsidR="00095369" w:rsidRPr="0059000D" w14:paraId="7E120CA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AE2719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335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C2C507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B1808A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410A83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Specijalističko usavršavanje prvostupnika sestrinstva u djelatnosti hitne medicine</w:t>
            </w:r>
          </w:p>
        </w:tc>
      </w:tr>
      <w:tr w:rsidR="00095369" w:rsidRPr="0059000D" w14:paraId="76935AC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57BAE12"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341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4D1AEE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C5.1. R4-I3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B2F768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6E33C7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Praćenje lijeka u bolničkom sustavu od ljekarne do bolesnika</w:t>
            </w:r>
          </w:p>
        </w:tc>
      </w:tr>
      <w:tr w:rsidR="00095369" w:rsidRPr="0059000D" w14:paraId="49A3C83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E0E4AF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354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55E313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9928B6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5FBD84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Energetska obnova višestambenih javnih zgrada</w:t>
            </w:r>
          </w:p>
        </w:tc>
      </w:tr>
      <w:tr w:rsidR="00095369" w:rsidRPr="0059000D" w14:paraId="068FC73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B4401C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355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05F4E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E92380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7C889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Energetska obnova javnih zgrada</w:t>
            </w:r>
          </w:p>
        </w:tc>
      </w:tr>
      <w:tr w:rsidR="00095369" w:rsidRPr="0059000D" w14:paraId="3FD0B8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DB619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358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F3B2C4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1D8A0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4446B2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Energetska obnova zgrada sa statusom kulturnog dobra</w:t>
            </w:r>
          </w:p>
        </w:tc>
      </w:tr>
      <w:tr w:rsidR="00095369" w:rsidRPr="0059000D" w14:paraId="203BB5C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546AD3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360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6FAC1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2A908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1F85E05"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Završen program osposobljavanja i obrazovanja odraslih za obnovu nakon potresa i energetsku obnovu</w:t>
            </w:r>
          </w:p>
        </w:tc>
      </w:tr>
      <w:tr w:rsidR="00095369" w:rsidRPr="0059000D" w14:paraId="2CE143E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B8F2C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46763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31DF1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495226"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Dovršena izobrazba zaposlenika za pružanje usluga jedinstvenog kontaktnog centra za energetsku učinkovitost i obnovu nakon potresa</w:t>
            </w:r>
          </w:p>
        </w:tc>
      </w:tr>
      <w:tr w:rsidR="00095369" w:rsidRPr="0059000D" w14:paraId="795A59C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8F62B4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367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6E6945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6D58FC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9F93B07"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Zapošljavanje i osposobljavanje stručnjaka u Seizmološkoj službi</w:t>
            </w:r>
          </w:p>
        </w:tc>
      </w:tr>
      <w:tr w:rsidR="00095369" w:rsidRPr="0059000D" w14:paraId="2A2AB46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33FAA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23587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04D25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E067E5F"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Provedba pilot-projekta utvrđenog u strategiji zelene urbane obnove i povezanog s nacionalnim programima o zelenoj infrastrukturi i kružnom gospodarenju prostorom i zgradama</w:t>
            </w:r>
          </w:p>
        </w:tc>
      </w:tr>
      <w:tr w:rsidR="00095369" w:rsidRPr="0059000D" w14:paraId="3601057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358364D" w14:textId="786A8A09"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381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A28021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BE5D9B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BDE30C0"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 xml:space="preserve">Izgradnja postaja za prijevoz otpada  </w:t>
            </w:r>
          </w:p>
        </w:tc>
      </w:tr>
      <w:tr w:rsidR="00095369" w:rsidRPr="0059000D" w14:paraId="6581DF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3BD6FC" w14:textId="0C9E096D"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396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2B36E31"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C3.1.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897362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C06373D" w14:textId="77777777" w:rsidR="00095369" w:rsidRPr="00D922B7" w:rsidRDefault="00095369">
            <w:pPr>
              <w:spacing w:after="0" w:line="240" w:lineRule="auto"/>
              <w:textAlignment w:val="baseline"/>
              <w:rPr>
                <w:rFonts w:ascii="Times New Roman" w:hAnsi="Times New Roman" w:cs="Times New Roman"/>
                <w:noProof/>
                <w:color w:val="000000"/>
                <w:sz w:val="20"/>
                <w:szCs w:val="20"/>
              </w:rPr>
            </w:pPr>
            <w:r>
              <w:rPr>
                <w:rFonts w:ascii="Times New Roman" w:hAnsi="Times New Roman"/>
                <w:noProof/>
                <w:color w:val="000000"/>
                <w:sz w:val="20"/>
              </w:rPr>
              <w:t>Broj obnovljenih ili izgrađenih srednjoškolskih učionica</w:t>
            </w:r>
          </w:p>
        </w:tc>
      </w:tr>
      <w:tr w:rsidR="00095369" w:rsidRPr="0059000D" w14:paraId="2406E445"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2605308" w14:textId="689099CB"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401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FFA30E" w14:textId="16860815" w:rsidR="00095369" w:rsidRPr="00D922B7" w:rsidRDefault="00095369" w:rsidP="00E03A5E">
            <w:pPr>
              <w:spacing w:after="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 xml:space="preserve">C6.1. R2 </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91F082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47" w:type="dxa"/>
            <w:tcBorders>
              <w:top w:val="single" w:sz="6" w:space="0" w:color="auto"/>
              <w:left w:val="nil"/>
              <w:bottom w:val="single" w:sz="6" w:space="0" w:color="auto"/>
              <w:right w:val="single" w:sz="6" w:space="0" w:color="auto"/>
            </w:tcBorders>
            <w:shd w:val="clear" w:color="auto" w:fill="C6EFCE"/>
          </w:tcPr>
          <w:p w14:paraId="0687D519" w14:textId="29BA2D13" w:rsidR="00095369" w:rsidRPr="00D922B7" w:rsidRDefault="00095369" w:rsidP="00E03A5E">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Otvoreni upisi na novi smjer na diplomskom studiju</w:t>
            </w:r>
          </w:p>
        </w:tc>
      </w:tr>
      <w:tr w:rsidR="00095369" w:rsidRPr="0059000D" w14:paraId="6B11C729"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E464E9" w14:textId="35562F4C"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409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D001316" w14:textId="401CB56D" w:rsidR="00095369" w:rsidRPr="00D922B7" w:rsidRDefault="00095369">
            <w:pPr>
              <w:spacing w:after="20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C7.1.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6E9280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39B18A42" w14:textId="77777777" w:rsidR="00095369" w:rsidRPr="00D922B7" w:rsidRDefault="00095369" w:rsidP="00E03A5E">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Sufinanciranje projekata vodika iz obnovljivih izvora u kontekstu projekta Dolina vodika Sjeverni Jadran</w:t>
            </w:r>
          </w:p>
        </w:tc>
      </w:tr>
      <w:tr w:rsidR="00095369" w:rsidRPr="0059000D" w14:paraId="4633F98D"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127126" w14:textId="02CD8B03"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28B7F04" w14:textId="00146248" w:rsidR="00095369" w:rsidRPr="00D922B7" w:rsidRDefault="00095369" w:rsidP="00F87E30">
            <w:pPr>
              <w:spacing w:after="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C7.1.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C94AFD7"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1F2AC0D2" w14:textId="77777777" w:rsidR="00095369" w:rsidRPr="00D922B7" w:rsidRDefault="00095369" w:rsidP="00F87E30">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Adaptacija pet dizelskih lokomotiva za pogon na vodik</w:t>
            </w:r>
          </w:p>
        </w:tc>
      </w:tr>
      <w:tr w:rsidR="00095369" w:rsidRPr="0059000D" w14:paraId="0949403F"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2F97814" w14:textId="4CACF945"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78079A5" w14:textId="2FE4DECF" w:rsidR="00095369" w:rsidRPr="00D922B7" w:rsidRDefault="00095369" w:rsidP="00F87E30">
            <w:pPr>
              <w:spacing w:after="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C7.1.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C79BB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52AE719C" w14:textId="77777777" w:rsidR="00095369" w:rsidRPr="00D922B7" w:rsidRDefault="00095369" w:rsidP="00F87E30">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Punionice vodika</w:t>
            </w:r>
          </w:p>
        </w:tc>
      </w:tr>
      <w:tr w:rsidR="00095369" w:rsidRPr="0059000D" w14:paraId="3602035C"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A326ACE" w14:textId="37D9FE06"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B384A55" w14:textId="2D20E7F5" w:rsidR="00095369" w:rsidRPr="00D922B7" w:rsidRDefault="00095369" w:rsidP="00F87E30">
            <w:pPr>
              <w:spacing w:after="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C7.1.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988957E"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27DBCADB" w14:textId="77777777" w:rsidR="00095369" w:rsidRPr="00D922B7" w:rsidRDefault="00095369" w:rsidP="00F87E30">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Provedeno geotermalno bušenje</w:t>
            </w:r>
          </w:p>
        </w:tc>
      </w:tr>
      <w:tr w:rsidR="00095369" w:rsidRPr="0059000D" w14:paraId="7AE63EF8"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647A50F" w14:textId="1BE6C5D7"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93F29D" w14:textId="5420B186" w:rsidR="00095369" w:rsidRPr="00D922B7" w:rsidRDefault="00095369" w:rsidP="00F87E30">
            <w:pPr>
              <w:spacing w:after="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C7.1 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7CF336D"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02F48D88" w14:textId="77777777" w:rsidR="00095369" w:rsidRPr="00D922B7" w:rsidRDefault="00095369" w:rsidP="00F87E30">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 xml:space="preserve">Nabavljena i puštena u rad 103 autobusa na alternativni pogon (električna energija i vodik) </w:t>
            </w:r>
          </w:p>
        </w:tc>
      </w:tr>
      <w:tr w:rsidR="00095369" w:rsidRPr="0059000D" w14:paraId="32AC9CFE"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E0AA282" w14:textId="29515A58"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095415" w14:textId="1555EEE1" w:rsidR="00095369" w:rsidRPr="00D922B7" w:rsidRDefault="00095369" w:rsidP="00F87E30">
            <w:pPr>
              <w:spacing w:after="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C7.1 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5EB710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145C4415" w14:textId="77777777" w:rsidR="00095369" w:rsidRPr="00D922B7" w:rsidRDefault="00095369" w:rsidP="00F87E30">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Jedna vodikova energetska jedinica za napajanje električnih lokomotiva smještena u zasebnom vagonu (HERMES).</w:t>
            </w:r>
          </w:p>
        </w:tc>
      </w:tr>
      <w:tr w:rsidR="00095369" w:rsidRPr="0059000D" w14:paraId="434DC41F" w14:textId="77777777">
        <w:trPr>
          <w:trHeight w:val="1172"/>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18BC080" w14:textId="4AB7F39C" w:rsidR="00095369" w:rsidRPr="00D922B7" w:rsidRDefault="00E03A5E">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431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964B336" w14:textId="546D9F91" w:rsidR="00095369" w:rsidRPr="00D922B7" w:rsidRDefault="00095369">
            <w:pPr>
              <w:spacing w:after="0" w:line="276" w:lineRule="auto"/>
              <w:jc w:val="center"/>
              <w:rPr>
                <w:rFonts w:ascii="Times New Roman" w:hAnsi="Times New Roman" w:cs="Times New Roman"/>
                <w:noProof/>
                <w:color w:val="000000"/>
                <w:sz w:val="20"/>
                <w:szCs w:val="20"/>
              </w:rPr>
            </w:pPr>
            <w:r>
              <w:rPr>
                <w:rFonts w:ascii="Times New Roman" w:hAnsi="Times New Roman"/>
                <w:noProof/>
                <w:color w:val="000000"/>
                <w:sz w:val="20"/>
              </w:rPr>
              <w:t>C7.2.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73BE7B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347" w:type="dxa"/>
            <w:tcBorders>
              <w:top w:val="single" w:sz="6" w:space="0" w:color="auto"/>
              <w:left w:val="nil"/>
              <w:bottom w:val="single" w:sz="6" w:space="0" w:color="auto"/>
              <w:right w:val="single" w:sz="6" w:space="0" w:color="auto"/>
            </w:tcBorders>
            <w:shd w:val="clear" w:color="auto" w:fill="C6EFCE"/>
          </w:tcPr>
          <w:p w14:paraId="00366F05" w14:textId="77777777" w:rsidR="00095369" w:rsidRPr="00D922B7" w:rsidRDefault="00095369" w:rsidP="00E03A5E">
            <w:pPr>
              <w:spacing w:after="0" w:line="276" w:lineRule="auto"/>
              <w:rPr>
                <w:rFonts w:ascii="Times New Roman" w:hAnsi="Times New Roman" w:cs="Times New Roman"/>
                <w:noProof/>
                <w:color w:val="000000"/>
                <w:sz w:val="20"/>
                <w:szCs w:val="20"/>
              </w:rPr>
            </w:pPr>
            <w:r>
              <w:rPr>
                <w:rFonts w:ascii="Times New Roman" w:hAnsi="Times New Roman"/>
                <w:noProof/>
                <w:color w:val="000000"/>
                <w:sz w:val="20"/>
              </w:rPr>
              <w:t>Provedba pilot-projekata utvrđenih u strategiji zelene urbane obnove i povezanih s nacionalnim programima o zelenoj infrastrukturi i kružnom gospodarenju prostorom i zgradama</w:t>
            </w:r>
          </w:p>
        </w:tc>
      </w:tr>
      <w:tr w:rsidR="00095369" w:rsidRPr="0059000D" w14:paraId="619C2F3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1969A0AC"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39" w:type="dxa"/>
            <w:tcBorders>
              <w:top w:val="single" w:sz="6" w:space="0" w:color="auto"/>
              <w:left w:val="nil"/>
              <w:bottom w:val="single" w:sz="6" w:space="0" w:color="auto"/>
              <w:right w:val="single" w:sz="6" w:space="0" w:color="auto"/>
            </w:tcBorders>
            <w:shd w:val="clear" w:color="auto" w:fill="C6EFCE"/>
          </w:tcPr>
          <w:p w14:paraId="0445AC52"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p>
        </w:tc>
        <w:tc>
          <w:tcPr>
            <w:tcW w:w="1274" w:type="dxa"/>
            <w:tcBorders>
              <w:top w:val="single" w:sz="6" w:space="0" w:color="auto"/>
              <w:left w:val="nil"/>
              <w:bottom w:val="single" w:sz="6" w:space="0" w:color="auto"/>
              <w:right w:val="single" w:sz="6" w:space="0" w:color="auto"/>
            </w:tcBorders>
            <w:shd w:val="clear" w:color="auto" w:fill="C6EFCE"/>
          </w:tcPr>
          <w:p w14:paraId="7FF0845A"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Iznos obroka</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912643C"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657 119 562 EUR</w:t>
            </w:r>
          </w:p>
        </w:tc>
      </w:tr>
    </w:tbl>
    <w:p w14:paraId="3FCCD7AE" w14:textId="77777777" w:rsidR="00095369" w:rsidRPr="00D922B7" w:rsidRDefault="00095369" w:rsidP="00095369">
      <w:pPr>
        <w:spacing w:after="0" w:line="240" w:lineRule="auto"/>
        <w:jc w:val="both"/>
        <w:textAlignment w:val="baseline"/>
        <w:rPr>
          <w:rFonts w:ascii="Times New Roman" w:eastAsia="Times New Roman" w:hAnsi="Times New Roman" w:cs="Times New Roman"/>
          <w:noProof/>
          <w:sz w:val="20"/>
          <w:szCs w:val="20"/>
          <w:lang w:val="fr-BE" w:eastAsia="en-IE"/>
        </w:rPr>
      </w:pPr>
    </w:p>
    <w:p w14:paraId="307B019B" w14:textId="77777777" w:rsidR="00095369" w:rsidRPr="00B45F0B" w:rsidRDefault="00095369" w:rsidP="00095369">
      <w:pPr>
        <w:spacing w:after="0" w:line="240" w:lineRule="auto"/>
        <w:jc w:val="both"/>
        <w:textAlignment w:val="baseline"/>
        <w:rPr>
          <w:rFonts w:ascii="Times New Roman" w:eastAsia="Times New Roman" w:hAnsi="Times New Roman" w:cs="Times New Roman"/>
          <w:noProof/>
          <w:sz w:val="24"/>
          <w:szCs w:val="24"/>
          <w:lang w:val="fr-BE" w:eastAsia="en-IE"/>
        </w:rPr>
      </w:pPr>
    </w:p>
    <w:p w14:paraId="79F97783" w14:textId="77777777" w:rsidR="00095369" w:rsidRPr="0059000D" w:rsidRDefault="00095369" w:rsidP="00095369">
      <w:pPr>
        <w:numPr>
          <w:ilvl w:val="0"/>
          <w:numId w:val="50"/>
        </w:numPr>
        <w:spacing w:after="0"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b/>
          <w:noProof/>
          <w:sz w:val="24"/>
        </w:rPr>
        <w:t xml:space="preserve"> Zajam </w:t>
      </w:r>
      <w:r>
        <w:rPr>
          <w:rFonts w:ascii="Times New Roman" w:hAnsi="Times New Roman"/>
          <w:noProof/>
          <w:sz w:val="24"/>
        </w:rPr>
        <w:t> </w:t>
      </w:r>
    </w:p>
    <w:p w14:paraId="726AE57B" w14:textId="77777777" w:rsidR="00095369" w:rsidRPr="0059000D" w:rsidRDefault="00095369" w:rsidP="00095369">
      <w:pPr>
        <w:spacing w:after="0" w:line="240" w:lineRule="auto"/>
        <w:ind w:left="840"/>
        <w:jc w:val="both"/>
        <w:textAlignment w:val="baseline"/>
        <w:rPr>
          <w:rFonts w:ascii="Segoe UI" w:eastAsia="Times New Roman" w:hAnsi="Segoe UI" w:cs="Segoe UI"/>
          <w:noProof/>
          <w:sz w:val="18"/>
          <w:szCs w:val="18"/>
        </w:rPr>
      </w:pPr>
      <w:r>
        <w:rPr>
          <w:rFonts w:ascii="Times New Roman" w:hAnsi="Times New Roman"/>
          <w:noProof/>
          <w:sz w:val="24"/>
        </w:rPr>
        <w:t>Obroci iz članka 3. stavka 2. organizirani su na sljedeći način: </w:t>
      </w:r>
    </w:p>
    <w:p w14:paraId="09F29A7F"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sz w:val="24"/>
        </w:rPr>
        <w:t> </w:t>
      </w:r>
    </w:p>
    <w:p w14:paraId="3B1DA286" w14:textId="77777777" w:rsidR="00095369" w:rsidRPr="004E1B30" w:rsidRDefault="00095369" w:rsidP="00095369">
      <w:pPr>
        <w:numPr>
          <w:ilvl w:val="0"/>
          <w:numId w:val="51"/>
        </w:numPr>
        <w:spacing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noProof/>
          <w:sz w:val="24"/>
        </w:rPr>
        <w:t>Prvi obrok (potpora u obliku zajma): </w:t>
      </w:r>
    </w:p>
    <w:tbl>
      <w:tblPr>
        <w:tblW w:w="937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276"/>
        <w:gridCol w:w="5365"/>
      </w:tblGrid>
      <w:tr w:rsidR="00095369" w:rsidRPr="0059000D" w14:paraId="5432CE18" w14:textId="77777777">
        <w:trPr>
          <w:trHeight w:val="1029"/>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AF0C4D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1BC8E5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9ACE9B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65" w:type="dxa"/>
            <w:vMerge w:val="restart"/>
            <w:tcBorders>
              <w:top w:val="single" w:sz="6" w:space="0" w:color="auto"/>
              <w:left w:val="nil"/>
              <w:bottom w:val="single" w:sz="6" w:space="0" w:color="000000"/>
              <w:right w:val="single" w:sz="6" w:space="0" w:color="auto"/>
            </w:tcBorders>
            <w:shd w:val="clear" w:color="auto" w:fill="BDD7EE"/>
            <w:vAlign w:val="center"/>
            <w:hideMark/>
          </w:tcPr>
          <w:p w14:paraId="398F9423"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0BD5FB87" w14:textId="77777777">
        <w:trPr>
          <w:trHeight w:val="450"/>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C193E38"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F74B978"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BFC033E"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65" w:type="dxa"/>
            <w:vMerge/>
            <w:tcBorders>
              <w:top w:val="single" w:sz="6" w:space="0" w:color="auto"/>
              <w:left w:val="nil"/>
              <w:bottom w:val="single" w:sz="6" w:space="0" w:color="000000"/>
              <w:right w:val="single" w:sz="6" w:space="0" w:color="auto"/>
            </w:tcBorders>
            <w:shd w:val="clear" w:color="auto" w:fill="auto"/>
            <w:vAlign w:val="center"/>
            <w:hideMark/>
          </w:tcPr>
          <w:p w14:paraId="7E152268"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452B22" w:rsidRPr="0059000D" w14:paraId="029E5EA1"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5E849EEC" w14:textId="3D564690" w:rsidR="00452B22" w:rsidRPr="00D922B7" w:rsidRDefault="00452B22" w:rsidP="00452B22">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55</w:t>
            </w:r>
          </w:p>
        </w:tc>
        <w:tc>
          <w:tcPr>
            <w:tcW w:w="1642" w:type="dxa"/>
            <w:tcBorders>
              <w:top w:val="nil"/>
              <w:left w:val="nil"/>
              <w:bottom w:val="single" w:sz="6" w:space="0" w:color="auto"/>
              <w:right w:val="single" w:sz="6" w:space="0" w:color="auto"/>
            </w:tcBorders>
            <w:shd w:val="clear" w:color="auto" w:fill="C6EFCE"/>
            <w:vAlign w:val="center"/>
          </w:tcPr>
          <w:p w14:paraId="20D1B1F5" w14:textId="046EDBCE" w:rsidR="00452B22" w:rsidRPr="00D922B7" w:rsidRDefault="00452B22" w:rsidP="00452B22">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R1-I5</w:t>
            </w:r>
          </w:p>
        </w:tc>
        <w:tc>
          <w:tcPr>
            <w:tcW w:w="1276" w:type="dxa"/>
            <w:tcBorders>
              <w:top w:val="nil"/>
              <w:left w:val="nil"/>
              <w:bottom w:val="single" w:sz="6" w:space="0" w:color="auto"/>
              <w:right w:val="single" w:sz="6" w:space="0" w:color="auto"/>
            </w:tcBorders>
            <w:shd w:val="clear" w:color="auto" w:fill="C6EFCE"/>
            <w:vAlign w:val="center"/>
          </w:tcPr>
          <w:p w14:paraId="27A4BEE6" w14:textId="2819ECEB" w:rsidR="00452B22" w:rsidRPr="00D922B7" w:rsidRDefault="00452B22" w:rsidP="00452B22">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65" w:type="dxa"/>
            <w:tcBorders>
              <w:top w:val="nil"/>
              <w:left w:val="nil"/>
              <w:bottom w:val="single" w:sz="6" w:space="0" w:color="auto"/>
              <w:right w:val="single" w:sz="6" w:space="0" w:color="auto"/>
            </w:tcBorders>
            <w:shd w:val="clear" w:color="auto" w:fill="C6EFCE"/>
          </w:tcPr>
          <w:p w14:paraId="763C4E8D" w14:textId="05A2BCF4" w:rsidR="00452B22" w:rsidRPr="00D922B7" w:rsidRDefault="00452B22" w:rsidP="00452B22">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Donesen Plan proizvodnje i korištenja biogoriva u prometu</w:t>
            </w:r>
          </w:p>
        </w:tc>
      </w:tr>
      <w:tr w:rsidR="00095369" w:rsidRPr="0059000D" w14:paraId="1C154844"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2B1F1461" w14:textId="181CBE46" w:rsidR="00095369" w:rsidRPr="00D922B7" w:rsidRDefault="00452B22">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405</w:t>
            </w:r>
          </w:p>
        </w:tc>
        <w:tc>
          <w:tcPr>
            <w:tcW w:w="1642" w:type="dxa"/>
            <w:tcBorders>
              <w:top w:val="nil"/>
              <w:left w:val="nil"/>
              <w:bottom w:val="single" w:sz="6" w:space="0" w:color="auto"/>
              <w:right w:val="single" w:sz="6" w:space="0" w:color="auto"/>
            </w:tcBorders>
            <w:shd w:val="clear" w:color="auto" w:fill="C6EFCE"/>
            <w:vAlign w:val="center"/>
            <w:hideMark/>
          </w:tcPr>
          <w:p w14:paraId="625D98C4" w14:textId="6464E8A0"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C6.1. R1-I4</w:t>
            </w:r>
          </w:p>
        </w:tc>
        <w:tc>
          <w:tcPr>
            <w:tcW w:w="1276" w:type="dxa"/>
            <w:tcBorders>
              <w:top w:val="nil"/>
              <w:left w:val="nil"/>
              <w:bottom w:val="single" w:sz="6" w:space="0" w:color="auto"/>
              <w:right w:val="single" w:sz="6" w:space="0" w:color="auto"/>
            </w:tcBorders>
            <w:shd w:val="clear" w:color="auto" w:fill="C6EFCE"/>
            <w:vAlign w:val="center"/>
            <w:hideMark/>
          </w:tcPr>
          <w:p w14:paraId="3BBA74A4"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65" w:type="dxa"/>
            <w:tcBorders>
              <w:top w:val="nil"/>
              <w:left w:val="nil"/>
              <w:bottom w:val="single" w:sz="6" w:space="0" w:color="auto"/>
              <w:right w:val="single" w:sz="6" w:space="0" w:color="auto"/>
            </w:tcBorders>
            <w:shd w:val="clear" w:color="auto" w:fill="C6EFCE"/>
            <w:hideMark/>
          </w:tcPr>
          <w:p w14:paraId="7B197E75"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Smjernice za energetsku obnovu zgrada sa statusom kulturnog dobra</w:t>
            </w:r>
          </w:p>
        </w:tc>
      </w:tr>
      <w:tr w:rsidR="00095369" w:rsidRPr="0059000D" w14:paraId="322A4819"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49517D8B" w14:textId="3EBC5B90" w:rsidR="00095369" w:rsidRPr="00D922B7" w:rsidRDefault="00452B22">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421</w:t>
            </w:r>
          </w:p>
        </w:tc>
        <w:tc>
          <w:tcPr>
            <w:tcW w:w="1642" w:type="dxa"/>
            <w:tcBorders>
              <w:top w:val="nil"/>
              <w:left w:val="nil"/>
              <w:bottom w:val="single" w:sz="6" w:space="0" w:color="auto"/>
              <w:right w:val="single" w:sz="6" w:space="0" w:color="auto"/>
            </w:tcBorders>
            <w:shd w:val="clear" w:color="auto" w:fill="C6EFCE"/>
            <w:vAlign w:val="center"/>
          </w:tcPr>
          <w:p w14:paraId="564A2605" w14:textId="210B85F9"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I3</w:t>
            </w:r>
          </w:p>
        </w:tc>
        <w:tc>
          <w:tcPr>
            <w:tcW w:w="1276" w:type="dxa"/>
            <w:tcBorders>
              <w:top w:val="nil"/>
              <w:left w:val="nil"/>
              <w:bottom w:val="single" w:sz="6" w:space="0" w:color="auto"/>
              <w:right w:val="single" w:sz="6" w:space="0" w:color="auto"/>
            </w:tcBorders>
            <w:shd w:val="clear" w:color="auto" w:fill="C6EFCE"/>
            <w:vAlign w:val="center"/>
          </w:tcPr>
          <w:p w14:paraId="75A17690"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65" w:type="dxa"/>
            <w:tcBorders>
              <w:top w:val="nil"/>
              <w:left w:val="nil"/>
              <w:bottom w:val="single" w:sz="6" w:space="0" w:color="auto"/>
              <w:right w:val="single" w:sz="6" w:space="0" w:color="auto"/>
            </w:tcBorders>
            <w:shd w:val="clear" w:color="auto" w:fill="C6EFCE"/>
          </w:tcPr>
          <w:p w14:paraId="4E4E6FF7"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Ugovor o opremi za proširenje kapaciteta LNG terminala na otoku Krku</w:t>
            </w:r>
          </w:p>
        </w:tc>
      </w:tr>
      <w:tr w:rsidR="00095369" w:rsidRPr="0059000D" w14:paraId="2CC034CB"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1B1CBA1B" w14:textId="499C4C5C" w:rsidR="00095369" w:rsidRPr="00D922B7" w:rsidRDefault="00452B22">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423</w:t>
            </w:r>
          </w:p>
        </w:tc>
        <w:tc>
          <w:tcPr>
            <w:tcW w:w="1642" w:type="dxa"/>
            <w:tcBorders>
              <w:top w:val="nil"/>
              <w:left w:val="nil"/>
              <w:bottom w:val="single" w:sz="6" w:space="0" w:color="auto"/>
              <w:right w:val="single" w:sz="6" w:space="0" w:color="auto"/>
            </w:tcBorders>
            <w:shd w:val="clear" w:color="auto" w:fill="C6EFCE"/>
            <w:vAlign w:val="center"/>
          </w:tcPr>
          <w:p w14:paraId="381C5B2D" w14:textId="1CDE75E9"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I3</w:t>
            </w:r>
          </w:p>
        </w:tc>
        <w:tc>
          <w:tcPr>
            <w:tcW w:w="1276" w:type="dxa"/>
            <w:tcBorders>
              <w:top w:val="nil"/>
              <w:left w:val="nil"/>
              <w:bottom w:val="single" w:sz="6" w:space="0" w:color="auto"/>
              <w:right w:val="single" w:sz="6" w:space="0" w:color="auto"/>
            </w:tcBorders>
            <w:shd w:val="clear" w:color="auto" w:fill="C6EFCE"/>
            <w:vAlign w:val="center"/>
          </w:tcPr>
          <w:p w14:paraId="32E29E1F"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365" w:type="dxa"/>
            <w:tcBorders>
              <w:top w:val="nil"/>
              <w:left w:val="nil"/>
              <w:bottom w:val="single" w:sz="6" w:space="0" w:color="auto"/>
              <w:right w:val="single" w:sz="6" w:space="0" w:color="auto"/>
            </w:tcBorders>
            <w:shd w:val="clear" w:color="auto" w:fill="C6EFCE"/>
          </w:tcPr>
          <w:p w14:paraId="3AD8DDC2"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Ugovor za izgradnju plinovoda Zlobin–Bosiljevo</w:t>
            </w:r>
          </w:p>
        </w:tc>
      </w:tr>
      <w:tr w:rsidR="00095369" w:rsidRPr="0059000D" w14:paraId="45B6F8A6" w14:textId="77777777">
        <w:trPr>
          <w:trHeight w:val="343"/>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64B6170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389D513D"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276" w:type="dxa"/>
            <w:tcBorders>
              <w:top w:val="single" w:sz="6" w:space="0" w:color="auto"/>
              <w:left w:val="nil"/>
              <w:bottom w:val="single" w:sz="6" w:space="0" w:color="auto"/>
              <w:right w:val="single" w:sz="6" w:space="0" w:color="auto"/>
            </w:tcBorders>
            <w:shd w:val="clear" w:color="auto" w:fill="C6EFCE"/>
            <w:vAlign w:val="bottom"/>
            <w:hideMark/>
          </w:tcPr>
          <w:p w14:paraId="06425CC4"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Iznos obroka </w:t>
            </w:r>
          </w:p>
        </w:tc>
        <w:tc>
          <w:tcPr>
            <w:tcW w:w="5365" w:type="dxa"/>
            <w:tcBorders>
              <w:top w:val="single" w:sz="6" w:space="0" w:color="auto"/>
              <w:left w:val="nil"/>
              <w:bottom w:val="single" w:sz="6" w:space="0" w:color="auto"/>
              <w:right w:val="single" w:sz="6" w:space="0" w:color="auto"/>
            </w:tcBorders>
            <w:shd w:val="clear" w:color="auto" w:fill="C6EFCE"/>
            <w:vAlign w:val="bottom"/>
            <w:hideMark/>
          </w:tcPr>
          <w:p w14:paraId="3AED893F" w14:textId="3E77F1AC"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303 868 355 EUR</w:t>
            </w:r>
          </w:p>
        </w:tc>
      </w:tr>
    </w:tbl>
    <w:p w14:paraId="176DCC14" w14:textId="77777777" w:rsidR="00095369"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w:t>
      </w:r>
    </w:p>
    <w:p w14:paraId="6A3AD196" w14:textId="77777777" w:rsidR="00095369" w:rsidRPr="004E1B30" w:rsidRDefault="00095369" w:rsidP="00095369">
      <w:pPr>
        <w:pStyle w:val="ListParagraph"/>
        <w:numPr>
          <w:ilvl w:val="0"/>
          <w:numId w:val="51"/>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Drugi obrok (potpora u obliku zajma):  </w:t>
      </w:r>
    </w:p>
    <w:p w14:paraId="6D875BC7" w14:textId="77777777" w:rsidR="00095369" w:rsidRPr="0059000D" w:rsidRDefault="00095369" w:rsidP="00095369">
      <w:pPr>
        <w:spacing w:after="0" w:line="240" w:lineRule="auto"/>
        <w:ind w:left="720"/>
        <w:jc w:val="both"/>
        <w:textAlignment w:val="baseline"/>
        <w:rPr>
          <w:rFonts w:ascii="Times New Roman" w:eastAsia="Times New Roman" w:hAnsi="Times New Roman" w:cs="Times New Roman"/>
          <w:noProof/>
          <w:sz w:val="24"/>
          <w:szCs w:val="24"/>
          <w:lang w:val="en-IE" w:eastAsia="en-IE"/>
        </w:rPr>
      </w:pPr>
    </w:p>
    <w:tbl>
      <w:tblPr>
        <w:tblW w:w="937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276"/>
        <w:gridCol w:w="5365"/>
      </w:tblGrid>
      <w:tr w:rsidR="00095369" w:rsidRPr="0059000D" w14:paraId="5AE8D8C3" w14:textId="77777777">
        <w:trPr>
          <w:trHeight w:val="1029"/>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CD8DDE5"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26C59D1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62861C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65" w:type="dxa"/>
            <w:vMerge w:val="restart"/>
            <w:tcBorders>
              <w:top w:val="single" w:sz="6" w:space="0" w:color="auto"/>
              <w:left w:val="nil"/>
              <w:bottom w:val="single" w:sz="6" w:space="0" w:color="000000"/>
              <w:right w:val="single" w:sz="6" w:space="0" w:color="auto"/>
            </w:tcBorders>
            <w:shd w:val="clear" w:color="auto" w:fill="BDD7EE"/>
            <w:vAlign w:val="center"/>
            <w:hideMark/>
          </w:tcPr>
          <w:p w14:paraId="563C1B1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2AD31397" w14:textId="77777777">
        <w:trPr>
          <w:trHeight w:val="466"/>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1D097A5"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A565083"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C5B7493"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65" w:type="dxa"/>
            <w:vMerge/>
            <w:tcBorders>
              <w:top w:val="single" w:sz="6" w:space="0" w:color="auto"/>
              <w:left w:val="nil"/>
              <w:bottom w:val="single" w:sz="6" w:space="0" w:color="000000"/>
              <w:right w:val="single" w:sz="6" w:space="0" w:color="auto"/>
            </w:tcBorders>
            <w:shd w:val="clear" w:color="auto" w:fill="auto"/>
            <w:vAlign w:val="center"/>
            <w:hideMark/>
          </w:tcPr>
          <w:p w14:paraId="6B941413"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21595DAB"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EA356E7" w14:textId="7BEBEA46" w:rsidR="00095369" w:rsidRPr="00D922B7" w:rsidRDefault="005F1BC3">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382</w:t>
            </w:r>
          </w:p>
        </w:tc>
        <w:tc>
          <w:tcPr>
            <w:tcW w:w="1642" w:type="dxa"/>
            <w:tcBorders>
              <w:top w:val="nil"/>
              <w:left w:val="nil"/>
              <w:bottom w:val="single" w:sz="6" w:space="0" w:color="auto"/>
              <w:right w:val="single" w:sz="6" w:space="0" w:color="auto"/>
            </w:tcBorders>
            <w:shd w:val="clear" w:color="auto" w:fill="C6EFCE"/>
            <w:vAlign w:val="center"/>
            <w:hideMark/>
          </w:tcPr>
          <w:p w14:paraId="5B49CDF5" w14:textId="52E49C9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w:t>
            </w:r>
          </w:p>
        </w:tc>
        <w:tc>
          <w:tcPr>
            <w:tcW w:w="1276" w:type="dxa"/>
            <w:tcBorders>
              <w:top w:val="nil"/>
              <w:left w:val="nil"/>
              <w:bottom w:val="single" w:sz="6" w:space="0" w:color="auto"/>
              <w:right w:val="single" w:sz="6" w:space="0" w:color="auto"/>
            </w:tcBorders>
            <w:shd w:val="clear" w:color="auto" w:fill="C6EFCE"/>
            <w:vAlign w:val="center"/>
            <w:hideMark/>
          </w:tcPr>
          <w:p w14:paraId="396F1B8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365" w:type="dxa"/>
            <w:tcBorders>
              <w:top w:val="nil"/>
              <w:left w:val="nil"/>
              <w:bottom w:val="single" w:sz="6" w:space="0" w:color="auto"/>
              <w:right w:val="single" w:sz="6" w:space="0" w:color="auto"/>
            </w:tcBorders>
            <w:shd w:val="clear" w:color="auto" w:fill="C6EFCE"/>
            <w:vAlign w:val="bottom"/>
            <w:hideMark/>
          </w:tcPr>
          <w:p w14:paraId="767FD69E"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Donošenje nacionalnog akcijskog plana za smanjenje gubitaka vode</w:t>
            </w:r>
          </w:p>
        </w:tc>
      </w:tr>
      <w:tr w:rsidR="00095369" w:rsidRPr="0059000D" w14:paraId="1129E559"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C6B1CBE" w14:textId="3D9A5166" w:rsidR="00095369" w:rsidRPr="00D922B7" w:rsidRDefault="005F1BC3">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385</w:t>
            </w:r>
          </w:p>
        </w:tc>
        <w:tc>
          <w:tcPr>
            <w:tcW w:w="1642" w:type="dxa"/>
            <w:tcBorders>
              <w:top w:val="nil"/>
              <w:left w:val="nil"/>
              <w:bottom w:val="single" w:sz="6" w:space="0" w:color="auto"/>
              <w:right w:val="single" w:sz="6" w:space="0" w:color="auto"/>
            </w:tcBorders>
            <w:shd w:val="clear" w:color="auto" w:fill="C6EFCE"/>
            <w:vAlign w:val="center"/>
            <w:hideMark/>
          </w:tcPr>
          <w:p w14:paraId="343AAAFF" w14:textId="6506EBD0"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w:t>
            </w:r>
          </w:p>
        </w:tc>
        <w:tc>
          <w:tcPr>
            <w:tcW w:w="1276" w:type="dxa"/>
            <w:tcBorders>
              <w:top w:val="nil"/>
              <w:left w:val="nil"/>
              <w:bottom w:val="single" w:sz="6" w:space="0" w:color="auto"/>
              <w:right w:val="single" w:sz="6" w:space="0" w:color="auto"/>
            </w:tcBorders>
            <w:shd w:val="clear" w:color="auto" w:fill="C6EFCE"/>
            <w:vAlign w:val="center"/>
            <w:hideMark/>
          </w:tcPr>
          <w:p w14:paraId="49BEC9C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365" w:type="dxa"/>
            <w:tcBorders>
              <w:top w:val="nil"/>
              <w:left w:val="nil"/>
              <w:bottom w:val="single" w:sz="6" w:space="0" w:color="auto"/>
              <w:right w:val="single" w:sz="6" w:space="0" w:color="auto"/>
            </w:tcBorders>
            <w:shd w:val="clear" w:color="auto" w:fill="C6EFCE"/>
            <w:vAlign w:val="bottom"/>
            <w:hideMark/>
          </w:tcPr>
          <w:p w14:paraId="374FF2FF"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Stupanje na snagu Uredbe o Vijeću za vodne usluge</w:t>
            </w:r>
          </w:p>
        </w:tc>
      </w:tr>
      <w:tr w:rsidR="00095369" w:rsidRPr="0059000D" w14:paraId="0D70BC57"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0F505077" w14:textId="714F81A5" w:rsidR="00095369" w:rsidRPr="00D922B7" w:rsidRDefault="004B6DE6">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393</w:t>
            </w:r>
          </w:p>
        </w:tc>
        <w:tc>
          <w:tcPr>
            <w:tcW w:w="1642" w:type="dxa"/>
            <w:tcBorders>
              <w:top w:val="nil"/>
              <w:left w:val="nil"/>
              <w:bottom w:val="single" w:sz="6" w:space="0" w:color="auto"/>
              <w:right w:val="single" w:sz="6" w:space="0" w:color="auto"/>
            </w:tcBorders>
            <w:shd w:val="clear" w:color="auto" w:fill="C6EFCE"/>
            <w:vAlign w:val="center"/>
          </w:tcPr>
          <w:p w14:paraId="172BA380" w14:textId="467815B9"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C2.2. R5</w:t>
            </w:r>
          </w:p>
        </w:tc>
        <w:tc>
          <w:tcPr>
            <w:tcW w:w="1276" w:type="dxa"/>
            <w:tcBorders>
              <w:top w:val="nil"/>
              <w:left w:val="nil"/>
              <w:bottom w:val="single" w:sz="6" w:space="0" w:color="auto"/>
              <w:right w:val="single" w:sz="6" w:space="0" w:color="auto"/>
            </w:tcBorders>
            <w:shd w:val="clear" w:color="auto" w:fill="C6EFCE"/>
            <w:vAlign w:val="center"/>
          </w:tcPr>
          <w:p w14:paraId="002C16C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365" w:type="dxa"/>
            <w:tcBorders>
              <w:top w:val="nil"/>
              <w:left w:val="nil"/>
              <w:bottom w:val="single" w:sz="6" w:space="0" w:color="auto"/>
              <w:right w:val="single" w:sz="6" w:space="0" w:color="auto"/>
            </w:tcBorders>
            <w:shd w:val="clear" w:color="auto" w:fill="C6EFCE"/>
            <w:vAlign w:val="bottom"/>
          </w:tcPr>
          <w:p w14:paraId="3673A43E"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Stupanje na snagu podzakonskih akata o novim modelima plaća i centraliziranom sustavu prijama u državnu službu i javnu upravu.</w:t>
            </w:r>
          </w:p>
        </w:tc>
      </w:tr>
      <w:tr w:rsidR="00095369" w:rsidRPr="0059000D" w14:paraId="781E4FFD"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38F600FD" w14:textId="23B46EAA" w:rsidR="00095369" w:rsidRPr="00D922B7" w:rsidRDefault="00A2412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425</w:t>
            </w:r>
          </w:p>
        </w:tc>
        <w:tc>
          <w:tcPr>
            <w:tcW w:w="1642" w:type="dxa"/>
            <w:tcBorders>
              <w:top w:val="nil"/>
              <w:left w:val="nil"/>
              <w:bottom w:val="single" w:sz="6" w:space="0" w:color="auto"/>
              <w:right w:val="single" w:sz="6" w:space="0" w:color="auto"/>
            </w:tcBorders>
            <w:shd w:val="clear" w:color="auto" w:fill="C6EFCE"/>
            <w:vAlign w:val="center"/>
          </w:tcPr>
          <w:p w14:paraId="5090CA44" w14:textId="007BBB63"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I3</w:t>
            </w:r>
          </w:p>
        </w:tc>
        <w:tc>
          <w:tcPr>
            <w:tcW w:w="1276" w:type="dxa"/>
            <w:tcBorders>
              <w:top w:val="nil"/>
              <w:left w:val="nil"/>
              <w:bottom w:val="single" w:sz="6" w:space="0" w:color="auto"/>
              <w:right w:val="single" w:sz="6" w:space="0" w:color="auto"/>
            </w:tcBorders>
            <w:shd w:val="clear" w:color="auto" w:fill="C6EFCE"/>
            <w:vAlign w:val="center"/>
          </w:tcPr>
          <w:p w14:paraId="5DAC832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365" w:type="dxa"/>
            <w:tcBorders>
              <w:top w:val="nil"/>
              <w:left w:val="nil"/>
              <w:bottom w:val="single" w:sz="6" w:space="0" w:color="auto"/>
              <w:right w:val="single" w:sz="6" w:space="0" w:color="auto"/>
            </w:tcBorders>
            <w:shd w:val="clear" w:color="auto" w:fill="C6EFCE"/>
          </w:tcPr>
          <w:p w14:paraId="3E30FB1D"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Raspisan natječaj za nabavu cijevi za plinovodni sustav Bosiljevo–Sisak–Kozarac</w:t>
            </w:r>
          </w:p>
        </w:tc>
      </w:tr>
      <w:tr w:rsidR="00095369" w:rsidRPr="0059000D" w14:paraId="5A2A98FD"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3DEF8F8D" w14:textId="5606553A" w:rsidR="00095369" w:rsidRPr="00D922B7" w:rsidRDefault="0042681A">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427</w:t>
            </w:r>
          </w:p>
        </w:tc>
        <w:tc>
          <w:tcPr>
            <w:tcW w:w="1642" w:type="dxa"/>
            <w:tcBorders>
              <w:top w:val="nil"/>
              <w:left w:val="nil"/>
              <w:bottom w:val="single" w:sz="6" w:space="0" w:color="auto"/>
              <w:right w:val="single" w:sz="6" w:space="0" w:color="auto"/>
            </w:tcBorders>
            <w:shd w:val="clear" w:color="auto" w:fill="C6EFCE"/>
            <w:vAlign w:val="center"/>
          </w:tcPr>
          <w:p w14:paraId="2A62EAC4" w14:textId="4593DED5"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I3</w:t>
            </w:r>
          </w:p>
        </w:tc>
        <w:tc>
          <w:tcPr>
            <w:tcW w:w="1276" w:type="dxa"/>
            <w:tcBorders>
              <w:top w:val="nil"/>
              <w:left w:val="nil"/>
              <w:bottom w:val="single" w:sz="6" w:space="0" w:color="auto"/>
              <w:right w:val="single" w:sz="6" w:space="0" w:color="auto"/>
            </w:tcBorders>
            <w:shd w:val="clear" w:color="auto" w:fill="C6EFCE"/>
            <w:vAlign w:val="center"/>
          </w:tcPr>
          <w:p w14:paraId="2FD5332D"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365" w:type="dxa"/>
            <w:tcBorders>
              <w:top w:val="nil"/>
              <w:left w:val="nil"/>
              <w:bottom w:val="single" w:sz="6" w:space="0" w:color="auto"/>
              <w:right w:val="single" w:sz="6" w:space="0" w:color="auto"/>
            </w:tcBorders>
            <w:shd w:val="clear" w:color="auto" w:fill="C6EFCE"/>
          </w:tcPr>
          <w:p w14:paraId="21191440"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Natječaj za nabavu cijevi za dionicu Lučko-Zabok interkonekcije Hrvatska–Slovenija</w:t>
            </w:r>
          </w:p>
        </w:tc>
      </w:tr>
      <w:tr w:rsidR="00095369" w:rsidRPr="0059000D" w14:paraId="12B87D63"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2F3C1587" w14:textId="5F19E44F" w:rsidR="00095369" w:rsidRPr="00D922B7" w:rsidRDefault="0042681A">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438</w:t>
            </w:r>
          </w:p>
        </w:tc>
        <w:tc>
          <w:tcPr>
            <w:tcW w:w="1642" w:type="dxa"/>
            <w:tcBorders>
              <w:top w:val="nil"/>
              <w:left w:val="nil"/>
              <w:bottom w:val="single" w:sz="6" w:space="0" w:color="auto"/>
              <w:right w:val="single" w:sz="6" w:space="0" w:color="auto"/>
            </w:tcBorders>
            <w:shd w:val="clear" w:color="auto" w:fill="C6EFCE"/>
            <w:vAlign w:val="center"/>
          </w:tcPr>
          <w:p w14:paraId="2F1299EF" w14:textId="5636CDA1"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C7.2 I2</w:t>
            </w:r>
          </w:p>
        </w:tc>
        <w:tc>
          <w:tcPr>
            <w:tcW w:w="1276" w:type="dxa"/>
            <w:tcBorders>
              <w:top w:val="nil"/>
              <w:left w:val="nil"/>
              <w:bottom w:val="single" w:sz="6" w:space="0" w:color="auto"/>
              <w:right w:val="single" w:sz="6" w:space="0" w:color="auto"/>
            </w:tcBorders>
            <w:shd w:val="clear" w:color="auto" w:fill="C6EFCE"/>
            <w:vAlign w:val="center"/>
          </w:tcPr>
          <w:p w14:paraId="77A8410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365" w:type="dxa"/>
            <w:tcBorders>
              <w:top w:val="nil"/>
              <w:left w:val="nil"/>
              <w:bottom w:val="single" w:sz="6" w:space="0" w:color="auto"/>
              <w:right w:val="single" w:sz="6" w:space="0" w:color="auto"/>
            </w:tcBorders>
            <w:shd w:val="clear" w:color="auto" w:fill="C6EFCE"/>
          </w:tcPr>
          <w:p w14:paraId="0CD2EC1B"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Potpisani ugovori za energetsku obnovu višestambenih zgrada oštećenih u potresima</w:t>
            </w:r>
          </w:p>
        </w:tc>
      </w:tr>
      <w:tr w:rsidR="00095369" w:rsidRPr="0059000D" w14:paraId="6C7D04F7" w14:textId="77777777">
        <w:trPr>
          <w:trHeight w:val="343"/>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4AAEED9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33DCD321"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276" w:type="dxa"/>
            <w:tcBorders>
              <w:top w:val="single" w:sz="6" w:space="0" w:color="auto"/>
              <w:left w:val="nil"/>
              <w:bottom w:val="single" w:sz="6" w:space="0" w:color="auto"/>
              <w:right w:val="single" w:sz="6" w:space="0" w:color="auto"/>
            </w:tcBorders>
            <w:shd w:val="clear" w:color="auto" w:fill="C6EFCE"/>
            <w:vAlign w:val="bottom"/>
            <w:hideMark/>
          </w:tcPr>
          <w:p w14:paraId="399C71B4"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Iznos obroka </w:t>
            </w:r>
          </w:p>
        </w:tc>
        <w:tc>
          <w:tcPr>
            <w:tcW w:w="5365" w:type="dxa"/>
            <w:tcBorders>
              <w:top w:val="single" w:sz="6" w:space="0" w:color="auto"/>
              <w:left w:val="nil"/>
              <w:bottom w:val="single" w:sz="6" w:space="0" w:color="auto"/>
              <w:right w:val="single" w:sz="6" w:space="0" w:color="auto"/>
            </w:tcBorders>
            <w:shd w:val="clear" w:color="auto" w:fill="C6EFCE"/>
            <w:vAlign w:val="bottom"/>
            <w:hideMark/>
          </w:tcPr>
          <w:p w14:paraId="41C2E2A1" w14:textId="21E3C86D"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455 802 533 EUR</w:t>
            </w:r>
          </w:p>
        </w:tc>
      </w:tr>
    </w:tbl>
    <w:p w14:paraId="133466B4"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sz w:val="24"/>
        </w:rPr>
        <w:t> </w:t>
      </w:r>
    </w:p>
    <w:p w14:paraId="5C54BB51" w14:textId="77777777" w:rsidR="00095369" w:rsidRPr="001B6851" w:rsidRDefault="00095369" w:rsidP="00095369">
      <w:pPr>
        <w:pStyle w:val="ListParagraph"/>
        <w:numPr>
          <w:ilvl w:val="0"/>
          <w:numId w:val="51"/>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Treći obrok (potpora u obliku zajma):  </w:t>
      </w:r>
    </w:p>
    <w:tbl>
      <w:tblPr>
        <w:tblW w:w="936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7"/>
        <w:gridCol w:w="1641"/>
        <w:gridCol w:w="1276"/>
        <w:gridCol w:w="5351"/>
      </w:tblGrid>
      <w:tr w:rsidR="00095369" w:rsidRPr="0059000D" w14:paraId="24518DF8" w14:textId="77777777">
        <w:trPr>
          <w:trHeight w:val="948"/>
        </w:trPr>
        <w:tc>
          <w:tcPr>
            <w:tcW w:w="1097"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9A2E78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1"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999A68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696332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351" w:type="dxa"/>
            <w:vMerge w:val="restart"/>
            <w:tcBorders>
              <w:top w:val="single" w:sz="6" w:space="0" w:color="auto"/>
              <w:left w:val="nil"/>
              <w:bottom w:val="single" w:sz="6" w:space="0" w:color="000000"/>
              <w:right w:val="single" w:sz="6" w:space="0" w:color="auto"/>
            </w:tcBorders>
            <w:shd w:val="clear" w:color="auto" w:fill="BDD7EE"/>
            <w:vAlign w:val="center"/>
            <w:hideMark/>
          </w:tcPr>
          <w:p w14:paraId="5B353C2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39C8BFEE" w14:textId="77777777">
        <w:trPr>
          <w:trHeight w:val="450"/>
        </w:trPr>
        <w:tc>
          <w:tcPr>
            <w:tcW w:w="1097"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7C028DA"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1"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1EC1128"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85AFCD4"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351" w:type="dxa"/>
            <w:vMerge/>
            <w:tcBorders>
              <w:top w:val="single" w:sz="6" w:space="0" w:color="auto"/>
              <w:left w:val="nil"/>
              <w:bottom w:val="single" w:sz="6" w:space="0" w:color="000000"/>
              <w:right w:val="single" w:sz="6" w:space="0" w:color="auto"/>
            </w:tcBorders>
            <w:shd w:val="clear" w:color="auto" w:fill="auto"/>
            <w:vAlign w:val="center"/>
            <w:hideMark/>
          </w:tcPr>
          <w:p w14:paraId="05A22DEE"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452B22" w:rsidRPr="0059000D" w14:paraId="6705CF33"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71F5460D" w14:textId="6D2BFF0A" w:rsidR="00452B22" w:rsidRPr="00D922B7" w:rsidRDefault="00452B22" w:rsidP="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154</w:t>
            </w:r>
          </w:p>
        </w:tc>
        <w:tc>
          <w:tcPr>
            <w:tcW w:w="1641" w:type="dxa"/>
            <w:tcBorders>
              <w:top w:val="nil"/>
              <w:left w:val="nil"/>
              <w:bottom w:val="single" w:sz="6" w:space="0" w:color="auto"/>
              <w:right w:val="single" w:sz="6" w:space="0" w:color="auto"/>
            </w:tcBorders>
            <w:shd w:val="clear" w:color="auto" w:fill="C6EFCE"/>
            <w:vAlign w:val="center"/>
          </w:tcPr>
          <w:p w14:paraId="698D620C" w14:textId="4BE415CC" w:rsidR="00452B22" w:rsidRPr="00D922B7" w:rsidRDefault="00452B22" w:rsidP="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C2.1. R1-I2</w:t>
            </w:r>
          </w:p>
        </w:tc>
        <w:tc>
          <w:tcPr>
            <w:tcW w:w="1276" w:type="dxa"/>
            <w:tcBorders>
              <w:top w:val="nil"/>
              <w:left w:val="nil"/>
              <w:bottom w:val="single" w:sz="6" w:space="0" w:color="auto"/>
              <w:right w:val="single" w:sz="6" w:space="0" w:color="auto"/>
            </w:tcBorders>
            <w:shd w:val="clear" w:color="auto" w:fill="C6EFCE"/>
            <w:vAlign w:val="center"/>
          </w:tcPr>
          <w:p w14:paraId="6FF753FA" w14:textId="082513FF" w:rsidR="00452B22" w:rsidRPr="00D922B7" w:rsidRDefault="00452B22" w:rsidP="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351" w:type="dxa"/>
            <w:tcBorders>
              <w:top w:val="nil"/>
              <w:left w:val="nil"/>
              <w:bottom w:val="single" w:sz="6" w:space="0" w:color="auto"/>
              <w:right w:val="single" w:sz="6" w:space="0" w:color="auto"/>
            </w:tcBorders>
            <w:shd w:val="clear" w:color="auto" w:fill="C6EFCE"/>
            <w:vAlign w:val="bottom"/>
          </w:tcPr>
          <w:p w14:paraId="7E5D940E" w14:textId="117CCBCC" w:rsidR="00452B22" w:rsidRPr="00D922B7" w:rsidRDefault="00452B22" w:rsidP="00452B22">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sz w:val="20"/>
              </w:rPr>
              <w:t>Edukacijski moduli za strateško planiranje i procjenu učinka propisa na nacionalnoj, regionalnoj i lokalnoj razini</w:t>
            </w:r>
          </w:p>
        </w:tc>
      </w:tr>
      <w:tr w:rsidR="00452B22" w:rsidRPr="0059000D" w14:paraId="1A1FDF79" w14:textId="77777777" w:rsidTr="009926D5">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64EAC9F1" w14:textId="7BA30063" w:rsidR="00452B22" w:rsidRPr="00D922B7" w:rsidRDefault="00452B22" w:rsidP="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315</w:t>
            </w:r>
          </w:p>
        </w:tc>
        <w:tc>
          <w:tcPr>
            <w:tcW w:w="1641" w:type="dxa"/>
            <w:tcBorders>
              <w:top w:val="nil"/>
              <w:left w:val="nil"/>
              <w:bottom w:val="single" w:sz="6" w:space="0" w:color="auto"/>
              <w:right w:val="single" w:sz="6" w:space="0" w:color="auto"/>
            </w:tcBorders>
            <w:shd w:val="clear" w:color="auto" w:fill="C6EFCE"/>
            <w:vAlign w:val="center"/>
          </w:tcPr>
          <w:p w14:paraId="1E520A67" w14:textId="3752C768" w:rsidR="00452B22" w:rsidRPr="00D922B7" w:rsidRDefault="00452B22" w:rsidP="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C4.3. R3-I2</w:t>
            </w:r>
          </w:p>
        </w:tc>
        <w:tc>
          <w:tcPr>
            <w:tcW w:w="1276" w:type="dxa"/>
            <w:tcBorders>
              <w:top w:val="nil"/>
              <w:left w:val="nil"/>
              <w:bottom w:val="single" w:sz="6" w:space="0" w:color="auto"/>
              <w:right w:val="single" w:sz="6" w:space="0" w:color="auto"/>
            </w:tcBorders>
            <w:shd w:val="clear" w:color="auto" w:fill="C6EFCE"/>
            <w:vAlign w:val="center"/>
          </w:tcPr>
          <w:p w14:paraId="4C65E1D1" w14:textId="7DB8BAEB" w:rsidR="00452B22" w:rsidRPr="00D922B7" w:rsidRDefault="00452B22" w:rsidP="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351" w:type="dxa"/>
            <w:tcBorders>
              <w:top w:val="nil"/>
              <w:left w:val="nil"/>
              <w:bottom w:val="single" w:sz="6" w:space="0" w:color="auto"/>
              <w:right w:val="single" w:sz="6" w:space="0" w:color="auto"/>
            </w:tcBorders>
            <w:shd w:val="clear" w:color="auto" w:fill="C6EFCE"/>
            <w:vAlign w:val="center"/>
          </w:tcPr>
          <w:p w14:paraId="7B94E4F1" w14:textId="32E7B6EB" w:rsidR="00452B22" w:rsidRPr="00D922B7" w:rsidRDefault="00452B22" w:rsidP="00452B22">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sz w:val="20"/>
              </w:rPr>
              <w:t>Jedinstveni informacijski sustav (informacijski sustav SocSkrb)</w:t>
            </w:r>
          </w:p>
        </w:tc>
      </w:tr>
      <w:tr w:rsidR="00095369" w:rsidRPr="0059000D" w14:paraId="7994EDF6"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hideMark/>
          </w:tcPr>
          <w:p w14:paraId="6577D757" w14:textId="1B270563" w:rsidR="00095369" w:rsidRPr="00D922B7" w:rsidRDefault="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373</w:t>
            </w:r>
          </w:p>
        </w:tc>
        <w:tc>
          <w:tcPr>
            <w:tcW w:w="1641" w:type="dxa"/>
            <w:tcBorders>
              <w:top w:val="nil"/>
              <w:left w:val="nil"/>
              <w:bottom w:val="single" w:sz="6" w:space="0" w:color="auto"/>
              <w:right w:val="single" w:sz="6" w:space="0" w:color="auto"/>
            </w:tcBorders>
            <w:shd w:val="clear" w:color="auto" w:fill="C6EFCE"/>
            <w:vAlign w:val="center"/>
            <w:hideMark/>
          </w:tcPr>
          <w:p w14:paraId="418D0231" w14:textId="02CA6CB3"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C1.1.1. R5</w:t>
            </w:r>
          </w:p>
        </w:tc>
        <w:tc>
          <w:tcPr>
            <w:tcW w:w="1276" w:type="dxa"/>
            <w:tcBorders>
              <w:top w:val="nil"/>
              <w:left w:val="nil"/>
              <w:bottom w:val="single" w:sz="6" w:space="0" w:color="auto"/>
              <w:right w:val="single" w:sz="6" w:space="0" w:color="auto"/>
            </w:tcBorders>
            <w:shd w:val="clear" w:color="auto" w:fill="C6EFCE"/>
            <w:vAlign w:val="center"/>
            <w:hideMark/>
          </w:tcPr>
          <w:p w14:paraId="5999E69E"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351" w:type="dxa"/>
            <w:tcBorders>
              <w:top w:val="nil"/>
              <w:left w:val="nil"/>
              <w:bottom w:val="single" w:sz="6" w:space="0" w:color="auto"/>
              <w:right w:val="single" w:sz="6" w:space="0" w:color="auto"/>
            </w:tcBorders>
            <w:shd w:val="clear" w:color="auto" w:fill="C6EFCE"/>
            <w:vAlign w:val="bottom"/>
            <w:hideMark/>
          </w:tcPr>
          <w:p w14:paraId="00312CEB"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sz w:val="20"/>
              </w:rPr>
              <w:t>Donošenje strateškog okvira za razvoj tržišta kapitala u Hrvatskoj i prvog popratnog akcijskog plana</w:t>
            </w:r>
          </w:p>
        </w:tc>
      </w:tr>
      <w:tr w:rsidR="00095369" w:rsidRPr="0059000D" w14:paraId="20B65326"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hideMark/>
          </w:tcPr>
          <w:p w14:paraId="6179F838" w14:textId="2C644F06" w:rsidR="00095369" w:rsidRPr="00D922B7" w:rsidRDefault="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383</w:t>
            </w:r>
          </w:p>
        </w:tc>
        <w:tc>
          <w:tcPr>
            <w:tcW w:w="1641" w:type="dxa"/>
            <w:tcBorders>
              <w:top w:val="nil"/>
              <w:left w:val="nil"/>
              <w:bottom w:val="single" w:sz="6" w:space="0" w:color="auto"/>
              <w:right w:val="single" w:sz="6" w:space="0" w:color="auto"/>
            </w:tcBorders>
            <w:shd w:val="clear" w:color="auto" w:fill="C6EFCE"/>
            <w:vAlign w:val="center"/>
            <w:hideMark/>
          </w:tcPr>
          <w:p w14:paraId="1F345C54" w14:textId="76FC23FE"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w:t>
            </w:r>
          </w:p>
        </w:tc>
        <w:tc>
          <w:tcPr>
            <w:tcW w:w="1276" w:type="dxa"/>
            <w:tcBorders>
              <w:top w:val="nil"/>
              <w:left w:val="nil"/>
              <w:bottom w:val="single" w:sz="6" w:space="0" w:color="auto"/>
              <w:right w:val="single" w:sz="6" w:space="0" w:color="auto"/>
            </w:tcBorders>
            <w:shd w:val="clear" w:color="auto" w:fill="C6EFCE"/>
            <w:vAlign w:val="center"/>
            <w:hideMark/>
          </w:tcPr>
          <w:p w14:paraId="36C6D02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351" w:type="dxa"/>
            <w:tcBorders>
              <w:top w:val="nil"/>
              <w:left w:val="nil"/>
              <w:bottom w:val="single" w:sz="6" w:space="0" w:color="auto"/>
              <w:right w:val="single" w:sz="6" w:space="0" w:color="auto"/>
            </w:tcBorders>
            <w:shd w:val="clear" w:color="auto" w:fill="C6EFCE"/>
            <w:vAlign w:val="bottom"/>
            <w:hideMark/>
          </w:tcPr>
          <w:p w14:paraId="042BD5D1"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sz w:val="20"/>
              </w:rPr>
              <w:t>Osnovano nacionalno tijelo za praćenje gubitaka vode</w:t>
            </w:r>
          </w:p>
        </w:tc>
      </w:tr>
      <w:tr w:rsidR="00095369" w:rsidRPr="0059000D" w14:paraId="2BC53B68"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0DA09054" w14:textId="78A4C5B8" w:rsidR="00095369" w:rsidRPr="00D922B7" w:rsidRDefault="00452B22">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386</w:t>
            </w:r>
          </w:p>
        </w:tc>
        <w:tc>
          <w:tcPr>
            <w:tcW w:w="1641" w:type="dxa"/>
            <w:tcBorders>
              <w:top w:val="nil"/>
              <w:left w:val="nil"/>
              <w:bottom w:val="single" w:sz="6" w:space="0" w:color="auto"/>
              <w:right w:val="single" w:sz="6" w:space="0" w:color="auto"/>
            </w:tcBorders>
            <w:shd w:val="clear" w:color="auto" w:fill="C6EFCE"/>
            <w:vAlign w:val="center"/>
          </w:tcPr>
          <w:p w14:paraId="63CDB0D8" w14:textId="494D302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w:t>
            </w:r>
          </w:p>
        </w:tc>
        <w:tc>
          <w:tcPr>
            <w:tcW w:w="1276" w:type="dxa"/>
            <w:tcBorders>
              <w:top w:val="nil"/>
              <w:left w:val="nil"/>
              <w:bottom w:val="single" w:sz="6" w:space="0" w:color="auto"/>
              <w:right w:val="single" w:sz="6" w:space="0" w:color="auto"/>
            </w:tcBorders>
            <w:shd w:val="clear" w:color="auto" w:fill="C6EFCE"/>
            <w:vAlign w:val="center"/>
          </w:tcPr>
          <w:p w14:paraId="65062F8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351" w:type="dxa"/>
            <w:tcBorders>
              <w:top w:val="nil"/>
              <w:left w:val="nil"/>
              <w:bottom w:val="single" w:sz="6" w:space="0" w:color="auto"/>
              <w:right w:val="single" w:sz="6" w:space="0" w:color="auto"/>
            </w:tcBorders>
            <w:shd w:val="clear" w:color="auto" w:fill="C6EFCE"/>
            <w:vAlign w:val="bottom"/>
          </w:tcPr>
          <w:p w14:paraId="395923F5" w14:textId="77777777" w:rsidR="00095369" w:rsidRPr="00D922B7" w:rsidRDefault="00095369">
            <w:pPr>
              <w:spacing w:after="0" w:line="240" w:lineRule="auto"/>
              <w:textAlignment w:val="baseline"/>
              <w:rPr>
                <w:rFonts w:ascii="Times New Roman" w:eastAsia="Times New Roman" w:hAnsi="Times New Roman" w:cs="Times New Roman"/>
                <w:noProof/>
                <w:sz w:val="20"/>
                <w:szCs w:val="20"/>
              </w:rPr>
            </w:pPr>
            <w:r>
              <w:rPr>
                <w:rFonts w:ascii="Times New Roman" w:hAnsi="Times New Roman"/>
                <w:noProof/>
                <w:sz w:val="20"/>
              </w:rPr>
              <w:t>Izgradnja kapaciteta Vijeća za vodne usluge</w:t>
            </w:r>
          </w:p>
        </w:tc>
      </w:tr>
      <w:tr w:rsidR="00095369" w:rsidRPr="0059000D" w14:paraId="1C48E3CC"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75FA5A45" w14:textId="749D0D47" w:rsidR="00095369" w:rsidRPr="00D922B7" w:rsidRDefault="00452B22">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402</w:t>
            </w:r>
          </w:p>
        </w:tc>
        <w:tc>
          <w:tcPr>
            <w:tcW w:w="1641" w:type="dxa"/>
            <w:tcBorders>
              <w:top w:val="nil"/>
              <w:left w:val="nil"/>
              <w:bottom w:val="single" w:sz="6" w:space="0" w:color="auto"/>
              <w:right w:val="single" w:sz="6" w:space="0" w:color="auto"/>
            </w:tcBorders>
            <w:shd w:val="clear" w:color="auto" w:fill="C6EFCE"/>
            <w:vAlign w:val="center"/>
          </w:tcPr>
          <w:p w14:paraId="2065F9E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C6.1. R7</w:t>
            </w:r>
          </w:p>
          <w:p w14:paraId="03312867"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p>
        </w:tc>
        <w:tc>
          <w:tcPr>
            <w:tcW w:w="1276" w:type="dxa"/>
            <w:tcBorders>
              <w:top w:val="nil"/>
              <w:left w:val="nil"/>
              <w:bottom w:val="single" w:sz="6" w:space="0" w:color="auto"/>
              <w:right w:val="single" w:sz="6" w:space="0" w:color="auto"/>
            </w:tcBorders>
            <w:shd w:val="clear" w:color="auto" w:fill="C6EFCE"/>
            <w:vAlign w:val="center"/>
          </w:tcPr>
          <w:p w14:paraId="0FE7B935" w14:textId="77777777" w:rsidR="00095369" w:rsidRPr="00D922B7" w:rsidRDefault="00095369">
            <w:pPr>
              <w:spacing w:after="0" w:line="240" w:lineRule="auto"/>
              <w:jc w:val="center"/>
              <w:textAlignment w:val="baseline"/>
              <w:rPr>
                <w:rFonts w:ascii="Times New Roman" w:hAnsi="Times New Roman" w:cs="Times New Roman"/>
                <w:noProof/>
                <w:sz w:val="20"/>
                <w:szCs w:val="20"/>
              </w:rPr>
            </w:pPr>
            <w:r>
              <w:rPr>
                <w:rFonts w:ascii="Times New Roman" w:hAnsi="Times New Roman"/>
                <w:noProof/>
                <w:sz w:val="20"/>
              </w:rPr>
              <w:t>Ključna etapa</w:t>
            </w:r>
          </w:p>
        </w:tc>
        <w:tc>
          <w:tcPr>
            <w:tcW w:w="5351" w:type="dxa"/>
            <w:tcBorders>
              <w:top w:val="nil"/>
              <w:left w:val="nil"/>
              <w:bottom w:val="single" w:sz="6" w:space="0" w:color="auto"/>
              <w:right w:val="single" w:sz="6" w:space="0" w:color="auto"/>
            </w:tcBorders>
            <w:shd w:val="clear" w:color="auto" w:fill="C6EFCE"/>
            <w:vAlign w:val="center"/>
          </w:tcPr>
          <w:p w14:paraId="47B8EC2A" w14:textId="77777777" w:rsidR="00095369" w:rsidRPr="00D922B7" w:rsidRDefault="00095369">
            <w:pPr>
              <w:spacing w:after="0" w:line="240" w:lineRule="auto"/>
              <w:textAlignment w:val="baseline"/>
              <w:rPr>
                <w:rFonts w:ascii="Times New Roman" w:hAnsi="Times New Roman" w:cs="Times New Roman"/>
                <w:noProof/>
                <w:sz w:val="20"/>
                <w:szCs w:val="20"/>
              </w:rPr>
            </w:pPr>
            <w:r>
              <w:rPr>
                <w:rFonts w:ascii="Times New Roman" w:hAnsi="Times New Roman"/>
                <w:noProof/>
                <w:sz w:val="20"/>
              </w:rPr>
              <w:t xml:space="preserve">Potpisani ugovori o provedbi pilot-projekta  </w:t>
            </w:r>
          </w:p>
        </w:tc>
      </w:tr>
      <w:tr w:rsidR="00095369" w:rsidRPr="0059000D" w14:paraId="4199CCAF" w14:textId="77777777">
        <w:trPr>
          <w:trHeight w:val="316"/>
        </w:trPr>
        <w:tc>
          <w:tcPr>
            <w:tcW w:w="1097"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6A2C2B4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 </w:t>
            </w:r>
          </w:p>
        </w:tc>
        <w:tc>
          <w:tcPr>
            <w:tcW w:w="1641" w:type="dxa"/>
            <w:tcBorders>
              <w:top w:val="single" w:sz="6" w:space="0" w:color="auto"/>
              <w:left w:val="nil"/>
              <w:bottom w:val="single" w:sz="6" w:space="0" w:color="auto"/>
              <w:right w:val="single" w:sz="6" w:space="0" w:color="auto"/>
            </w:tcBorders>
            <w:shd w:val="clear" w:color="auto" w:fill="C6EFCE"/>
            <w:vAlign w:val="bottom"/>
            <w:hideMark/>
          </w:tcPr>
          <w:p w14:paraId="3B85BCFB"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w:t>
            </w:r>
          </w:p>
        </w:tc>
        <w:tc>
          <w:tcPr>
            <w:tcW w:w="1276" w:type="dxa"/>
            <w:tcBorders>
              <w:top w:val="single" w:sz="6" w:space="0" w:color="auto"/>
              <w:left w:val="nil"/>
              <w:bottom w:val="single" w:sz="6" w:space="0" w:color="auto"/>
              <w:right w:val="single" w:sz="6" w:space="0" w:color="auto"/>
            </w:tcBorders>
            <w:shd w:val="clear" w:color="auto" w:fill="C6EFCE"/>
            <w:vAlign w:val="bottom"/>
            <w:hideMark/>
          </w:tcPr>
          <w:p w14:paraId="14AFAFC5"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Iznos obroka </w:t>
            </w:r>
          </w:p>
        </w:tc>
        <w:tc>
          <w:tcPr>
            <w:tcW w:w="5351" w:type="dxa"/>
            <w:tcBorders>
              <w:top w:val="single" w:sz="6" w:space="0" w:color="auto"/>
              <w:left w:val="nil"/>
              <w:bottom w:val="single" w:sz="6" w:space="0" w:color="auto"/>
              <w:right w:val="single" w:sz="6" w:space="0" w:color="auto"/>
            </w:tcBorders>
            <w:shd w:val="clear" w:color="auto" w:fill="C6EFCE"/>
            <w:vAlign w:val="bottom"/>
            <w:hideMark/>
          </w:tcPr>
          <w:p w14:paraId="32F6D017" w14:textId="6E8650AD"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531 769 622 EUR</w:t>
            </w:r>
          </w:p>
        </w:tc>
      </w:tr>
    </w:tbl>
    <w:p w14:paraId="444E369B"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sz w:val="24"/>
        </w:rPr>
        <w:t> </w:t>
      </w:r>
    </w:p>
    <w:p w14:paraId="0791BAC5" w14:textId="77777777" w:rsidR="00095369" w:rsidRPr="004E1B30" w:rsidRDefault="00095369" w:rsidP="00095369">
      <w:pPr>
        <w:pStyle w:val="ListParagraph"/>
        <w:numPr>
          <w:ilvl w:val="0"/>
          <w:numId w:val="51"/>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Četvrti obrok (potpora u obliku zajma):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134"/>
        <w:gridCol w:w="5529"/>
      </w:tblGrid>
      <w:tr w:rsidR="00095369" w:rsidRPr="0059000D" w14:paraId="1FD5D86D" w14:textId="77777777">
        <w:trPr>
          <w:trHeight w:val="1088"/>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CB6BE9A"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9BB0C2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13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7CD6DA9"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529" w:type="dxa"/>
            <w:vMerge w:val="restart"/>
            <w:tcBorders>
              <w:top w:val="single" w:sz="6" w:space="0" w:color="auto"/>
              <w:left w:val="nil"/>
              <w:bottom w:val="single" w:sz="6" w:space="0" w:color="000000"/>
              <w:right w:val="single" w:sz="6" w:space="0" w:color="auto"/>
            </w:tcBorders>
            <w:shd w:val="clear" w:color="auto" w:fill="BDD7EE"/>
            <w:vAlign w:val="center"/>
            <w:hideMark/>
          </w:tcPr>
          <w:p w14:paraId="4EF4C928"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50206A21" w14:textId="77777777">
        <w:trPr>
          <w:trHeight w:val="493"/>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9DC9FB8"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FE832AE"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13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9ED1913"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529" w:type="dxa"/>
            <w:vMerge/>
            <w:tcBorders>
              <w:top w:val="single" w:sz="6" w:space="0" w:color="auto"/>
              <w:left w:val="nil"/>
              <w:bottom w:val="single" w:sz="6" w:space="0" w:color="000000"/>
              <w:right w:val="single" w:sz="6" w:space="0" w:color="auto"/>
            </w:tcBorders>
            <w:shd w:val="clear" w:color="auto" w:fill="auto"/>
            <w:vAlign w:val="center"/>
            <w:hideMark/>
          </w:tcPr>
          <w:p w14:paraId="37E7BBE7"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095369" w:rsidRPr="0059000D" w14:paraId="2AA76867"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06944C55" w14:textId="288687D5" w:rsidR="00095369" w:rsidRPr="00D922B7" w:rsidRDefault="00B44ECC">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375</w:t>
            </w:r>
          </w:p>
        </w:tc>
        <w:tc>
          <w:tcPr>
            <w:tcW w:w="1642" w:type="dxa"/>
            <w:tcBorders>
              <w:top w:val="nil"/>
              <w:left w:val="nil"/>
              <w:bottom w:val="single" w:sz="6" w:space="0" w:color="auto"/>
              <w:right w:val="single" w:sz="6" w:space="0" w:color="auto"/>
            </w:tcBorders>
            <w:shd w:val="clear" w:color="auto" w:fill="C6EFCE"/>
            <w:vAlign w:val="center"/>
            <w:hideMark/>
          </w:tcPr>
          <w:p w14:paraId="02411247"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C1.1.1. R7</w:t>
            </w:r>
          </w:p>
        </w:tc>
        <w:tc>
          <w:tcPr>
            <w:tcW w:w="1134" w:type="dxa"/>
            <w:tcBorders>
              <w:top w:val="nil"/>
              <w:left w:val="nil"/>
              <w:bottom w:val="single" w:sz="6" w:space="0" w:color="auto"/>
              <w:right w:val="single" w:sz="6" w:space="0" w:color="auto"/>
            </w:tcBorders>
            <w:shd w:val="clear" w:color="auto" w:fill="C6EFCE"/>
            <w:vAlign w:val="center"/>
            <w:hideMark/>
          </w:tcPr>
          <w:p w14:paraId="1566E68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529" w:type="dxa"/>
            <w:tcBorders>
              <w:top w:val="nil"/>
              <w:left w:val="nil"/>
              <w:bottom w:val="single" w:sz="6" w:space="0" w:color="auto"/>
              <w:right w:val="single" w:sz="6" w:space="0" w:color="auto"/>
            </w:tcBorders>
            <w:shd w:val="clear" w:color="auto" w:fill="C6EFCE"/>
            <w:vAlign w:val="bottom"/>
            <w:hideMark/>
          </w:tcPr>
          <w:p w14:paraId="27A61CB1"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xml:space="preserve"> Donošenje prvog akcijskog plana za potporu ciljevima održivog financiranja  </w:t>
            </w:r>
          </w:p>
        </w:tc>
      </w:tr>
      <w:tr w:rsidR="00095369" w:rsidRPr="0059000D" w14:paraId="635077F5"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35CF07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320</w:t>
            </w:r>
          </w:p>
        </w:tc>
        <w:tc>
          <w:tcPr>
            <w:tcW w:w="1642" w:type="dxa"/>
            <w:tcBorders>
              <w:top w:val="nil"/>
              <w:left w:val="nil"/>
              <w:bottom w:val="single" w:sz="6" w:space="0" w:color="auto"/>
              <w:right w:val="single" w:sz="6" w:space="0" w:color="auto"/>
            </w:tcBorders>
            <w:shd w:val="clear" w:color="auto" w:fill="C6EFCE"/>
            <w:vAlign w:val="center"/>
            <w:hideMark/>
          </w:tcPr>
          <w:p w14:paraId="4F80DB4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C5.1. R1-I1</w:t>
            </w:r>
          </w:p>
        </w:tc>
        <w:tc>
          <w:tcPr>
            <w:tcW w:w="1134" w:type="dxa"/>
            <w:tcBorders>
              <w:top w:val="nil"/>
              <w:left w:val="nil"/>
              <w:bottom w:val="single" w:sz="6" w:space="0" w:color="auto"/>
              <w:right w:val="single" w:sz="6" w:space="0" w:color="auto"/>
            </w:tcBorders>
            <w:shd w:val="clear" w:color="auto" w:fill="C6EFCE"/>
            <w:vAlign w:val="center"/>
            <w:hideMark/>
          </w:tcPr>
          <w:p w14:paraId="1D69A79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529" w:type="dxa"/>
            <w:tcBorders>
              <w:top w:val="nil"/>
              <w:left w:val="nil"/>
              <w:bottom w:val="single" w:sz="6" w:space="0" w:color="auto"/>
              <w:right w:val="single" w:sz="6" w:space="0" w:color="auto"/>
            </w:tcBorders>
            <w:shd w:val="clear" w:color="auto" w:fill="C6EFCE"/>
            <w:hideMark/>
          </w:tcPr>
          <w:p w14:paraId="794EE913"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 xml:space="preserve">Pristup ljekarničkoj skrbi i lijekovima </w:t>
            </w:r>
          </w:p>
        </w:tc>
      </w:tr>
      <w:tr w:rsidR="00095369" w:rsidRPr="0059000D" w14:paraId="52B5F10A"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116EE2A" w14:textId="248824B8" w:rsidR="00095369" w:rsidRPr="00D922B7" w:rsidRDefault="00960D67">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424</w:t>
            </w:r>
          </w:p>
        </w:tc>
        <w:tc>
          <w:tcPr>
            <w:tcW w:w="1642" w:type="dxa"/>
            <w:tcBorders>
              <w:top w:val="nil"/>
              <w:left w:val="nil"/>
              <w:bottom w:val="single" w:sz="6" w:space="0" w:color="auto"/>
              <w:right w:val="single" w:sz="6" w:space="0" w:color="auto"/>
            </w:tcBorders>
            <w:shd w:val="clear" w:color="auto" w:fill="C6EFCE"/>
            <w:vAlign w:val="center"/>
          </w:tcPr>
          <w:p w14:paraId="07BB73EA" w14:textId="2B8A122D"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I3</w:t>
            </w:r>
          </w:p>
        </w:tc>
        <w:tc>
          <w:tcPr>
            <w:tcW w:w="1134" w:type="dxa"/>
            <w:tcBorders>
              <w:top w:val="nil"/>
              <w:left w:val="nil"/>
              <w:bottom w:val="single" w:sz="6" w:space="0" w:color="auto"/>
              <w:right w:val="single" w:sz="6" w:space="0" w:color="auto"/>
            </w:tcBorders>
            <w:shd w:val="clear" w:color="auto" w:fill="C6EFCE"/>
            <w:vAlign w:val="center"/>
          </w:tcPr>
          <w:p w14:paraId="3D5A836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546F73AF"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xml:space="preserve">Izgradnja proširenog plinovoda Zlobin–Bosiljevo </w:t>
            </w:r>
          </w:p>
        </w:tc>
      </w:tr>
      <w:tr w:rsidR="00095369" w:rsidRPr="0059000D" w14:paraId="24982B3F"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7043715" w14:textId="6D4A4918" w:rsidR="00095369" w:rsidRPr="00D922B7" w:rsidRDefault="00407EC0">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433</w:t>
            </w:r>
          </w:p>
        </w:tc>
        <w:tc>
          <w:tcPr>
            <w:tcW w:w="1642" w:type="dxa"/>
            <w:tcBorders>
              <w:top w:val="nil"/>
              <w:left w:val="nil"/>
              <w:bottom w:val="single" w:sz="6" w:space="0" w:color="auto"/>
              <w:right w:val="single" w:sz="6" w:space="0" w:color="auto"/>
            </w:tcBorders>
            <w:shd w:val="clear" w:color="auto" w:fill="C6EFCE"/>
            <w:vAlign w:val="center"/>
          </w:tcPr>
          <w:p w14:paraId="67C1ECE7" w14:textId="7C0259FA" w:rsidR="00095369" w:rsidRPr="00D922B7" w:rsidRDefault="00095369" w:rsidP="00F764DE">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C7.2. R4</w:t>
            </w:r>
          </w:p>
        </w:tc>
        <w:tc>
          <w:tcPr>
            <w:tcW w:w="1134" w:type="dxa"/>
            <w:tcBorders>
              <w:top w:val="nil"/>
              <w:left w:val="nil"/>
              <w:bottom w:val="single" w:sz="6" w:space="0" w:color="auto"/>
              <w:right w:val="single" w:sz="6" w:space="0" w:color="auto"/>
            </w:tcBorders>
            <w:shd w:val="clear" w:color="auto" w:fill="C6EFCE"/>
            <w:vAlign w:val="center"/>
          </w:tcPr>
          <w:p w14:paraId="15AA56AD"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529" w:type="dxa"/>
            <w:tcBorders>
              <w:top w:val="nil"/>
              <w:left w:val="nil"/>
              <w:bottom w:val="single" w:sz="6" w:space="0" w:color="auto"/>
              <w:right w:val="single" w:sz="6" w:space="0" w:color="auto"/>
            </w:tcBorders>
            <w:shd w:val="clear" w:color="auto" w:fill="C6EFCE"/>
          </w:tcPr>
          <w:p w14:paraId="42CBEEE2"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xml:space="preserve">Program obrazovanja za radnike iz trećih zemalja </w:t>
            </w:r>
          </w:p>
        </w:tc>
      </w:tr>
      <w:tr w:rsidR="00095369" w:rsidRPr="0059000D" w14:paraId="2AAE7A61" w14:textId="77777777">
        <w:trPr>
          <w:trHeight w:val="362"/>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7CBFCCE0"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6523A808"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134" w:type="dxa"/>
            <w:tcBorders>
              <w:top w:val="single" w:sz="6" w:space="0" w:color="auto"/>
              <w:left w:val="nil"/>
              <w:bottom w:val="single" w:sz="6" w:space="0" w:color="auto"/>
              <w:right w:val="single" w:sz="6" w:space="0" w:color="auto"/>
            </w:tcBorders>
            <w:shd w:val="clear" w:color="auto" w:fill="C6EFCE"/>
            <w:vAlign w:val="bottom"/>
            <w:hideMark/>
          </w:tcPr>
          <w:p w14:paraId="23F22216"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Iznos obroka </w:t>
            </w:r>
          </w:p>
        </w:tc>
        <w:tc>
          <w:tcPr>
            <w:tcW w:w="5529" w:type="dxa"/>
            <w:tcBorders>
              <w:top w:val="single" w:sz="6" w:space="0" w:color="auto"/>
              <w:left w:val="nil"/>
              <w:bottom w:val="single" w:sz="6" w:space="0" w:color="auto"/>
              <w:right w:val="single" w:sz="6" w:space="0" w:color="auto"/>
            </w:tcBorders>
            <w:shd w:val="clear" w:color="auto" w:fill="C6EFCE"/>
            <w:vAlign w:val="bottom"/>
            <w:hideMark/>
          </w:tcPr>
          <w:p w14:paraId="1B125E0B" w14:textId="5C664D6E"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911 605 065 EUR</w:t>
            </w:r>
          </w:p>
        </w:tc>
      </w:tr>
    </w:tbl>
    <w:p w14:paraId="02999F6D" w14:textId="77777777" w:rsidR="00095369" w:rsidRDefault="00095369" w:rsidP="00095369">
      <w:pPr>
        <w:spacing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w:t>
      </w:r>
    </w:p>
    <w:p w14:paraId="5A85D750" w14:textId="77777777" w:rsidR="00095369" w:rsidRPr="001B6851" w:rsidRDefault="00095369" w:rsidP="00095369">
      <w:pPr>
        <w:pStyle w:val="ListParagraph"/>
        <w:numPr>
          <w:ilvl w:val="0"/>
          <w:numId w:val="51"/>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Peti obrok (potpora u obliku zajma):</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134"/>
        <w:gridCol w:w="5529"/>
      </w:tblGrid>
      <w:tr w:rsidR="00095369" w:rsidRPr="0059000D" w14:paraId="557418AE" w14:textId="77777777" w:rsidTr="00074A21">
        <w:trPr>
          <w:trHeight w:val="108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BA1F32D"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EFAF16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13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2C0B86AF"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529" w:type="dxa"/>
            <w:vMerge w:val="restart"/>
            <w:tcBorders>
              <w:top w:val="single" w:sz="6" w:space="0" w:color="auto"/>
              <w:left w:val="nil"/>
              <w:bottom w:val="single" w:sz="6" w:space="0" w:color="000000"/>
              <w:right w:val="single" w:sz="6" w:space="0" w:color="auto"/>
            </w:tcBorders>
            <w:shd w:val="clear" w:color="auto" w:fill="BDD7EE"/>
            <w:vAlign w:val="center"/>
            <w:hideMark/>
          </w:tcPr>
          <w:p w14:paraId="513ABD11"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69176282" w14:textId="77777777">
        <w:trPr>
          <w:trHeight w:val="493"/>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1E3AD71"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681A6E8"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13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6ED10D5"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529" w:type="dxa"/>
            <w:vMerge/>
            <w:tcBorders>
              <w:top w:val="single" w:sz="6" w:space="0" w:color="auto"/>
              <w:left w:val="nil"/>
              <w:bottom w:val="single" w:sz="6" w:space="0" w:color="000000"/>
              <w:right w:val="single" w:sz="6" w:space="0" w:color="auto"/>
            </w:tcBorders>
            <w:shd w:val="clear" w:color="auto" w:fill="auto"/>
            <w:vAlign w:val="center"/>
            <w:hideMark/>
          </w:tcPr>
          <w:p w14:paraId="2FABB3A4"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6F1135" w:rsidRPr="0059000D" w14:paraId="020B6848" w14:textId="77777777" w:rsidTr="006F1135">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8027706" w14:textId="27C80266" w:rsidR="006F1135" w:rsidRPr="00D922B7" w:rsidRDefault="006F1135" w:rsidP="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155</w:t>
            </w:r>
          </w:p>
        </w:tc>
        <w:tc>
          <w:tcPr>
            <w:tcW w:w="1642" w:type="dxa"/>
            <w:tcBorders>
              <w:top w:val="nil"/>
              <w:left w:val="nil"/>
              <w:bottom w:val="single" w:sz="6" w:space="0" w:color="auto"/>
              <w:right w:val="single" w:sz="6" w:space="0" w:color="auto"/>
            </w:tcBorders>
            <w:shd w:val="clear" w:color="auto" w:fill="C6EFCE"/>
            <w:vAlign w:val="center"/>
          </w:tcPr>
          <w:p w14:paraId="619CDD32" w14:textId="3F10BCD3" w:rsidR="006F1135" w:rsidRPr="00D922B7" w:rsidRDefault="006F1135" w:rsidP="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C2.1. R1-I2</w:t>
            </w:r>
          </w:p>
        </w:tc>
        <w:tc>
          <w:tcPr>
            <w:tcW w:w="1134" w:type="dxa"/>
            <w:tcBorders>
              <w:top w:val="nil"/>
              <w:left w:val="nil"/>
              <w:bottom w:val="single" w:sz="6" w:space="0" w:color="auto"/>
              <w:right w:val="single" w:sz="6" w:space="0" w:color="auto"/>
            </w:tcBorders>
            <w:shd w:val="clear" w:color="auto" w:fill="C6EFCE"/>
            <w:vAlign w:val="center"/>
          </w:tcPr>
          <w:p w14:paraId="59DEBF76" w14:textId="0028C638" w:rsidR="006F1135" w:rsidRPr="00D922B7" w:rsidRDefault="006F1135" w:rsidP="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529" w:type="dxa"/>
            <w:tcBorders>
              <w:top w:val="nil"/>
              <w:left w:val="nil"/>
              <w:bottom w:val="single" w:sz="6" w:space="0" w:color="auto"/>
              <w:right w:val="single" w:sz="6" w:space="0" w:color="auto"/>
            </w:tcBorders>
            <w:shd w:val="clear" w:color="auto" w:fill="C6EFCE"/>
            <w:vAlign w:val="center"/>
          </w:tcPr>
          <w:p w14:paraId="5163F06D" w14:textId="37490479" w:rsidR="006F1135" w:rsidRPr="00D922B7" w:rsidRDefault="006F1135" w:rsidP="006F1135">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Edukacije službenika povezanih sa sustavom strateškog planiranja i provedbe učinaka propisa na nacionalnoj i regionalnoj razini</w:t>
            </w:r>
          </w:p>
        </w:tc>
      </w:tr>
      <w:tr w:rsidR="006F1135" w:rsidRPr="0059000D" w14:paraId="79E4F1D4" w14:textId="77777777" w:rsidTr="006F1135">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AAC4E1A" w14:textId="40D8AD1F" w:rsidR="006F1135" w:rsidRPr="00D922B7" w:rsidRDefault="006F1135" w:rsidP="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321</w:t>
            </w:r>
          </w:p>
        </w:tc>
        <w:tc>
          <w:tcPr>
            <w:tcW w:w="1642" w:type="dxa"/>
            <w:tcBorders>
              <w:top w:val="nil"/>
              <w:left w:val="nil"/>
              <w:bottom w:val="single" w:sz="6" w:space="0" w:color="auto"/>
              <w:right w:val="single" w:sz="6" w:space="0" w:color="auto"/>
            </w:tcBorders>
            <w:shd w:val="clear" w:color="auto" w:fill="C6EFCE"/>
            <w:vAlign w:val="center"/>
          </w:tcPr>
          <w:p w14:paraId="0F3CFAEA" w14:textId="53764465" w:rsidR="006F1135" w:rsidRPr="00D922B7" w:rsidRDefault="006F1135" w:rsidP="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C5.1. R1-I2</w:t>
            </w:r>
          </w:p>
        </w:tc>
        <w:tc>
          <w:tcPr>
            <w:tcW w:w="1134" w:type="dxa"/>
            <w:tcBorders>
              <w:top w:val="nil"/>
              <w:left w:val="nil"/>
              <w:bottom w:val="single" w:sz="6" w:space="0" w:color="auto"/>
              <w:right w:val="single" w:sz="6" w:space="0" w:color="auto"/>
            </w:tcBorders>
            <w:shd w:val="clear" w:color="auto" w:fill="C6EFCE"/>
            <w:vAlign w:val="center"/>
          </w:tcPr>
          <w:p w14:paraId="3172A7B5" w14:textId="7B2AB120" w:rsidR="006F1135" w:rsidRPr="00D922B7" w:rsidRDefault="006F1135" w:rsidP="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0000"/>
                <w:sz w:val="20"/>
              </w:rPr>
              <w:t>Ciljna vrijednost</w:t>
            </w:r>
          </w:p>
        </w:tc>
        <w:tc>
          <w:tcPr>
            <w:tcW w:w="5529" w:type="dxa"/>
            <w:tcBorders>
              <w:top w:val="nil"/>
              <w:left w:val="nil"/>
              <w:bottom w:val="single" w:sz="6" w:space="0" w:color="auto"/>
              <w:right w:val="single" w:sz="6" w:space="0" w:color="auto"/>
            </w:tcBorders>
            <w:shd w:val="clear" w:color="auto" w:fill="C6EFCE"/>
          </w:tcPr>
          <w:p w14:paraId="1698AB01" w14:textId="2FDA220B" w:rsidR="006F1135" w:rsidRPr="00D922B7" w:rsidRDefault="006F1135" w:rsidP="006F1135">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0000"/>
                <w:sz w:val="20"/>
              </w:rPr>
              <w:t xml:space="preserve">Pružanje ambulantne izvanbolničke primarne zdravstvene zaštite </w:t>
            </w:r>
          </w:p>
        </w:tc>
      </w:tr>
      <w:tr w:rsidR="00095369" w:rsidRPr="0059000D" w14:paraId="15D2D96D" w14:textId="77777777" w:rsidTr="00F764DE">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12AFD74" w14:textId="4D983F2D" w:rsidR="00095369" w:rsidRPr="00D922B7" w:rsidRDefault="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384</w:t>
            </w:r>
          </w:p>
        </w:tc>
        <w:tc>
          <w:tcPr>
            <w:tcW w:w="1642" w:type="dxa"/>
            <w:tcBorders>
              <w:top w:val="nil"/>
              <w:left w:val="nil"/>
              <w:bottom w:val="single" w:sz="6" w:space="0" w:color="auto"/>
              <w:right w:val="single" w:sz="6" w:space="0" w:color="auto"/>
            </w:tcBorders>
            <w:shd w:val="clear" w:color="auto" w:fill="C6EFCE"/>
            <w:vAlign w:val="center"/>
            <w:hideMark/>
          </w:tcPr>
          <w:p w14:paraId="294A1805" w14:textId="08334D6F"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w:t>
            </w:r>
          </w:p>
        </w:tc>
        <w:tc>
          <w:tcPr>
            <w:tcW w:w="1134" w:type="dxa"/>
            <w:tcBorders>
              <w:top w:val="nil"/>
              <w:left w:val="nil"/>
              <w:bottom w:val="single" w:sz="6" w:space="0" w:color="auto"/>
              <w:right w:val="single" w:sz="6" w:space="0" w:color="auto"/>
            </w:tcBorders>
            <w:shd w:val="clear" w:color="auto" w:fill="C6EFCE"/>
            <w:vAlign w:val="center"/>
            <w:hideMark/>
          </w:tcPr>
          <w:p w14:paraId="1A88393B"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hideMark/>
          </w:tcPr>
          <w:p w14:paraId="770855DC"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Donošenje akcijskih planova za smanjenje gubitaka vode od strane isporučitelja vodnih usluga</w:t>
            </w:r>
          </w:p>
        </w:tc>
      </w:tr>
      <w:tr w:rsidR="00095369" w:rsidRPr="0059000D" w14:paraId="44FF3A92" w14:textId="77777777" w:rsidTr="00F764DE">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54EBF1DA" w14:textId="60D81FAE" w:rsidR="00095369" w:rsidRPr="00D922B7" w:rsidRDefault="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389</w:t>
            </w:r>
          </w:p>
        </w:tc>
        <w:tc>
          <w:tcPr>
            <w:tcW w:w="1642" w:type="dxa"/>
            <w:tcBorders>
              <w:top w:val="nil"/>
              <w:left w:val="nil"/>
              <w:bottom w:val="single" w:sz="6" w:space="0" w:color="auto"/>
              <w:right w:val="single" w:sz="6" w:space="0" w:color="auto"/>
            </w:tcBorders>
            <w:shd w:val="clear" w:color="auto" w:fill="C6EFCE"/>
            <w:vAlign w:val="center"/>
            <w:hideMark/>
          </w:tcPr>
          <w:p w14:paraId="7AAA2E6E" w14:textId="178730FC"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w:t>
            </w:r>
          </w:p>
        </w:tc>
        <w:tc>
          <w:tcPr>
            <w:tcW w:w="1134" w:type="dxa"/>
            <w:tcBorders>
              <w:top w:val="nil"/>
              <w:left w:val="nil"/>
              <w:bottom w:val="single" w:sz="6" w:space="0" w:color="auto"/>
              <w:right w:val="single" w:sz="6" w:space="0" w:color="auto"/>
            </w:tcBorders>
            <w:shd w:val="clear" w:color="auto" w:fill="C6EFCE"/>
            <w:vAlign w:val="center"/>
            <w:hideMark/>
          </w:tcPr>
          <w:p w14:paraId="6DC423ED"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hideMark/>
          </w:tcPr>
          <w:p w14:paraId="18A31F94"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Izgrađena ili rekonstruirana javna mreža odvodnje otpadnih voda</w:t>
            </w:r>
          </w:p>
        </w:tc>
      </w:tr>
      <w:tr w:rsidR="00095369" w:rsidRPr="0059000D" w14:paraId="4361AC44" w14:textId="77777777" w:rsidTr="00F764DE">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E76C9A9" w14:textId="146E1CA5" w:rsidR="00095369" w:rsidRPr="00D922B7" w:rsidRDefault="006F1135">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391</w:t>
            </w:r>
          </w:p>
        </w:tc>
        <w:tc>
          <w:tcPr>
            <w:tcW w:w="1642" w:type="dxa"/>
            <w:tcBorders>
              <w:top w:val="nil"/>
              <w:left w:val="nil"/>
              <w:bottom w:val="single" w:sz="6" w:space="0" w:color="auto"/>
              <w:right w:val="single" w:sz="6" w:space="0" w:color="auto"/>
            </w:tcBorders>
            <w:shd w:val="clear" w:color="auto" w:fill="C6EFCE"/>
            <w:vAlign w:val="center"/>
          </w:tcPr>
          <w:p w14:paraId="7E230AF8" w14:textId="4D740B7F"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R3-I2</w:t>
            </w:r>
          </w:p>
        </w:tc>
        <w:tc>
          <w:tcPr>
            <w:tcW w:w="1134" w:type="dxa"/>
            <w:tcBorders>
              <w:top w:val="nil"/>
              <w:left w:val="nil"/>
              <w:bottom w:val="single" w:sz="6" w:space="0" w:color="auto"/>
              <w:right w:val="single" w:sz="6" w:space="0" w:color="auto"/>
            </w:tcBorders>
            <w:shd w:val="clear" w:color="auto" w:fill="C6EFCE"/>
            <w:vAlign w:val="center"/>
          </w:tcPr>
          <w:p w14:paraId="2168BD3D"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tcPr>
          <w:p w14:paraId="4A308B6D"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Izgrađena ili rekonstruirana javna vodoopskrbna mreža</w:t>
            </w:r>
          </w:p>
        </w:tc>
      </w:tr>
      <w:tr w:rsidR="00095369" w:rsidRPr="0059000D" w14:paraId="69F71198"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CEE4CB5" w14:textId="11FDA9D0" w:rsidR="00095369" w:rsidRPr="00D922B7" w:rsidRDefault="006F1135">
            <w:pPr>
              <w:spacing w:after="0" w:line="240" w:lineRule="auto"/>
              <w:jc w:val="center"/>
              <w:textAlignment w:val="baseline"/>
              <w:rPr>
                <w:rFonts w:ascii="Times New Roman" w:hAnsi="Times New Roman" w:cs="Times New Roman"/>
                <w:noProof/>
                <w:color w:val="000000"/>
                <w:sz w:val="20"/>
                <w:szCs w:val="20"/>
                <w:highlight w:val="yellow"/>
              </w:rPr>
            </w:pPr>
            <w:r>
              <w:rPr>
                <w:rFonts w:ascii="Times New Roman" w:hAnsi="Times New Roman"/>
                <w:noProof/>
                <w:color w:val="000000"/>
                <w:sz w:val="20"/>
              </w:rPr>
              <w:t>394</w:t>
            </w:r>
          </w:p>
        </w:tc>
        <w:tc>
          <w:tcPr>
            <w:tcW w:w="1642" w:type="dxa"/>
            <w:tcBorders>
              <w:top w:val="nil"/>
              <w:left w:val="nil"/>
              <w:bottom w:val="single" w:sz="6" w:space="0" w:color="auto"/>
              <w:right w:val="single" w:sz="6" w:space="0" w:color="auto"/>
            </w:tcBorders>
            <w:shd w:val="clear" w:color="auto" w:fill="C6EFCE"/>
            <w:vAlign w:val="center"/>
          </w:tcPr>
          <w:p w14:paraId="2D0175D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highlight w:val="yellow"/>
              </w:rPr>
            </w:pPr>
            <w:r>
              <w:rPr>
                <w:rFonts w:ascii="Times New Roman" w:hAnsi="Times New Roman"/>
                <w:noProof/>
                <w:color w:val="000000"/>
                <w:sz w:val="20"/>
              </w:rPr>
              <w:t>C2.3. R3- I17</w:t>
            </w:r>
          </w:p>
        </w:tc>
        <w:tc>
          <w:tcPr>
            <w:tcW w:w="1134" w:type="dxa"/>
            <w:tcBorders>
              <w:top w:val="nil"/>
              <w:left w:val="nil"/>
              <w:bottom w:val="single" w:sz="6" w:space="0" w:color="auto"/>
              <w:right w:val="single" w:sz="6" w:space="0" w:color="auto"/>
            </w:tcBorders>
            <w:shd w:val="clear" w:color="auto" w:fill="C6EFCE"/>
            <w:vAlign w:val="center"/>
          </w:tcPr>
          <w:p w14:paraId="2C11F0BA"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529" w:type="dxa"/>
            <w:tcBorders>
              <w:top w:val="nil"/>
              <w:left w:val="nil"/>
              <w:bottom w:val="single" w:sz="6" w:space="0" w:color="auto"/>
              <w:right w:val="single" w:sz="6" w:space="0" w:color="auto"/>
            </w:tcBorders>
            <w:shd w:val="clear" w:color="auto" w:fill="C6EFCE"/>
            <w:vAlign w:val="center"/>
          </w:tcPr>
          <w:p w14:paraId="474CD794"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Registar stanovništva, obitelji i kućanstava (Registar SOK)</w:t>
            </w:r>
          </w:p>
        </w:tc>
      </w:tr>
      <w:tr w:rsidR="00095369" w:rsidRPr="0059000D" w14:paraId="1C179DBF" w14:textId="77777777" w:rsidTr="00F764DE">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886C30C" w14:textId="548ECE99" w:rsidR="00095369" w:rsidRPr="00D922B7" w:rsidRDefault="006F1135">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416</w:t>
            </w:r>
          </w:p>
        </w:tc>
        <w:tc>
          <w:tcPr>
            <w:tcW w:w="1642" w:type="dxa"/>
            <w:tcBorders>
              <w:top w:val="nil"/>
              <w:left w:val="nil"/>
              <w:bottom w:val="single" w:sz="6" w:space="0" w:color="auto"/>
              <w:right w:val="single" w:sz="6" w:space="0" w:color="auto"/>
            </w:tcBorders>
            <w:shd w:val="clear" w:color="auto" w:fill="C6EFCE"/>
            <w:vAlign w:val="center"/>
          </w:tcPr>
          <w:p w14:paraId="34F54AFF" w14:textId="4B0D9DD8"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R1-I4</w:t>
            </w:r>
          </w:p>
        </w:tc>
        <w:tc>
          <w:tcPr>
            <w:tcW w:w="1134" w:type="dxa"/>
            <w:tcBorders>
              <w:top w:val="nil"/>
              <w:left w:val="nil"/>
              <w:bottom w:val="single" w:sz="6" w:space="0" w:color="auto"/>
              <w:right w:val="single" w:sz="6" w:space="0" w:color="auto"/>
            </w:tcBorders>
            <w:shd w:val="clear" w:color="auto" w:fill="C6EFCE"/>
            <w:vAlign w:val="center"/>
          </w:tcPr>
          <w:p w14:paraId="414AF5D9"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Ključna etapa</w:t>
            </w:r>
          </w:p>
        </w:tc>
        <w:tc>
          <w:tcPr>
            <w:tcW w:w="5529" w:type="dxa"/>
            <w:tcBorders>
              <w:top w:val="nil"/>
              <w:left w:val="nil"/>
              <w:bottom w:val="single" w:sz="6" w:space="0" w:color="auto"/>
              <w:right w:val="single" w:sz="6" w:space="0" w:color="auto"/>
            </w:tcBorders>
            <w:shd w:val="clear" w:color="auto" w:fill="C6EFCE"/>
          </w:tcPr>
          <w:p w14:paraId="73C65E2B"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Pravni okvir za proizvodnju bioplina</w:t>
            </w:r>
          </w:p>
        </w:tc>
      </w:tr>
      <w:tr w:rsidR="00095369" w:rsidRPr="0059000D" w14:paraId="5BECCBB1" w14:textId="77777777" w:rsidTr="00F764DE">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510B6142" w14:textId="11AAA48F" w:rsidR="00095369" w:rsidRPr="00D922B7" w:rsidRDefault="006F1135">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422</w:t>
            </w:r>
          </w:p>
        </w:tc>
        <w:tc>
          <w:tcPr>
            <w:tcW w:w="1642" w:type="dxa"/>
            <w:tcBorders>
              <w:top w:val="nil"/>
              <w:left w:val="nil"/>
              <w:bottom w:val="single" w:sz="6" w:space="0" w:color="auto"/>
              <w:right w:val="single" w:sz="6" w:space="0" w:color="auto"/>
            </w:tcBorders>
            <w:shd w:val="clear" w:color="auto" w:fill="C6EFCE"/>
            <w:vAlign w:val="center"/>
          </w:tcPr>
          <w:p w14:paraId="3C9EF5A5" w14:textId="1F27CEA3"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C7.1 I3</w:t>
            </w:r>
          </w:p>
        </w:tc>
        <w:tc>
          <w:tcPr>
            <w:tcW w:w="1134" w:type="dxa"/>
            <w:tcBorders>
              <w:top w:val="nil"/>
              <w:left w:val="nil"/>
              <w:bottom w:val="single" w:sz="6" w:space="0" w:color="auto"/>
              <w:right w:val="single" w:sz="6" w:space="0" w:color="auto"/>
            </w:tcBorders>
            <w:shd w:val="clear" w:color="auto" w:fill="C6EFCE"/>
            <w:vAlign w:val="center"/>
          </w:tcPr>
          <w:p w14:paraId="39429E86"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529" w:type="dxa"/>
            <w:tcBorders>
              <w:top w:val="nil"/>
              <w:left w:val="nil"/>
              <w:bottom w:val="single" w:sz="6" w:space="0" w:color="auto"/>
              <w:right w:val="single" w:sz="6" w:space="0" w:color="auto"/>
            </w:tcBorders>
            <w:shd w:val="clear" w:color="auto" w:fill="C6EFCE"/>
          </w:tcPr>
          <w:p w14:paraId="4BC83D84" w14:textId="77777777" w:rsidR="00095369" w:rsidRPr="00D922B7" w:rsidRDefault="00095369">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Proširenje kapaciteta LNG terminala na otoku Krku u funkciji</w:t>
            </w:r>
          </w:p>
        </w:tc>
      </w:tr>
      <w:tr w:rsidR="00095369" w:rsidRPr="0059000D" w14:paraId="5273FA06" w14:textId="77777777" w:rsidTr="00F764DE">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64F1DDE" w14:textId="74F9D8A7" w:rsidR="00095369" w:rsidRPr="00D922B7" w:rsidRDefault="006F1135">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434</w:t>
            </w:r>
          </w:p>
          <w:p w14:paraId="44399BF3"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p>
        </w:tc>
        <w:tc>
          <w:tcPr>
            <w:tcW w:w="1642" w:type="dxa"/>
            <w:tcBorders>
              <w:top w:val="nil"/>
              <w:left w:val="nil"/>
              <w:bottom w:val="single" w:sz="6" w:space="0" w:color="auto"/>
              <w:right w:val="single" w:sz="6" w:space="0" w:color="auto"/>
            </w:tcBorders>
            <w:shd w:val="clear" w:color="auto" w:fill="C6EFCE"/>
            <w:vAlign w:val="center"/>
          </w:tcPr>
          <w:p w14:paraId="08A7A3DC" w14:textId="7A7ADFF4" w:rsidR="00095369" w:rsidRPr="00D922B7" w:rsidRDefault="00095369" w:rsidP="006F1135">
            <w:pPr>
              <w:spacing w:after="20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C7.2. R4</w:t>
            </w:r>
          </w:p>
        </w:tc>
        <w:tc>
          <w:tcPr>
            <w:tcW w:w="1134" w:type="dxa"/>
            <w:tcBorders>
              <w:top w:val="nil"/>
              <w:left w:val="nil"/>
              <w:bottom w:val="single" w:sz="6" w:space="0" w:color="auto"/>
              <w:right w:val="single" w:sz="6" w:space="0" w:color="auto"/>
            </w:tcBorders>
            <w:shd w:val="clear" w:color="auto" w:fill="C6EFCE"/>
            <w:vAlign w:val="center"/>
          </w:tcPr>
          <w:p w14:paraId="2245E9E5" w14:textId="77777777" w:rsidR="00095369" w:rsidRPr="00D922B7" w:rsidRDefault="00095369">
            <w:pPr>
              <w:spacing w:after="0" w:line="240" w:lineRule="auto"/>
              <w:jc w:val="center"/>
              <w:textAlignment w:val="baseline"/>
              <w:rPr>
                <w:rFonts w:ascii="Times New Roman" w:hAnsi="Times New Roman" w:cs="Times New Roman"/>
                <w:noProof/>
                <w:color w:val="000000"/>
                <w:sz w:val="20"/>
                <w:szCs w:val="20"/>
              </w:rPr>
            </w:pPr>
            <w:r>
              <w:rPr>
                <w:rFonts w:ascii="Times New Roman" w:hAnsi="Times New Roman"/>
                <w:noProof/>
                <w:color w:val="000000"/>
                <w:sz w:val="20"/>
              </w:rPr>
              <w:t>Ciljna vrijednost</w:t>
            </w:r>
          </w:p>
        </w:tc>
        <w:tc>
          <w:tcPr>
            <w:tcW w:w="5529" w:type="dxa"/>
            <w:tcBorders>
              <w:top w:val="nil"/>
              <w:left w:val="nil"/>
              <w:bottom w:val="single" w:sz="6" w:space="0" w:color="auto"/>
              <w:right w:val="single" w:sz="6" w:space="0" w:color="auto"/>
            </w:tcBorders>
            <w:shd w:val="clear" w:color="auto" w:fill="C6EFCE"/>
          </w:tcPr>
          <w:p w14:paraId="6F2AA7CB" w14:textId="14D82BD5" w:rsidR="00095369" w:rsidRPr="00D922B7" w:rsidRDefault="006F1135">
            <w:pPr>
              <w:spacing w:after="0" w:line="240" w:lineRule="auto"/>
              <w:jc w:val="both"/>
              <w:textAlignment w:val="baseline"/>
              <w:rPr>
                <w:rFonts w:ascii="Times New Roman" w:hAnsi="Times New Roman" w:cs="Times New Roman"/>
                <w:noProof/>
                <w:color w:val="000000"/>
                <w:sz w:val="20"/>
                <w:szCs w:val="20"/>
              </w:rPr>
            </w:pPr>
            <w:r>
              <w:rPr>
                <w:rFonts w:ascii="Times New Roman" w:hAnsi="Times New Roman"/>
                <w:noProof/>
                <w:color w:val="000000"/>
                <w:sz w:val="20"/>
              </w:rPr>
              <w:t>Predstavljanje programa obrazovanja odraslih poslodavcima i dionicima</w:t>
            </w:r>
          </w:p>
        </w:tc>
      </w:tr>
      <w:tr w:rsidR="00095369" w:rsidRPr="0059000D" w14:paraId="1C499D74" w14:textId="77777777">
        <w:trPr>
          <w:trHeight w:val="362"/>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464BABF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60102EBD"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color w:val="006100"/>
                <w:sz w:val="20"/>
              </w:rPr>
              <w:t> </w:t>
            </w:r>
          </w:p>
        </w:tc>
        <w:tc>
          <w:tcPr>
            <w:tcW w:w="1134" w:type="dxa"/>
            <w:tcBorders>
              <w:top w:val="single" w:sz="6" w:space="0" w:color="auto"/>
              <w:left w:val="nil"/>
              <w:bottom w:val="single" w:sz="6" w:space="0" w:color="auto"/>
              <w:right w:val="single" w:sz="6" w:space="0" w:color="auto"/>
            </w:tcBorders>
            <w:shd w:val="clear" w:color="auto" w:fill="C6EFCE"/>
            <w:vAlign w:val="bottom"/>
            <w:hideMark/>
          </w:tcPr>
          <w:p w14:paraId="67DE01F8"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Iznos obroka </w:t>
            </w:r>
          </w:p>
        </w:tc>
        <w:tc>
          <w:tcPr>
            <w:tcW w:w="5529" w:type="dxa"/>
            <w:tcBorders>
              <w:top w:val="single" w:sz="6" w:space="0" w:color="auto"/>
              <w:left w:val="nil"/>
              <w:bottom w:val="single" w:sz="6" w:space="0" w:color="auto"/>
              <w:right w:val="single" w:sz="6" w:space="0" w:color="auto"/>
            </w:tcBorders>
            <w:shd w:val="clear" w:color="auto" w:fill="C6EFCE"/>
            <w:vAlign w:val="bottom"/>
            <w:hideMark/>
          </w:tcPr>
          <w:p w14:paraId="4AFE63DB" w14:textId="26D33F60"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551 111 397 EUR</w:t>
            </w:r>
          </w:p>
        </w:tc>
      </w:tr>
    </w:tbl>
    <w:p w14:paraId="4F2A3D43" w14:textId="77777777" w:rsidR="00095369" w:rsidRDefault="00095369" w:rsidP="00095369">
      <w:pPr>
        <w:spacing w:after="0" w:line="240" w:lineRule="auto"/>
        <w:ind w:left="705"/>
        <w:jc w:val="both"/>
        <w:textAlignment w:val="baseline"/>
        <w:rPr>
          <w:rFonts w:ascii="Times New Roman" w:eastAsia="Times New Roman" w:hAnsi="Times New Roman" w:cs="Times New Roman"/>
          <w:i/>
          <w:iCs/>
          <w:noProof/>
          <w:color w:val="4F81BD"/>
          <w:sz w:val="24"/>
          <w:szCs w:val="24"/>
          <w:lang w:val="en-GB" w:eastAsia="en-IE"/>
        </w:rPr>
      </w:pPr>
    </w:p>
    <w:p w14:paraId="227D102E" w14:textId="77777777" w:rsidR="00095369" w:rsidRPr="001B6851" w:rsidRDefault="00095369" w:rsidP="00095369">
      <w:pPr>
        <w:pStyle w:val="ListParagraph"/>
        <w:numPr>
          <w:ilvl w:val="0"/>
          <w:numId w:val="51"/>
        </w:num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xml:space="preserve">Šesti obrok (potpora u obliku zajma):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134"/>
        <w:gridCol w:w="5529"/>
      </w:tblGrid>
      <w:tr w:rsidR="00095369" w:rsidRPr="0059000D" w14:paraId="140D64DA" w14:textId="77777777" w:rsidTr="00074A21">
        <w:trPr>
          <w:trHeight w:val="108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2E26A36"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Redni broj</w:t>
            </w:r>
            <w:r>
              <w:rPr>
                <w:rFonts w:ascii="Times New Roman" w:hAnsi="Times New Roman"/>
                <w:noProof/>
                <w:sz w:val="20"/>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311679E"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Povezana mjera (reforma ili ulaganje)</w:t>
            </w:r>
            <w:r>
              <w:rPr>
                <w:rFonts w:ascii="Times New Roman" w:hAnsi="Times New Roman"/>
                <w:noProof/>
                <w:sz w:val="20"/>
              </w:rPr>
              <w:t> </w:t>
            </w:r>
          </w:p>
        </w:tc>
        <w:tc>
          <w:tcPr>
            <w:tcW w:w="113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DC0F59C"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Ključna etapa / ciljna vrijednost</w:t>
            </w:r>
            <w:r>
              <w:rPr>
                <w:rFonts w:ascii="Times New Roman" w:hAnsi="Times New Roman"/>
                <w:noProof/>
                <w:sz w:val="20"/>
              </w:rPr>
              <w:t> </w:t>
            </w:r>
          </w:p>
        </w:tc>
        <w:tc>
          <w:tcPr>
            <w:tcW w:w="5529" w:type="dxa"/>
            <w:vMerge w:val="restart"/>
            <w:tcBorders>
              <w:top w:val="single" w:sz="6" w:space="0" w:color="auto"/>
              <w:left w:val="nil"/>
              <w:bottom w:val="single" w:sz="6" w:space="0" w:color="000000"/>
              <w:right w:val="single" w:sz="6" w:space="0" w:color="auto"/>
            </w:tcBorders>
            <w:shd w:val="clear" w:color="auto" w:fill="BDD7EE"/>
            <w:vAlign w:val="center"/>
            <w:hideMark/>
          </w:tcPr>
          <w:p w14:paraId="2E9B3A04"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b/>
                <w:noProof/>
                <w:sz w:val="20"/>
              </w:rPr>
              <w:t>Naziv</w:t>
            </w:r>
            <w:r>
              <w:rPr>
                <w:rFonts w:ascii="Times New Roman" w:hAnsi="Times New Roman"/>
                <w:noProof/>
                <w:sz w:val="20"/>
              </w:rPr>
              <w:t> </w:t>
            </w:r>
          </w:p>
        </w:tc>
      </w:tr>
      <w:tr w:rsidR="00095369" w:rsidRPr="0059000D" w14:paraId="0AC924D3" w14:textId="77777777">
        <w:trPr>
          <w:trHeight w:val="493"/>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0E2B7EA"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4B6791A"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113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50C645"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c>
          <w:tcPr>
            <w:tcW w:w="5529" w:type="dxa"/>
            <w:vMerge/>
            <w:tcBorders>
              <w:top w:val="single" w:sz="6" w:space="0" w:color="auto"/>
              <w:left w:val="nil"/>
              <w:bottom w:val="single" w:sz="6" w:space="0" w:color="000000"/>
              <w:right w:val="single" w:sz="6" w:space="0" w:color="auto"/>
            </w:tcBorders>
            <w:shd w:val="clear" w:color="auto" w:fill="auto"/>
            <w:vAlign w:val="center"/>
            <w:hideMark/>
          </w:tcPr>
          <w:p w14:paraId="10D3073B" w14:textId="77777777" w:rsidR="00095369" w:rsidRPr="00D922B7" w:rsidRDefault="00095369">
            <w:pPr>
              <w:spacing w:after="0" w:line="240" w:lineRule="auto"/>
              <w:rPr>
                <w:rFonts w:ascii="Times New Roman" w:eastAsia="Times New Roman" w:hAnsi="Times New Roman" w:cs="Times New Roman"/>
                <w:noProof/>
                <w:sz w:val="20"/>
                <w:szCs w:val="20"/>
                <w:lang w:val="en-IE" w:eastAsia="en-IE"/>
              </w:rPr>
            </w:pPr>
          </w:p>
        </w:tc>
      </w:tr>
      <w:tr w:rsidR="00AB20D1" w:rsidRPr="0059000D" w14:paraId="3E09D009" w14:textId="77777777" w:rsidTr="009926D5">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9AF9BCC" w14:textId="253618AC"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57</w:t>
            </w:r>
          </w:p>
        </w:tc>
        <w:tc>
          <w:tcPr>
            <w:tcW w:w="1642" w:type="dxa"/>
            <w:tcBorders>
              <w:top w:val="nil"/>
              <w:left w:val="nil"/>
              <w:bottom w:val="single" w:sz="6" w:space="0" w:color="auto"/>
              <w:right w:val="single" w:sz="6" w:space="0" w:color="auto"/>
            </w:tcBorders>
            <w:shd w:val="clear" w:color="auto" w:fill="C6EFCE"/>
            <w:vAlign w:val="center"/>
          </w:tcPr>
          <w:p w14:paraId="60F8CB22" w14:textId="580096DB" w:rsidR="00AB20D1" w:rsidRPr="00D922B7" w:rsidRDefault="00AB20D1" w:rsidP="00AB20D1">
            <w:pPr>
              <w:spacing w:after="0" w:line="240" w:lineRule="auto"/>
              <w:jc w:val="center"/>
              <w:textAlignment w:val="baseline"/>
              <w:rPr>
                <w:rStyle w:val="normaltextrun"/>
                <w:rFonts w:ascii="Times New Roman" w:hAnsi="Times New Roman" w:cs="Times New Roman"/>
                <w:noProof/>
                <w:sz w:val="20"/>
                <w:szCs w:val="20"/>
                <w:bdr w:val="none" w:sz="0" w:space="0" w:color="auto" w:frame="1"/>
              </w:rPr>
            </w:pPr>
            <w:r>
              <w:rPr>
                <w:rFonts w:ascii="Times New Roman" w:hAnsi="Times New Roman"/>
                <w:noProof/>
                <w:sz w:val="20"/>
              </w:rPr>
              <w:t>C7.1. R1-I5</w:t>
            </w:r>
          </w:p>
        </w:tc>
        <w:tc>
          <w:tcPr>
            <w:tcW w:w="1134" w:type="dxa"/>
            <w:tcBorders>
              <w:top w:val="nil"/>
              <w:left w:val="nil"/>
              <w:bottom w:val="single" w:sz="6" w:space="0" w:color="auto"/>
              <w:right w:val="single" w:sz="6" w:space="0" w:color="auto"/>
            </w:tcBorders>
            <w:shd w:val="clear" w:color="auto" w:fill="C6EFCE"/>
            <w:vAlign w:val="center"/>
          </w:tcPr>
          <w:p w14:paraId="4395B217" w14:textId="3D9D38AD"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60DDF4EB" w14:textId="5394262E" w:rsidR="00AB20D1" w:rsidRPr="00D922B7" w:rsidRDefault="00AB20D1" w:rsidP="00AB20D1">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Biorafinerija je izgrađena i u funkciji</w:t>
            </w:r>
          </w:p>
        </w:tc>
      </w:tr>
      <w:tr w:rsidR="00AB20D1" w:rsidRPr="0059000D" w14:paraId="67E22635" w14:textId="77777777" w:rsidTr="009926D5">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081C8B6" w14:textId="60C16EAB"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93</w:t>
            </w:r>
          </w:p>
        </w:tc>
        <w:tc>
          <w:tcPr>
            <w:tcW w:w="1642" w:type="dxa"/>
            <w:tcBorders>
              <w:top w:val="nil"/>
              <w:left w:val="nil"/>
              <w:bottom w:val="single" w:sz="6" w:space="0" w:color="auto"/>
              <w:right w:val="single" w:sz="6" w:space="0" w:color="auto"/>
            </w:tcBorders>
            <w:shd w:val="clear" w:color="auto" w:fill="C6EFCE"/>
            <w:vAlign w:val="center"/>
          </w:tcPr>
          <w:p w14:paraId="2DFDB440" w14:textId="77BF73C7"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C1.4. R1-I1</w:t>
            </w:r>
          </w:p>
        </w:tc>
        <w:tc>
          <w:tcPr>
            <w:tcW w:w="1134" w:type="dxa"/>
            <w:tcBorders>
              <w:top w:val="nil"/>
              <w:left w:val="nil"/>
              <w:bottom w:val="single" w:sz="6" w:space="0" w:color="auto"/>
              <w:right w:val="single" w:sz="6" w:space="0" w:color="auto"/>
            </w:tcBorders>
            <w:shd w:val="clear" w:color="auto" w:fill="C6EFCE"/>
            <w:vAlign w:val="center"/>
          </w:tcPr>
          <w:p w14:paraId="78F8D5AF" w14:textId="06C99B72"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529" w:type="dxa"/>
            <w:tcBorders>
              <w:top w:val="nil"/>
              <w:left w:val="nil"/>
              <w:bottom w:val="single" w:sz="6" w:space="0" w:color="auto"/>
              <w:right w:val="single" w:sz="6" w:space="0" w:color="auto"/>
            </w:tcBorders>
            <w:shd w:val="clear" w:color="auto" w:fill="C6EFCE"/>
            <w:vAlign w:val="bottom"/>
          </w:tcPr>
          <w:p w14:paraId="7D2AA3FD" w14:textId="7F5D2B84" w:rsidR="00AB20D1" w:rsidRPr="00D922B7" w:rsidRDefault="00AB20D1" w:rsidP="00AB20D1">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Novi elektronički sustav naplate cestarine</w:t>
            </w:r>
          </w:p>
        </w:tc>
      </w:tr>
      <w:tr w:rsidR="00AB20D1" w:rsidRPr="0059000D" w14:paraId="1201ABBA"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F3CD02C" w14:textId="5379B534"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101</w:t>
            </w:r>
          </w:p>
        </w:tc>
        <w:tc>
          <w:tcPr>
            <w:tcW w:w="1642" w:type="dxa"/>
            <w:tcBorders>
              <w:top w:val="nil"/>
              <w:left w:val="nil"/>
              <w:bottom w:val="single" w:sz="6" w:space="0" w:color="auto"/>
              <w:right w:val="single" w:sz="6" w:space="0" w:color="auto"/>
            </w:tcBorders>
            <w:shd w:val="clear" w:color="auto" w:fill="C6EFCE"/>
            <w:vAlign w:val="center"/>
          </w:tcPr>
          <w:p w14:paraId="7B0AD829" w14:textId="7F295BE9"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C1.4. R2-I1</w:t>
            </w:r>
          </w:p>
        </w:tc>
        <w:tc>
          <w:tcPr>
            <w:tcW w:w="1134" w:type="dxa"/>
            <w:tcBorders>
              <w:top w:val="nil"/>
              <w:left w:val="nil"/>
              <w:bottom w:val="single" w:sz="6" w:space="0" w:color="auto"/>
              <w:right w:val="single" w:sz="6" w:space="0" w:color="auto"/>
            </w:tcBorders>
            <w:shd w:val="clear" w:color="auto" w:fill="C6EFCE"/>
            <w:vAlign w:val="center"/>
          </w:tcPr>
          <w:p w14:paraId="6A13953A" w14:textId="70B7F98B" w:rsidR="00AB20D1" w:rsidRPr="00D922B7" w:rsidRDefault="00AB20D1"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tcPr>
          <w:p w14:paraId="0C50C77D" w14:textId="5CED4C18" w:rsidR="00AB20D1" w:rsidRPr="00D922B7" w:rsidRDefault="00AB20D1" w:rsidP="00AB20D1">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Izgrađena i obnovljena dvokolosiječna elektrificirana pruga na dionici Dugo Selo-Novska, poddionica Kutina-Novska</w:t>
            </w:r>
          </w:p>
        </w:tc>
      </w:tr>
      <w:tr w:rsidR="00095369" w:rsidRPr="0059000D" w14:paraId="5A785C18"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61966394" w14:textId="53F1D9C6"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374</w:t>
            </w:r>
          </w:p>
        </w:tc>
        <w:tc>
          <w:tcPr>
            <w:tcW w:w="1642" w:type="dxa"/>
            <w:tcBorders>
              <w:top w:val="nil"/>
              <w:left w:val="nil"/>
              <w:bottom w:val="single" w:sz="6" w:space="0" w:color="auto"/>
              <w:right w:val="single" w:sz="6" w:space="0" w:color="auto"/>
            </w:tcBorders>
            <w:shd w:val="clear" w:color="auto" w:fill="C6EFCE"/>
            <w:vAlign w:val="center"/>
            <w:hideMark/>
          </w:tcPr>
          <w:p w14:paraId="6177160E" w14:textId="1A258DC3"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Style w:val="normaltextrun"/>
                <w:rFonts w:ascii="Times New Roman" w:hAnsi="Times New Roman"/>
                <w:noProof/>
                <w:sz w:val="20"/>
                <w:bdr w:val="none" w:sz="0" w:space="0" w:color="auto" w:frame="1"/>
              </w:rPr>
              <w:t>C1.1.1. R5</w:t>
            </w:r>
          </w:p>
        </w:tc>
        <w:tc>
          <w:tcPr>
            <w:tcW w:w="1134" w:type="dxa"/>
            <w:tcBorders>
              <w:top w:val="nil"/>
              <w:left w:val="nil"/>
              <w:bottom w:val="single" w:sz="6" w:space="0" w:color="auto"/>
              <w:right w:val="single" w:sz="6" w:space="0" w:color="auto"/>
            </w:tcBorders>
            <w:shd w:val="clear" w:color="auto" w:fill="C6EFCE"/>
            <w:vAlign w:val="center"/>
            <w:hideMark/>
          </w:tcPr>
          <w:p w14:paraId="30960981" w14:textId="61C3EF0F"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529" w:type="dxa"/>
            <w:tcBorders>
              <w:top w:val="nil"/>
              <w:left w:val="nil"/>
              <w:bottom w:val="single" w:sz="6" w:space="0" w:color="auto"/>
              <w:right w:val="single" w:sz="6" w:space="0" w:color="auto"/>
            </w:tcBorders>
            <w:shd w:val="clear" w:color="auto" w:fill="C6EFCE"/>
            <w:vAlign w:val="bottom"/>
            <w:hideMark/>
          </w:tcPr>
          <w:p w14:paraId="06F75B5B"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Donošenje drugog akcijskog plana za razvoj tržišta kapitala u Hrvatskoj</w:t>
            </w:r>
          </w:p>
        </w:tc>
      </w:tr>
      <w:tr w:rsidR="00095369" w:rsidRPr="0059000D" w14:paraId="332BA2A0"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5671DABC" w14:textId="00FD508A"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376</w:t>
            </w:r>
          </w:p>
        </w:tc>
        <w:tc>
          <w:tcPr>
            <w:tcW w:w="1642" w:type="dxa"/>
            <w:tcBorders>
              <w:top w:val="nil"/>
              <w:left w:val="nil"/>
              <w:bottom w:val="single" w:sz="6" w:space="0" w:color="auto"/>
              <w:right w:val="single" w:sz="6" w:space="0" w:color="auto"/>
            </w:tcBorders>
            <w:shd w:val="clear" w:color="auto" w:fill="C6EFCE"/>
            <w:vAlign w:val="center"/>
            <w:hideMark/>
          </w:tcPr>
          <w:p w14:paraId="68E14C37" w14:textId="6DA6EA19"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C1.2. R1-I1</w:t>
            </w:r>
          </w:p>
        </w:tc>
        <w:tc>
          <w:tcPr>
            <w:tcW w:w="1134" w:type="dxa"/>
            <w:tcBorders>
              <w:top w:val="nil"/>
              <w:left w:val="nil"/>
              <w:bottom w:val="single" w:sz="6" w:space="0" w:color="auto"/>
              <w:right w:val="single" w:sz="6" w:space="0" w:color="auto"/>
            </w:tcBorders>
            <w:shd w:val="clear" w:color="auto" w:fill="C6EFCE"/>
            <w:vAlign w:val="center"/>
            <w:hideMark/>
          </w:tcPr>
          <w:p w14:paraId="2635C5BB" w14:textId="376FAB8E"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hideMark/>
          </w:tcPr>
          <w:p w14:paraId="77EF520D"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Broj novih potrošača priključenih na pametnu mrežu</w:t>
            </w:r>
          </w:p>
        </w:tc>
      </w:tr>
      <w:tr w:rsidR="00095369" w:rsidRPr="0059000D" w14:paraId="2D782C41"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C0AAF2A" w14:textId="44DC69DA"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377</w:t>
            </w:r>
          </w:p>
        </w:tc>
        <w:tc>
          <w:tcPr>
            <w:tcW w:w="1642" w:type="dxa"/>
            <w:tcBorders>
              <w:top w:val="nil"/>
              <w:left w:val="nil"/>
              <w:bottom w:val="single" w:sz="6" w:space="0" w:color="auto"/>
              <w:right w:val="single" w:sz="6" w:space="0" w:color="auto"/>
            </w:tcBorders>
            <w:shd w:val="clear" w:color="auto" w:fill="C6EFCE"/>
            <w:vAlign w:val="center"/>
          </w:tcPr>
          <w:p w14:paraId="30EEAC56"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C1.2. R1-I1</w:t>
            </w:r>
          </w:p>
        </w:tc>
        <w:tc>
          <w:tcPr>
            <w:tcW w:w="1134" w:type="dxa"/>
            <w:tcBorders>
              <w:top w:val="nil"/>
              <w:left w:val="nil"/>
              <w:bottom w:val="single" w:sz="6" w:space="0" w:color="auto"/>
              <w:right w:val="single" w:sz="6" w:space="0" w:color="auto"/>
            </w:tcBorders>
            <w:shd w:val="clear" w:color="auto" w:fill="C6EFCE"/>
            <w:vAlign w:val="center"/>
          </w:tcPr>
          <w:p w14:paraId="4F561D0F"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tcPr>
          <w:p w14:paraId="35A59CAB"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Novi kapacitet baterijskih sustava i skladištenja energije</w:t>
            </w:r>
          </w:p>
        </w:tc>
      </w:tr>
      <w:tr w:rsidR="00095369" w:rsidRPr="0059000D" w14:paraId="24801FC8"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646952C" w14:textId="45DCB828"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390</w:t>
            </w:r>
          </w:p>
        </w:tc>
        <w:tc>
          <w:tcPr>
            <w:tcW w:w="1642" w:type="dxa"/>
            <w:tcBorders>
              <w:top w:val="nil"/>
              <w:left w:val="nil"/>
              <w:bottom w:val="single" w:sz="6" w:space="0" w:color="auto"/>
              <w:right w:val="single" w:sz="6" w:space="0" w:color="auto"/>
            </w:tcBorders>
            <w:shd w:val="clear" w:color="auto" w:fill="C6EFCE"/>
            <w:vAlign w:val="center"/>
          </w:tcPr>
          <w:p w14:paraId="0CD5B7D7" w14:textId="0B7E3BF9"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C1.3. R3-I1</w:t>
            </w:r>
          </w:p>
        </w:tc>
        <w:tc>
          <w:tcPr>
            <w:tcW w:w="1134" w:type="dxa"/>
            <w:tcBorders>
              <w:top w:val="nil"/>
              <w:left w:val="nil"/>
              <w:bottom w:val="single" w:sz="6" w:space="0" w:color="auto"/>
              <w:right w:val="single" w:sz="6" w:space="0" w:color="auto"/>
            </w:tcBorders>
            <w:shd w:val="clear" w:color="auto" w:fill="C6EFCE"/>
            <w:vAlign w:val="center"/>
          </w:tcPr>
          <w:p w14:paraId="7DFA7A82"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tcPr>
          <w:p w14:paraId="0D3AD167"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Broj stanovnika koji imaju koristi od poboljšanog pristupa unaprijeđenom sustavu pročišćavanja otpadnih voda</w:t>
            </w:r>
          </w:p>
        </w:tc>
      </w:tr>
      <w:tr w:rsidR="00095369" w:rsidRPr="0059000D" w14:paraId="1AEC402D"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624FFA72" w14:textId="6E85DC3D"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392</w:t>
            </w:r>
          </w:p>
        </w:tc>
        <w:tc>
          <w:tcPr>
            <w:tcW w:w="1642" w:type="dxa"/>
            <w:tcBorders>
              <w:top w:val="nil"/>
              <w:left w:val="nil"/>
              <w:bottom w:val="single" w:sz="6" w:space="0" w:color="auto"/>
              <w:right w:val="single" w:sz="6" w:space="0" w:color="auto"/>
            </w:tcBorders>
            <w:shd w:val="clear" w:color="auto" w:fill="C6EFCE"/>
            <w:vAlign w:val="center"/>
          </w:tcPr>
          <w:p w14:paraId="3147C97F" w14:textId="29CCDB09"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highlight w:val="yellow"/>
              </w:rPr>
            </w:pPr>
            <w:r>
              <w:rPr>
                <w:rFonts w:ascii="Times New Roman" w:hAnsi="Times New Roman"/>
                <w:noProof/>
                <w:sz w:val="20"/>
              </w:rPr>
              <w:t>C1.3. R3-I2</w:t>
            </w:r>
          </w:p>
        </w:tc>
        <w:tc>
          <w:tcPr>
            <w:tcW w:w="1134" w:type="dxa"/>
            <w:tcBorders>
              <w:top w:val="nil"/>
              <w:left w:val="nil"/>
              <w:bottom w:val="single" w:sz="6" w:space="0" w:color="auto"/>
              <w:right w:val="single" w:sz="6" w:space="0" w:color="auto"/>
            </w:tcBorders>
            <w:shd w:val="clear" w:color="auto" w:fill="C6EFCE"/>
            <w:vAlign w:val="center"/>
          </w:tcPr>
          <w:p w14:paraId="2A09DE10"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tcPr>
          <w:p w14:paraId="5798C5E1"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Stanovništvo s poboljšanim pristupom vodoopskrbi</w:t>
            </w:r>
          </w:p>
        </w:tc>
      </w:tr>
      <w:tr w:rsidR="00095369" w:rsidRPr="0059000D" w14:paraId="4858AA9B"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8171743" w14:textId="43849434"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395</w:t>
            </w:r>
          </w:p>
        </w:tc>
        <w:tc>
          <w:tcPr>
            <w:tcW w:w="1642" w:type="dxa"/>
            <w:tcBorders>
              <w:top w:val="nil"/>
              <w:left w:val="nil"/>
              <w:bottom w:val="single" w:sz="6" w:space="0" w:color="auto"/>
              <w:right w:val="single" w:sz="6" w:space="0" w:color="auto"/>
            </w:tcBorders>
            <w:shd w:val="clear" w:color="auto" w:fill="C6EFCE"/>
            <w:vAlign w:val="center"/>
          </w:tcPr>
          <w:p w14:paraId="28E46026"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highlight w:val="yellow"/>
              </w:rPr>
            </w:pPr>
            <w:r>
              <w:rPr>
                <w:rFonts w:ascii="Times New Roman" w:hAnsi="Times New Roman"/>
                <w:noProof/>
                <w:sz w:val="20"/>
              </w:rPr>
              <w:t>C2.3. R3- I17</w:t>
            </w:r>
          </w:p>
        </w:tc>
        <w:tc>
          <w:tcPr>
            <w:tcW w:w="1134" w:type="dxa"/>
            <w:tcBorders>
              <w:top w:val="nil"/>
              <w:left w:val="nil"/>
              <w:bottom w:val="single" w:sz="6" w:space="0" w:color="auto"/>
              <w:right w:val="single" w:sz="6" w:space="0" w:color="auto"/>
            </w:tcBorders>
            <w:shd w:val="clear" w:color="auto" w:fill="C6EFCE"/>
            <w:vAlign w:val="center"/>
          </w:tcPr>
          <w:p w14:paraId="5C49608E"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Ključna etapa</w:t>
            </w:r>
          </w:p>
        </w:tc>
        <w:tc>
          <w:tcPr>
            <w:tcW w:w="5529" w:type="dxa"/>
            <w:tcBorders>
              <w:top w:val="nil"/>
              <w:left w:val="nil"/>
              <w:bottom w:val="single" w:sz="6" w:space="0" w:color="auto"/>
              <w:right w:val="single" w:sz="6" w:space="0" w:color="auto"/>
            </w:tcBorders>
            <w:shd w:val="clear" w:color="auto" w:fill="C6EFCE"/>
            <w:vAlign w:val="bottom"/>
          </w:tcPr>
          <w:p w14:paraId="0609FDC2"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Registar stanovništva, obitelji i kućanstava (Registar SOK) povezan sa sustavom ePorezna</w:t>
            </w:r>
          </w:p>
        </w:tc>
      </w:tr>
      <w:tr w:rsidR="00095369" w:rsidRPr="0059000D" w14:paraId="6EA3B423"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C95DFD1" w14:textId="0F6D047F"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397</w:t>
            </w:r>
          </w:p>
        </w:tc>
        <w:tc>
          <w:tcPr>
            <w:tcW w:w="1642" w:type="dxa"/>
            <w:tcBorders>
              <w:top w:val="nil"/>
              <w:left w:val="nil"/>
              <w:bottom w:val="single" w:sz="6" w:space="0" w:color="auto"/>
              <w:right w:val="single" w:sz="6" w:space="0" w:color="auto"/>
            </w:tcBorders>
            <w:shd w:val="clear" w:color="auto" w:fill="C6EFCE"/>
            <w:vAlign w:val="center"/>
          </w:tcPr>
          <w:p w14:paraId="6CB810CB"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C3.1. R1-I4</w:t>
            </w:r>
          </w:p>
        </w:tc>
        <w:tc>
          <w:tcPr>
            <w:tcW w:w="1134" w:type="dxa"/>
            <w:tcBorders>
              <w:top w:val="nil"/>
              <w:left w:val="nil"/>
              <w:bottom w:val="single" w:sz="6" w:space="0" w:color="auto"/>
              <w:right w:val="single" w:sz="6" w:space="0" w:color="auto"/>
            </w:tcBorders>
            <w:shd w:val="clear" w:color="auto" w:fill="C6EFCE"/>
            <w:vAlign w:val="center"/>
          </w:tcPr>
          <w:p w14:paraId="6C691A9A"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vAlign w:val="bottom"/>
          </w:tcPr>
          <w:p w14:paraId="172E84A7"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Postotak učenika koji pohađaju jednosmjenske osnovne škole</w:t>
            </w:r>
          </w:p>
        </w:tc>
      </w:tr>
      <w:tr w:rsidR="00095369" w:rsidRPr="0059000D" w14:paraId="677AE22D"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94288C5"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highlight w:val="yellow"/>
              </w:rPr>
            </w:pPr>
            <w:r>
              <w:rPr>
                <w:rFonts w:ascii="Times New Roman" w:hAnsi="Times New Roman"/>
                <w:noProof/>
                <w:sz w:val="20"/>
              </w:rPr>
              <w:t>322</w:t>
            </w:r>
          </w:p>
        </w:tc>
        <w:tc>
          <w:tcPr>
            <w:tcW w:w="1642" w:type="dxa"/>
            <w:tcBorders>
              <w:top w:val="nil"/>
              <w:left w:val="nil"/>
              <w:bottom w:val="single" w:sz="6" w:space="0" w:color="auto"/>
              <w:right w:val="single" w:sz="6" w:space="0" w:color="auto"/>
            </w:tcBorders>
            <w:shd w:val="clear" w:color="auto" w:fill="C6EFCE"/>
            <w:vAlign w:val="center"/>
          </w:tcPr>
          <w:p w14:paraId="2885B054"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C5.1. R1-I3</w:t>
            </w:r>
          </w:p>
        </w:tc>
        <w:tc>
          <w:tcPr>
            <w:tcW w:w="1134" w:type="dxa"/>
            <w:tcBorders>
              <w:top w:val="nil"/>
              <w:left w:val="nil"/>
              <w:bottom w:val="single" w:sz="6" w:space="0" w:color="auto"/>
              <w:right w:val="single" w:sz="6" w:space="0" w:color="auto"/>
            </w:tcBorders>
            <w:shd w:val="clear" w:color="auto" w:fill="C6EFCE"/>
            <w:vAlign w:val="center"/>
          </w:tcPr>
          <w:p w14:paraId="2BCA5A49"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0CF67F36"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xml:space="preserve">Nova zgrada u kompleksu Klinike za infektivne bolesti dr. Fran Mihaljević </w:t>
            </w:r>
          </w:p>
        </w:tc>
      </w:tr>
      <w:tr w:rsidR="00095369" w:rsidRPr="0059000D" w14:paraId="426026C0"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043D4F3" w14:textId="77777777" w:rsidR="00095369" w:rsidRPr="00D922B7" w:rsidRDefault="00095369">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345</w:t>
            </w:r>
          </w:p>
        </w:tc>
        <w:tc>
          <w:tcPr>
            <w:tcW w:w="1642" w:type="dxa"/>
            <w:tcBorders>
              <w:top w:val="nil"/>
              <w:left w:val="nil"/>
              <w:bottom w:val="single" w:sz="6" w:space="0" w:color="auto"/>
              <w:right w:val="single" w:sz="6" w:space="0" w:color="auto"/>
            </w:tcBorders>
            <w:shd w:val="clear" w:color="auto" w:fill="C6EFCE"/>
            <w:vAlign w:val="center"/>
          </w:tcPr>
          <w:p w14:paraId="754D7119" w14:textId="77777777" w:rsidR="00095369" w:rsidRPr="00D922B7" w:rsidRDefault="00095369" w:rsidP="00AB20D1">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C5.1. R4-I6</w:t>
            </w:r>
          </w:p>
        </w:tc>
        <w:tc>
          <w:tcPr>
            <w:tcW w:w="1134" w:type="dxa"/>
            <w:tcBorders>
              <w:top w:val="nil"/>
              <w:left w:val="nil"/>
              <w:bottom w:val="single" w:sz="6" w:space="0" w:color="auto"/>
              <w:right w:val="single" w:sz="6" w:space="0" w:color="auto"/>
            </w:tcBorders>
            <w:shd w:val="clear" w:color="auto" w:fill="C6EFCE"/>
            <w:vAlign w:val="center"/>
          </w:tcPr>
          <w:p w14:paraId="36F8D1FB" w14:textId="77777777" w:rsidR="00095369" w:rsidRPr="00D922B7" w:rsidRDefault="00095369" w:rsidP="00AB20D1">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Ključna etapa</w:t>
            </w:r>
          </w:p>
        </w:tc>
        <w:tc>
          <w:tcPr>
            <w:tcW w:w="5529" w:type="dxa"/>
            <w:tcBorders>
              <w:top w:val="nil"/>
              <w:left w:val="nil"/>
              <w:bottom w:val="single" w:sz="6" w:space="0" w:color="auto"/>
              <w:right w:val="single" w:sz="6" w:space="0" w:color="auto"/>
            </w:tcBorders>
            <w:shd w:val="clear" w:color="auto" w:fill="C6EFCE"/>
          </w:tcPr>
          <w:p w14:paraId="029C5471" w14:textId="77777777" w:rsidR="00095369" w:rsidRPr="00D922B7" w:rsidRDefault="00095369">
            <w:pPr>
              <w:spacing w:after="0" w:line="240" w:lineRule="auto"/>
              <w:jc w:val="both"/>
              <w:textAlignment w:val="baseline"/>
              <w:rPr>
                <w:rFonts w:ascii="Times New Roman" w:eastAsia="Calibri" w:hAnsi="Times New Roman" w:cs="Times New Roman"/>
                <w:noProof/>
                <w:sz w:val="20"/>
                <w:szCs w:val="20"/>
              </w:rPr>
            </w:pPr>
            <w:r>
              <w:rPr>
                <w:rFonts w:ascii="Times New Roman" w:hAnsi="Times New Roman"/>
                <w:noProof/>
                <w:sz w:val="20"/>
              </w:rPr>
              <w:t>Objekt za medicinski otpad u KBC-u Zagreb</w:t>
            </w:r>
          </w:p>
        </w:tc>
      </w:tr>
      <w:tr w:rsidR="002A5FA6" w:rsidRPr="0059000D" w14:paraId="4B8482CD"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9C78F92" w14:textId="5999C2D9" w:rsidR="002A5FA6" w:rsidRPr="00D922B7" w:rsidRDefault="002A5FA6" w:rsidP="002A5FA6">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356</w:t>
            </w:r>
          </w:p>
        </w:tc>
        <w:tc>
          <w:tcPr>
            <w:tcW w:w="1642" w:type="dxa"/>
            <w:tcBorders>
              <w:top w:val="nil"/>
              <w:left w:val="nil"/>
              <w:bottom w:val="single" w:sz="6" w:space="0" w:color="auto"/>
              <w:right w:val="single" w:sz="6" w:space="0" w:color="auto"/>
            </w:tcBorders>
            <w:shd w:val="clear" w:color="auto" w:fill="C6EFCE"/>
            <w:vAlign w:val="center"/>
          </w:tcPr>
          <w:p w14:paraId="17DB881E" w14:textId="7AD4D765" w:rsidR="002A5FA6" w:rsidRPr="00D922B7" w:rsidRDefault="002A5FA6" w:rsidP="002A5FA6">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C7.2 I2</w:t>
            </w:r>
          </w:p>
        </w:tc>
        <w:tc>
          <w:tcPr>
            <w:tcW w:w="1134" w:type="dxa"/>
            <w:tcBorders>
              <w:top w:val="nil"/>
              <w:left w:val="nil"/>
              <w:bottom w:val="single" w:sz="6" w:space="0" w:color="auto"/>
              <w:right w:val="single" w:sz="6" w:space="0" w:color="auto"/>
            </w:tcBorders>
            <w:shd w:val="clear" w:color="auto" w:fill="C6EFCE"/>
            <w:vAlign w:val="center"/>
          </w:tcPr>
          <w:p w14:paraId="5C01A397" w14:textId="5258325B" w:rsidR="002A5FA6" w:rsidRPr="00D922B7" w:rsidRDefault="002A5FA6" w:rsidP="002A5FA6">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45EDB6A4" w14:textId="1C909FDB" w:rsidR="002A5FA6" w:rsidRPr="00D922B7" w:rsidRDefault="002A5FA6" w:rsidP="002A5FA6">
            <w:pPr>
              <w:spacing w:after="0" w:line="240" w:lineRule="auto"/>
              <w:jc w:val="both"/>
              <w:textAlignment w:val="baseline"/>
              <w:rPr>
                <w:rFonts w:ascii="Times New Roman" w:eastAsia="Calibri" w:hAnsi="Times New Roman" w:cs="Times New Roman"/>
                <w:noProof/>
                <w:sz w:val="20"/>
                <w:szCs w:val="20"/>
              </w:rPr>
            </w:pPr>
            <w:r>
              <w:rPr>
                <w:rFonts w:ascii="Times New Roman" w:hAnsi="Times New Roman"/>
                <w:noProof/>
                <w:sz w:val="20"/>
              </w:rPr>
              <w:t>Energetska obnova i obnova nakon potresa za višestambene zgrade oštećene u potresima</w:t>
            </w:r>
          </w:p>
        </w:tc>
      </w:tr>
      <w:tr w:rsidR="002A5FA6" w:rsidRPr="0059000D" w14:paraId="053D8CD4"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359AC86B" w14:textId="73516361" w:rsidR="002A5FA6" w:rsidRPr="00D922B7" w:rsidRDefault="002A5FA6" w:rsidP="002A5FA6">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357</w:t>
            </w:r>
          </w:p>
        </w:tc>
        <w:tc>
          <w:tcPr>
            <w:tcW w:w="1642" w:type="dxa"/>
            <w:tcBorders>
              <w:top w:val="nil"/>
              <w:left w:val="nil"/>
              <w:bottom w:val="single" w:sz="6" w:space="0" w:color="auto"/>
              <w:right w:val="single" w:sz="6" w:space="0" w:color="auto"/>
            </w:tcBorders>
            <w:shd w:val="clear" w:color="auto" w:fill="C6EFCE"/>
            <w:vAlign w:val="center"/>
          </w:tcPr>
          <w:p w14:paraId="0E077176" w14:textId="145E83BE" w:rsidR="002A5FA6" w:rsidRPr="00D922B7" w:rsidRDefault="002A5FA6" w:rsidP="002A5FA6">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C7.2 I2</w:t>
            </w:r>
          </w:p>
        </w:tc>
        <w:tc>
          <w:tcPr>
            <w:tcW w:w="1134" w:type="dxa"/>
            <w:tcBorders>
              <w:top w:val="nil"/>
              <w:left w:val="nil"/>
              <w:bottom w:val="single" w:sz="6" w:space="0" w:color="auto"/>
              <w:right w:val="single" w:sz="6" w:space="0" w:color="auto"/>
            </w:tcBorders>
            <w:shd w:val="clear" w:color="auto" w:fill="C6EFCE"/>
            <w:vAlign w:val="center"/>
          </w:tcPr>
          <w:p w14:paraId="4E98855F" w14:textId="08F0BB1C" w:rsidR="002A5FA6" w:rsidRPr="00D922B7" w:rsidRDefault="002A5FA6" w:rsidP="002A5FA6">
            <w:pPr>
              <w:spacing w:after="0" w:line="240" w:lineRule="auto"/>
              <w:jc w:val="center"/>
              <w:textAlignment w:val="baseline"/>
              <w:rPr>
                <w:rFonts w:ascii="Times New Roman" w:eastAsia="Calibri"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4C416E9E" w14:textId="1646E5A9" w:rsidR="002A5FA6" w:rsidRPr="00D922B7" w:rsidRDefault="002A5FA6" w:rsidP="002A5FA6">
            <w:pPr>
              <w:spacing w:after="0" w:line="240" w:lineRule="auto"/>
              <w:jc w:val="both"/>
              <w:textAlignment w:val="baseline"/>
              <w:rPr>
                <w:rFonts w:ascii="Times New Roman" w:eastAsia="Calibri" w:hAnsi="Times New Roman" w:cs="Times New Roman"/>
                <w:noProof/>
                <w:sz w:val="20"/>
                <w:szCs w:val="20"/>
              </w:rPr>
            </w:pPr>
            <w:r>
              <w:rPr>
                <w:rFonts w:ascii="Times New Roman" w:hAnsi="Times New Roman"/>
                <w:noProof/>
                <w:sz w:val="20"/>
              </w:rPr>
              <w:t>Energetska obnova i obnova nakon potresa za javne zgrade oštećene u potresu</w:t>
            </w:r>
          </w:p>
        </w:tc>
      </w:tr>
      <w:tr w:rsidR="00095369" w:rsidRPr="0059000D" w14:paraId="46145260"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DBB7A53" w14:textId="4FDFB88C" w:rsidR="00095369" w:rsidRPr="00D922B7" w:rsidRDefault="00AB20D1">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403</w:t>
            </w:r>
          </w:p>
        </w:tc>
        <w:tc>
          <w:tcPr>
            <w:tcW w:w="1642" w:type="dxa"/>
            <w:tcBorders>
              <w:top w:val="nil"/>
              <w:left w:val="nil"/>
              <w:bottom w:val="single" w:sz="6" w:space="0" w:color="auto"/>
              <w:right w:val="single" w:sz="6" w:space="0" w:color="auto"/>
            </w:tcBorders>
            <w:shd w:val="clear" w:color="auto" w:fill="C6EFCE"/>
            <w:vAlign w:val="center"/>
          </w:tcPr>
          <w:p w14:paraId="62C3DD37" w14:textId="56097CBC" w:rsidR="00095369" w:rsidRPr="00D922B7" w:rsidRDefault="00095369" w:rsidP="00C95310">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C6.1. R7</w:t>
            </w:r>
          </w:p>
        </w:tc>
        <w:tc>
          <w:tcPr>
            <w:tcW w:w="1134" w:type="dxa"/>
            <w:tcBorders>
              <w:top w:val="nil"/>
              <w:left w:val="nil"/>
              <w:bottom w:val="single" w:sz="6" w:space="0" w:color="auto"/>
              <w:right w:val="single" w:sz="6" w:space="0" w:color="auto"/>
            </w:tcBorders>
            <w:shd w:val="clear" w:color="auto" w:fill="C6EFCE"/>
            <w:vAlign w:val="center"/>
          </w:tcPr>
          <w:p w14:paraId="0F0A7654" w14:textId="77777777" w:rsidR="00095369" w:rsidRPr="00D922B7" w:rsidRDefault="00095369" w:rsidP="00AB20D1">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Ciljna vrijednost</w:t>
            </w:r>
          </w:p>
        </w:tc>
        <w:tc>
          <w:tcPr>
            <w:tcW w:w="5529" w:type="dxa"/>
            <w:tcBorders>
              <w:top w:val="nil"/>
              <w:left w:val="nil"/>
              <w:bottom w:val="single" w:sz="6" w:space="0" w:color="auto"/>
              <w:right w:val="single" w:sz="6" w:space="0" w:color="auto"/>
            </w:tcBorders>
            <w:shd w:val="clear" w:color="auto" w:fill="C6EFCE"/>
            <w:vAlign w:val="center"/>
          </w:tcPr>
          <w:p w14:paraId="1F6A24D9" w14:textId="77777777" w:rsidR="00095369" w:rsidRPr="00D922B7" w:rsidRDefault="00095369">
            <w:pPr>
              <w:spacing w:after="0" w:line="240" w:lineRule="auto"/>
              <w:jc w:val="both"/>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Završeni pilot-projekti</w:t>
            </w:r>
          </w:p>
        </w:tc>
      </w:tr>
      <w:tr w:rsidR="00095369" w:rsidRPr="0059000D" w14:paraId="0C6A787A"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4A919E6" w14:textId="264E1465" w:rsidR="00095369" w:rsidRPr="00D922B7" w:rsidRDefault="00AB20D1">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404</w:t>
            </w:r>
          </w:p>
        </w:tc>
        <w:tc>
          <w:tcPr>
            <w:tcW w:w="1642" w:type="dxa"/>
            <w:tcBorders>
              <w:top w:val="nil"/>
              <w:left w:val="nil"/>
              <w:bottom w:val="single" w:sz="6" w:space="0" w:color="auto"/>
              <w:right w:val="single" w:sz="6" w:space="0" w:color="auto"/>
            </w:tcBorders>
            <w:shd w:val="clear" w:color="auto" w:fill="C6EFCE"/>
            <w:vAlign w:val="center"/>
          </w:tcPr>
          <w:p w14:paraId="3472D191" w14:textId="41B21363" w:rsidR="00095369" w:rsidRPr="00D922B7" w:rsidRDefault="00095369" w:rsidP="00C95310">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     C6.1. R7</w:t>
            </w:r>
          </w:p>
        </w:tc>
        <w:tc>
          <w:tcPr>
            <w:tcW w:w="1134" w:type="dxa"/>
            <w:tcBorders>
              <w:top w:val="nil"/>
              <w:left w:val="nil"/>
              <w:bottom w:val="single" w:sz="6" w:space="0" w:color="auto"/>
              <w:right w:val="single" w:sz="6" w:space="0" w:color="auto"/>
            </w:tcBorders>
            <w:shd w:val="clear" w:color="auto" w:fill="C6EFCE"/>
            <w:vAlign w:val="center"/>
          </w:tcPr>
          <w:p w14:paraId="33DE8915" w14:textId="77777777" w:rsidR="00095369" w:rsidRPr="00D922B7" w:rsidRDefault="00095369" w:rsidP="00AB20D1">
            <w:pPr>
              <w:spacing w:after="0" w:line="240" w:lineRule="auto"/>
              <w:jc w:val="center"/>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  Ključna etapa</w:t>
            </w:r>
          </w:p>
        </w:tc>
        <w:tc>
          <w:tcPr>
            <w:tcW w:w="5529" w:type="dxa"/>
            <w:tcBorders>
              <w:top w:val="nil"/>
              <w:left w:val="nil"/>
              <w:bottom w:val="single" w:sz="6" w:space="0" w:color="auto"/>
              <w:right w:val="single" w:sz="6" w:space="0" w:color="auto"/>
            </w:tcBorders>
            <w:shd w:val="clear" w:color="auto" w:fill="C6EFCE"/>
            <w:vAlign w:val="center"/>
          </w:tcPr>
          <w:p w14:paraId="7B3DC98F" w14:textId="77777777" w:rsidR="00095369" w:rsidRPr="00D922B7" w:rsidRDefault="00095369">
            <w:pPr>
              <w:spacing w:after="0" w:line="240" w:lineRule="auto"/>
              <w:jc w:val="both"/>
              <w:textAlignment w:val="baseline"/>
              <w:rPr>
                <w:rFonts w:ascii="Times New Roman" w:eastAsia="Calibri" w:hAnsi="Times New Roman" w:cs="Times New Roman"/>
                <w:noProof/>
                <w:color w:val="000000"/>
                <w:sz w:val="20"/>
                <w:szCs w:val="20"/>
              </w:rPr>
            </w:pPr>
            <w:r>
              <w:rPr>
                <w:rFonts w:ascii="Times New Roman" w:hAnsi="Times New Roman"/>
                <w:noProof/>
                <w:color w:val="000000"/>
                <w:sz w:val="20"/>
              </w:rPr>
              <w:t> Donesene nacionalne smjernice o kružnoj uporabi građevinskog otpada iz zgrada sa statusom kulturnog dobra</w:t>
            </w:r>
          </w:p>
        </w:tc>
      </w:tr>
      <w:tr w:rsidR="00095369" w:rsidRPr="0059000D" w14:paraId="44493FD2"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3F058AA0" w14:textId="609965F7"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417</w:t>
            </w:r>
          </w:p>
        </w:tc>
        <w:tc>
          <w:tcPr>
            <w:tcW w:w="1642" w:type="dxa"/>
            <w:tcBorders>
              <w:top w:val="nil"/>
              <w:left w:val="nil"/>
              <w:bottom w:val="single" w:sz="6" w:space="0" w:color="auto"/>
              <w:right w:val="single" w:sz="6" w:space="0" w:color="auto"/>
            </w:tcBorders>
            <w:shd w:val="clear" w:color="auto" w:fill="C6EFCE"/>
            <w:vAlign w:val="center"/>
          </w:tcPr>
          <w:p w14:paraId="52A3FB48" w14:textId="1D9F313D"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R1-I4</w:t>
            </w:r>
          </w:p>
        </w:tc>
        <w:tc>
          <w:tcPr>
            <w:tcW w:w="1134" w:type="dxa"/>
            <w:tcBorders>
              <w:top w:val="nil"/>
              <w:left w:val="nil"/>
              <w:bottom w:val="single" w:sz="6" w:space="0" w:color="auto"/>
              <w:right w:val="single" w:sz="6" w:space="0" w:color="auto"/>
            </w:tcBorders>
            <w:shd w:val="clear" w:color="auto" w:fill="C6EFCE"/>
            <w:vAlign w:val="center"/>
          </w:tcPr>
          <w:p w14:paraId="77EBED38"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30F8650C"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xml:space="preserve">Postrojenje za proizvodnju biometana </w:t>
            </w:r>
          </w:p>
        </w:tc>
      </w:tr>
      <w:tr w:rsidR="00095369" w:rsidRPr="0059000D" w14:paraId="6C539868"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4922398C" w14:textId="74CF2577"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418</w:t>
            </w:r>
          </w:p>
        </w:tc>
        <w:tc>
          <w:tcPr>
            <w:tcW w:w="1642" w:type="dxa"/>
            <w:tcBorders>
              <w:top w:val="nil"/>
              <w:left w:val="nil"/>
              <w:bottom w:val="single" w:sz="6" w:space="0" w:color="auto"/>
              <w:right w:val="single" w:sz="6" w:space="0" w:color="auto"/>
            </w:tcBorders>
            <w:shd w:val="clear" w:color="auto" w:fill="C6EFCE"/>
            <w:vAlign w:val="center"/>
          </w:tcPr>
          <w:p w14:paraId="41069D08" w14:textId="6745C8E0"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R1-I4</w:t>
            </w:r>
          </w:p>
        </w:tc>
        <w:tc>
          <w:tcPr>
            <w:tcW w:w="1134" w:type="dxa"/>
            <w:tcBorders>
              <w:top w:val="nil"/>
              <w:left w:val="nil"/>
              <w:bottom w:val="single" w:sz="6" w:space="0" w:color="auto"/>
              <w:right w:val="single" w:sz="6" w:space="0" w:color="auto"/>
            </w:tcBorders>
            <w:shd w:val="clear" w:color="auto" w:fill="C6EFCE"/>
            <w:vAlign w:val="center"/>
          </w:tcPr>
          <w:p w14:paraId="35C30856"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16238936"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Infrastruktura za punjenje električnih autobusa</w:t>
            </w:r>
          </w:p>
        </w:tc>
      </w:tr>
      <w:tr w:rsidR="00095369" w:rsidRPr="0059000D" w14:paraId="6DDCFA5C"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627C31B" w14:textId="5F842A29"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419</w:t>
            </w:r>
          </w:p>
        </w:tc>
        <w:tc>
          <w:tcPr>
            <w:tcW w:w="1642" w:type="dxa"/>
            <w:tcBorders>
              <w:top w:val="nil"/>
              <w:left w:val="nil"/>
              <w:bottom w:val="single" w:sz="6" w:space="0" w:color="auto"/>
              <w:right w:val="single" w:sz="6" w:space="0" w:color="auto"/>
            </w:tcBorders>
            <w:shd w:val="clear" w:color="auto" w:fill="C6EFCE"/>
            <w:vAlign w:val="center"/>
          </w:tcPr>
          <w:p w14:paraId="3E74A4D2" w14:textId="50CE8899"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R1-I6</w:t>
            </w:r>
          </w:p>
        </w:tc>
        <w:tc>
          <w:tcPr>
            <w:tcW w:w="1134" w:type="dxa"/>
            <w:tcBorders>
              <w:top w:val="nil"/>
              <w:left w:val="nil"/>
              <w:bottom w:val="single" w:sz="6" w:space="0" w:color="auto"/>
              <w:right w:val="single" w:sz="6" w:space="0" w:color="auto"/>
            </w:tcBorders>
            <w:shd w:val="clear" w:color="auto" w:fill="C6EFCE"/>
            <w:vAlign w:val="center"/>
          </w:tcPr>
          <w:p w14:paraId="1BE3E71B"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1125AFFB"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Zamjena transformatora</w:t>
            </w:r>
          </w:p>
        </w:tc>
      </w:tr>
      <w:tr w:rsidR="00095369" w:rsidRPr="0059000D" w14:paraId="243E5551"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517D94E1" w14:textId="510F5FAD"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420</w:t>
            </w:r>
          </w:p>
        </w:tc>
        <w:tc>
          <w:tcPr>
            <w:tcW w:w="1642" w:type="dxa"/>
            <w:tcBorders>
              <w:top w:val="nil"/>
              <w:left w:val="nil"/>
              <w:bottom w:val="single" w:sz="6" w:space="0" w:color="auto"/>
              <w:right w:val="single" w:sz="6" w:space="0" w:color="auto"/>
            </w:tcBorders>
            <w:shd w:val="clear" w:color="auto" w:fill="C6EFCE"/>
            <w:vAlign w:val="center"/>
          </w:tcPr>
          <w:p w14:paraId="59C56683" w14:textId="6245E005"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R1-I6</w:t>
            </w:r>
          </w:p>
        </w:tc>
        <w:tc>
          <w:tcPr>
            <w:tcW w:w="1134" w:type="dxa"/>
            <w:tcBorders>
              <w:top w:val="nil"/>
              <w:left w:val="nil"/>
              <w:bottom w:val="single" w:sz="6" w:space="0" w:color="auto"/>
              <w:right w:val="single" w:sz="6" w:space="0" w:color="auto"/>
            </w:tcBorders>
            <w:shd w:val="clear" w:color="auto" w:fill="C6EFCE"/>
            <w:vAlign w:val="center"/>
          </w:tcPr>
          <w:p w14:paraId="04FA8337"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lang w:val="en-IE" w:eastAsia="en-IE"/>
              </w:rPr>
            </w:pPr>
          </w:p>
        </w:tc>
        <w:tc>
          <w:tcPr>
            <w:tcW w:w="5529" w:type="dxa"/>
            <w:tcBorders>
              <w:top w:val="nil"/>
              <w:left w:val="nil"/>
              <w:bottom w:val="single" w:sz="6" w:space="0" w:color="auto"/>
              <w:right w:val="single" w:sz="6" w:space="0" w:color="auto"/>
            </w:tcBorders>
            <w:shd w:val="clear" w:color="auto" w:fill="C6EFCE"/>
          </w:tcPr>
          <w:p w14:paraId="19887D5F"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xml:space="preserve">Rekonstrukcije postrojenja </w:t>
            </w:r>
          </w:p>
        </w:tc>
      </w:tr>
      <w:tr w:rsidR="00095369" w:rsidRPr="0059000D" w14:paraId="11D154D1"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65BD9EC" w14:textId="0A6FC5F0"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426</w:t>
            </w:r>
          </w:p>
        </w:tc>
        <w:tc>
          <w:tcPr>
            <w:tcW w:w="1642" w:type="dxa"/>
            <w:tcBorders>
              <w:top w:val="nil"/>
              <w:left w:val="nil"/>
              <w:bottom w:val="single" w:sz="6" w:space="0" w:color="auto"/>
              <w:right w:val="single" w:sz="6" w:space="0" w:color="auto"/>
            </w:tcBorders>
            <w:shd w:val="clear" w:color="auto" w:fill="C6EFCE"/>
            <w:vAlign w:val="center"/>
          </w:tcPr>
          <w:p w14:paraId="0CC3EFE1" w14:textId="1623C248"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I3</w:t>
            </w:r>
          </w:p>
        </w:tc>
        <w:tc>
          <w:tcPr>
            <w:tcW w:w="1134" w:type="dxa"/>
            <w:tcBorders>
              <w:top w:val="nil"/>
              <w:left w:val="nil"/>
              <w:bottom w:val="single" w:sz="6" w:space="0" w:color="auto"/>
              <w:right w:val="single" w:sz="6" w:space="0" w:color="auto"/>
            </w:tcBorders>
            <w:shd w:val="clear" w:color="auto" w:fill="C6EFCE"/>
            <w:vAlign w:val="center"/>
          </w:tcPr>
          <w:p w14:paraId="53D6469B"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5E5F872B"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xml:space="preserve">Izgradnja proširenog plinovoda Bosiljevo–Sisak–Kozarac </w:t>
            </w:r>
          </w:p>
        </w:tc>
      </w:tr>
      <w:tr w:rsidR="00095369" w:rsidRPr="0059000D" w14:paraId="1911E84F"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6AF8163" w14:textId="61DB928B"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428</w:t>
            </w:r>
          </w:p>
        </w:tc>
        <w:tc>
          <w:tcPr>
            <w:tcW w:w="1642" w:type="dxa"/>
            <w:tcBorders>
              <w:top w:val="nil"/>
              <w:left w:val="nil"/>
              <w:bottom w:val="single" w:sz="6" w:space="0" w:color="auto"/>
              <w:right w:val="single" w:sz="6" w:space="0" w:color="auto"/>
            </w:tcBorders>
            <w:shd w:val="clear" w:color="auto" w:fill="C6EFCE"/>
            <w:vAlign w:val="center"/>
          </w:tcPr>
          <w:p w14:paraId="360373EE" w14:textId="15317A54"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C7.1 I3</w:t>
            </w:r>
          </w:p>
        </w:tc>
        <w:tc>
          <w:tcPr>
            <w:tcW w:w="1134" w:type="dxa"/>
            <w:tcBorders>
              <w:top w:val="nil"/>
              <w:left w:val="nil"/>
              <w:bottom w:val="single" w:sz="6" w:space="0" w:color="auto"/>
              <w:right w:val="single" w:sz="6" w:space="0" w:color="auto"/>
            </w:tcBorders>
            <w:shd w:val="clear" w:color="auto" w:fill="C6EFCE"/>
            <w:vAlign w:val="center"/>
          </w:tcPr>
          <w:p w14:paraId="3D833772"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6DF2DCEA"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Izgradnja proširene dionice Lučko–Zabok interkonekcije Hrvatska–Slovenija.</w:t>
            </w:r>
          </w:p>
        </w:tc>
      </w:tr>
      <w:tr w:rsidR="00095369" w:rsidRPr="0059000D" w14:paraId="2DC13780" w14:textId="77777777" w:rsidTr="00682744">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771D2C8" w14:textId="1C7EA669" w:rsidR="00095369" w:rsidRPr="00D922B7" w:rsidRDefault="00AB20D1" w:rsidP="00C95310">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432</w:t>
            </w:r>
          </w:p>
        </w:tc>
        <w:tc>
          <w:tcPr>
            <w:tcW w:w="1642" w:type="dxa"/>
            <w:tcBorders>
              <w:top w:val="nil"/>
              <w:left w:val="nil"/>
              <w:bottom w:val="single" w:sz="6" w:space="0" w:color="auto"/>
              <w:right w:val="single" w:sz="6" w:space="0" w:color="auto"/>
            </w:tcBorders>
            <w:shd w:val="clear" w:color="auto" w:fill="C6EFCE"/>
            <w:vAlign w:val="center"/>
          </w:tcPr>
          <w:p w14:paraId="04AFF516" w14:textId="68C3CEC3"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C7.2. R3</w:t>
            </w:r>
          </w:p>
        </w:tc>
        <w:tc>
          <w:tcPr>
            <w:tcW w:w="1134" w:type="dxa"/>
            <w:tcBorders>
              <w:top w:val="nil"/>
              <w:left w:val="nil"/>
              <w:bottom w:val="single" w:sz="6" w:space="0" w:color="auto"/>
              <w:right w:val="single" w:sz="6" w:space="0" w:color="auto"/>
            </w:tcBorders>
            <w:shd w:val="clear" w:color="auto" w:fill="C6EFCE"/>
            <w:vAlign w:val="center"/>
          </w:tcPr>
          <w:p w14:paraId="6D5A09D5"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32381D1A"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Provedba pilot-projekata utvrđenih u strategiji zelene urbane obnove i povezanih s nacionalnim programima o zelenoj infrastrukturi i kružnom gospodarenju prostorom i zgradama</w:t>
            </w:r>
          </w:p>
        </w:tc>
      </w:tr>
      <w:tr w:rsidR="00095369" w:rsidRPr="0059000D" w14:paraId="7B84F18A" w14:textId="77777777" w:rsidTr="00E1256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687B0729" w14:textId="68D9FBEE"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435</w:t>
            </w:r>
          </w:p>
        </w:tc>
        <w:tc>
          <w:tcPr>
            <w:tcW w:w="1642" w:type="dxa"/>
            <w:tcBorders>
              <w:top w:val="nil"/>
              <w:left w:val="nil"/>
              <w:bottom w:val="single" w:sz="6" w:space="0" w:color="auto"/>
              <w:right w:val="single" w:sz="6" w:space="0" w:color="auto"/>
            </w:tcBorders>
            <w:shd w:val="clear" w:color="auto" w:fill="C6EFCE"/>
            <w:vAlign w:val="center"/>
          </w:tcPr>
          <w:p w14:paraId="52CE8BAE" w14:textId="54FC22E1"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C7.2 I1</w:t>
            </w:r>
          </w:p>
        </w:tc>
        <w:tc>
          <w:tcPr>
            <w:tcW w:w="1134" w:type="dxa"/>
            <w:tcBorders>
              <w:top w:val="nil"/>
              <w:left w:val="nil"/>
              <w:bottom w:val="single" w:sz="6" w:space="0" w:color="auto"/>
              <w:right w:val="single" w:sz="6" w:space="0" w:color="auto"/>
            </w:tcBorders>
            <w:shd w:val="clear" w:color="auto" w:fill="C6EFCE"/>
            <w:vAlign w:val="center"/>
          </w:tcPr>
          <w:p w14:paraId="58D17F9B"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78193EA3"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Energetska obnova višestambenih javnih zgrada</w:t>
            </w:r>
          </w:p>
        </w:tc>
      </w:tr>
      <w:tr w:rsidR="00095369" w:rsidRPr="0059000D" w14:paraId="767F5957" w14:textId="77777777" w:rsidTr="00E1256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363344ED" w14:textId="2BF48B66"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436</w:t>
            </w:r>
          </w:p>
        </w:tc>
        <w:tc>
          <w:tcPr>
            <w:tcW w:w="1642" w:type="dxa"/>
            <w:tcBorders>
              <w:top w:val="nil"/>
              <w:left w:val="nil"/>
              <w:bottom w:val="single" w:sz="6" w:space="0" w:color="auto"/>
              <w:right w:val="single" w:sz="6" w:space="0" w:color="auto"/>
            </w:tcBorders>
            <w:shd w:val="clear" w:color="auto" w:fill="C6EFCE"/>
            <w:vAlign w:val="center"/>
          </w:tcPr>
          <w:p w14:paraId="67E8136F" w14:textId="4F64AD1B"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C7.2 I1</w:t>
            </w:r>
          </w:p>
        </w:tc>
        <w:tc>
          <w:tcPr>
            <w:tcW w:w="1134" w:type="dxa"/>
            <w:tcBorders>
              <w:top w:val="nil"/>
              <w:left w:val="nil"/>
              <w:bottom w:val="single" w:sz="6" w:space="0" w:color="auto"/>
              <w:right w:val="single" w:sz="6" w:space="0" w:color="auto"/>
            </w:tcBorders>
            <w:shd w:val="clear" w:color="auto" w:fill="C6EFCE"/>
            <w:vAlign w:val="center"/>
          </w:tcPr>
          <w:p w14:paraId="4D3E7346"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6FD9181F"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Energetska obnova javnih zgrada</w:t>
            </w:r>
          </w:p>
        </w:tc>
      </w:tr>
      <w:tr w:rsidR="00095369" w:rsidRPr="0059000D" w14:paraId="4D1ED085" w14:textId="77777777" w:rsidTr="00E1256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E935705" w14:textId="18003B4F"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437</w:t>
            </w:r>
          </w:p>
        </w:tc>
        <w:tc>
          <w:tcPr>
            <w:tcW w:w="1642" w:type="dxa"/>
            <w:tcBorders>
              <w:top w:val="nil"/>
              <w:left w:val="nil"/>
              <w:bottom w:val="single" w:sz="6" w:space="0" w:color="auto"/>
              <w:right w:val="single" w:sz="6" w:space="0" w:color="auto"/>
            </w:tcBorders>
            <w:shd w:val="clear" w:color="auto" w:fill="C6EFCE"/>
            <w:vAlign w:val="center"/>
          </w:tcPr>
          <w:p w14:paraId="457E0A65" w14:textId="168B8D3C"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C7.2 I1</w:t>
            </w:r>
          </w:p>
        </w:tc>
        <w:tc>
          <w:tcPr>
            <w:tcW w:w="1134" w:type="dxa"/>
            <w:tcBorders>
              <w:top w:val="nil"/>
              <w:left w:val="nil"/>
              <w:bottom w:val="single" w:sz="6" w:space="0" w:color="auto"/>
              <w:right w:val="single" w:sz="6" w:space="0" w:color="auto"/>
            </w:tcBorders>
            <w:shd w:val="clear" w:color="auto" w:fill="C6EFCE"/>
            <w:vAlign w:val="center"/>
          </w:tcPr>
          <w:p w14:paraId="0F61ABA5"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3102A273"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Ugradnja sustava obnovljivih izvora energije u zgrade javnog sektora</w:t>
            </w:r>
          </w:p>
        </w:tc>
      </w:tr>
      <w:tr w:rsidR="00095369" w:rsidRPr="0059000D" w14:paraId="04244626" w14:textId="77777777" w:rsidTr="00E1256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6729C65" w14:textId="33531BC3" w:rsidR="00095369" w:rsidRPr="00D922B7" w:rsidRDefault="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439</w:t>
            </w:r>
          </w:p>
        </w:tc>
        <w:tc>
          <w:tcPr>
            <w:tcW w:w="1642" w:type="dxa"/>
            <w:tcBorders>
              <w:top w:val="nil"/>
              <w:left w:val="nil"/>
              <w:bottom w:val="single" w:sz="6" w:space="0" w:color="auto"/>
              <w:right w:val="single" w:sz="6" w:space="0" w:color="auto"/>
            </w:tcBorders>
            <w:shd w:val="clear" w:color="auto" w:fill="C6EFCE"/>
            <w:vAlign w:val="center"/>
          </w:tcPr>
          <w:p w14:paraId="75E68503" w14:textId="517554F8"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C7.2 I2</w:t>
            </w:r>
          </w:p>
        </w:tc>
        <w:tc>
          <w:tcPr>
            <w:tcW w:w="1134" w:type="dxa"/>
            <w:tcBorders>
              <w:top w:val="nil"/>
              <w:left w:val="nil"/>
              <w:bottom w:val="single" w:sz="6" w:space="0" w:color="auto"/>
              <w:right w:val="single" w:sz="6" w:space="0" w:color="auto"/>
            </w:tcBorders>
            <w:shd w:val="clear" w:color="auto" w:fill="C6EFCE"/>
            <w:vAlign w:val="center"/>
          </w:tcPr>
          <w:p w14:paraId="2789B861" w14:textId="77777777" w:rsidR="00095369" w:rsidRPr="00D922B7" w:rsidRDefault="00095369" w:rsidP="00AB20D1">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Ciljna vrijednost</w:t>
            </w:r>
          </w:p>
        </w:tc>
        <w:tc>
          <w:tcPr>
            <w:tcW w:w="5529" w:type="dxa"/>
            <w:tcBorders>
              <w:top w:val="nil"/>
              <w:left w:val="nil"/>
              <w:bottom w:val="single" w:sz="6" w:space="0" w:color="auto"/>
              <w:right w:val="single" w:sz="6" w:space="0" w:color="auto"/>
            </w:tcBorders>
            <w:shd w:val="clear" w:color="auto" w:fill="C6EFCE"/>
          </w:tcPr>
          <w:p w14:paraId="6973377B"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Ugradnja sustava obnovljivih izvora energije u zgrade javnog sektora oštećene potresom</w:t>
            </w:r>
          </w:p>
        </w:tc>
      </w:tr>
      <w:tr w:rsidR="00095369" w:rsidRPr="0059000D" w14:paraId="2596E5A8" w14:textId="77777777">
        <w:trPr>
          <w:trHeight w:val="362"/>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7EA3D8D2" w14:textId="77777777" w:rsidR="00095369" w:rsidRPr="00D922B7" w:rsidRDefault="00095369">
            <w:pPr>
              <w:spacing w:after="0" w:line="240" w:lineRule="auto"/>
              <w:jc w:val="center"/>
              <w:textAlignment w:val="baseline"/>
              <w:rPr>
                <w:rFonts w:ascii="Times New Roman" w:eastAsia="Times New Roman" w:hAnsi="Times New Roman" w:cs="Times New Roman"/>
                <w:noProof/>
                <w:sz w:val="20"/>
                <w:szCs w:val="20"/>
              </w:rPr>
            </w:pPr>
            <w:r>
              <w:rPr>
                <w:rFonts w:ascii="Times New Roman" w:hAnsi="Times New Roman"/>
                <w:noProof/>
                <w:sz w:val="20"/>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6EC1F941"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 </w:t>
            </w:r>
          </w:p>
        </w:tc>
        <w:tc>
          <w:tcPr>
            <w:tcW w:w="1134" w:type="dxa"/>
            <w:tcBorders>
              <w:top w:val="single" w:sz="6" w:space="0" w:color="auto"/>
              <w:left w:val="nil"/>
              <w:bottom w:val="single" w:sz="6" w:space="0" w:color="auto"/>
              <w:right w:val="single" w:sz="6" w:space="0" w:color="auto"/>
            </w:tcBorders>
            <w:shd w:val="clear" w:color="auto" w:fill="C6EFCE"/>
            <w:vAlign w:val="bottom"/>
            <w:hideMark/>
          </w:tcPr>
          <w:p w14:paraId="22843451"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Iznos obroka </w:t>
            </w:r>
          </w:p>
        </w:tc>
        <w:tc>
          <w:tcPr>
            <w:tcW w:w="5529" w:type="dxa"/>
            <w:tcBorders>
              <w:top w:val="single" w:sz="6" w:space="0" w:color="auto"/>
              <w:left w:val="nil"/>
              <w:bottom w:val="single" w:sz="6" w:space="0" w:color="auto"/>
              <w:right w:val="single" w:sz="6" w:space="0" w:color="auto"/>
            </w:tcBorders>
            <w:shd w:val="clear" w:color="auto" w:fill="C6EFCE"/>
            <w:vAlign w:val="bottom"/>
            <w:hideMark/>
          </w:tcPr>
          <w:p w14:paraId="44D7CB16" w14:textId="77777777" w:rsidR="00095369" w:rsidRPr="00D922B7" w:rsidRDefault="00095369">
            <w:pPr>
              <w:spacing w:after="0" w:line="240" w:lineRule="auto"/>
              <w:jc w:val="both"/>
              <w:textAlignment w:val="baseline"/>
              <w:rPr>
                <w:rFonts w:ascii="Times New Roman" w:eastAsia="Times New Roman" w:hAnsi="Times New Roman" w:cs="Times New Roman"/>
                <w:noProof/>
                <w:sz w:val="20"/>
                <w:szCs w:val="20"/>
              </w:rPr>
            </w:pPr>
            <w:r>
              <w:rPr>
                <w:rFonts w:ascii="Times New Roman" w:hAnsi="Times New Roman"/>
                <w:noProof/>
                <w:sz w:val="20"/>
              </w:rPr>
              <w:t>1 500 000 000 EUR</w:t>
            </w:r>
          </w:p>
        </w:tc>
      </w:tr>
    </w:tbl>
    <w:p w14:paraId="28F52FA1" w14:textId="77777777" w:rsidR="00095369" w:rsidRPr="0059000D" w:rsidRDefault="00095369" w:rsidP="00095369">
      <w:pPr>
        <w:spacing w:after="0" w:line="240" w:lineRule="auto"/>
        <w:ind w:left="705"/>
        <w:jc w:val="both"/>
        <w:textAlignment w:val="baseline"/>
        <w:rPr>
          <w:rFonts w:ascii="Segoe UI" w:eastAsia="Times New Roman" w:hAnsi="Segoe UI" w:cs="Segoe UI"/>
          <w:noProof/>
          <w:sz w:val="18"/>
          <w:szCs w:val="18"/>
        </w:rPr>
      </w:pPr>
      <w:r>
        <w:rPr>
          <w:rFonts w:ascii="Times New Roman" w:hAnsi="Times New Roman"/>
          <w:i/>
          <w:noProof/>
          <w:color w:val="4F81BD"/>
          <w:sz w:val="24"/>
        </w:rPr>
        <w:t xml:space="preserve"> </w:t>
      </w:r>
    </w:p>
    <w:p w14:paraId="613105E8" w14:textId="77777777" w:rsidR="00095369" w:rsidRPr="0059000D" w:rsidRDefault="00095369" w:rsidP="00095369">
      <w:pPr>
        <w:spacing w:after="0" w:line="240" w:lineRule="auto"/>
        <w:jc w:val="both"/>
        <w:textAlignment w:val="baseline"/>
        <w:rPr>
          <w:rFonts w:ascii="Segoe UI" w:eastAsia="Times New Roman" w:hAnsi="Segoe UI" w:cs="Segoe UI"/>
          <w:noProof/>
          <w:sz w:val="18"/>
          <w:szCs w:val="18"/>
        </w:rPr>
      </w:pPr>
      <w:r>
        <w:rPr>
          <w:rFonts w:ascii="Times New Roman" w:hAnsi="Times New Roman"/>
          <w:noProof/>
          <w:sz w:val="24"/>
        </w:rPr>
        <w:t> </w:t>
      </w:r>
    </w:p>
    <w:p w14:paraId="30BC8DFE" w14:textId="77777777" w:rsidR="00095369" w:rsidRDefault="00095369" w:rsidP="00095369">
      <w:pPr>
        <w:spacing w:after="0" w:line="240" w:lineRule="auto"/>
        <w:jc w:val="both"/>
        <w:textAlignment w:val="baseline"/>
        <w:rPr>
          <w:rFonts w:ascii="Times New Roman" w:eastAsia="Times New Roman" w:hAnsi="Times New Roman" w:cs="Times New Roman"/>
          <w:b/>
          <w:bCs/>
          <w:noProof/>
          <w:sz w:val="24"/>
          <w:szCs w:val="24"/>
          <w:lang w:val="en-GB" w:eastAsia="en-IE"/>
        </w:rPr>
        <w:sectPr w:rsidR="00095369">
          <w:headerReference w:type="even" r:id="rId450"/>
          <w:headerReference w:type="default" r:id="rId451"/>
          <w:footerReference w:type="even" r:id="rId452"/>
          <w:footerReference w:type="default" r:id="rId453"/>
          <w:headerReference w:type="first" r:id="rId454"/>
          <w:footerReference w:type="first" r:id="rId455"/>
          <w:pgSz w:w="12240" w:h="15840"/>
          <w:pgMar w:top="1440" w:right="1440" w:bottom="1440" w:left="1440" w:header="708" w:footer="708" w:gutter="0"/>
          <w:cols w:space="708"/>
          <w:docGrid w:linePitch="360"/>
        </w:sectPr>
      </w:pPr>
    </w:p>
    <w:p w14:paraId="4CA014A7" w14:textId="77777777" w:rsidR="00095369" w:rsidRPr="0059000D" w:rsidRDefault="00095369" w:rsidP="00095369">
      <w:pPr>
        <w:spacing w:line="240" w:lineRule="auto"/>
        <w:jc w:val="both"/>
        <w:textAlignment w:val="baseline"/>
        <w:rPr>
          <w:rFonts w:ascii="Segoe UI" w:eastAsia="Times New Roman" w:hAnsi="Segoe UI" w:cs="Segoe UI"/>
          <w:noProof/>
          <w:sz w:val="18"/>
          <w:szCs w:val="18"/>
        </w:rPr>
      </w:pPr>
      <w:r>
        <w:rPr>
          <w:rFonts w:ascii="Times New Roman" w:hAnsi="Times New Roman"/>
          <w:b/>
          <w:noProof/>
          <w:sz w:val="24"/>
        </w:rPr>
        <w:t>ODJELJAK 3.: DODATNI ARANŽMANI </w:t>
      </w:r>
      <w:r>
        <w:rPr>
          <w:rFonts w:ascii="Times New Roman" w:hAnsi="Times New Roman"/>
          <w:noProof/>
          <w:sz w:val="24"/>
        </w:rPr>
        <w:t> </w:t>
      </w:r>
    </w:p>
    <w:p w14:paraId="34451A2B" w14:textId="77777777" w:rsidR="00095369" w:rsidRPr="0059000D" w:rsidRDefault="00095369" w:rsidP="00095369">
      <w:pPr>
        <w:numPr>
          <w:ilvl w:val="0"/>
          <w:numId w:val="54"/>
        </w:numPr>
        <w:spacing w:line="240" w:lineRule="auto"/>
        <w:ind w:firstLine="0"/>
        <w:jc w:val="both"/>
        <w:textAlignment w:val="baseline"/>
        <w:rPr>
          <w:rFonts w:ascii="Times New Roman" w:eastAsia="Times New Roman" w:hAnsi="Times New Roman" w:cs="Times New Roman"/>
          <w:noProof/>
          <w:sz w:val="24"/>
          <w:szCs w:val="24"/>
        </w:rPr>
      </w:pPr>
      <w:r>
        <w:rPr>
          <w:rFonts w:ascii="Times New Roman" w:hAnsi="Times New Roman"/>
          <w:b/>
          <w:noProof/>
          <w:sz w:val="24"/>
        </w:rPr>
        <w:t>Aranžmani za praćenje i provedbu plana za oporavak i otpornost</w:t>
      </w:r>
      <w:r>
        <w:rPr>
          <w:rFonts w:ascii="Times New Roman" w:hAnsi="Times New Roman"/>
          <w:noProof/>
          <w:sz w:val="24"/>
        </w:rPr>
        <w:t> </w:t>
      </w:r>
    </w:p>
    <w:p w14:paraId="5A09B2BE" w14:textId="77777777" w:rsidR="00095369"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Praćenje i provedba plana za oporavak i otpornost Hrvatske odvija se u skladu sa sljedećim aranžmanima. </w:t>
      </w:r>
    </w:p>
    <w:p w14:paraId="411B1C08" w14:textId="77777777" w:rsidR="00095369" w:rsidRPr="00572645"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Uspostavlja se višerazinska struktura za upravljanje, praćenje i provedbu s posebnim zadaćama i odgovornostima na svakoj razini kako je utvrđeno u nastavku:</w:t>
      </w:r>
    </w:p>
    <w:p w14:paraId="480F4628" w14:textId="77777777" w:rsidR="00095369" w:rsidRPr="00572645" w:rsidRDefault="00095369" w:rsidP="00095369">
      <w:pPr>
        <w:spacing w:line="240" w:lineRule="auto"/>
        <w:ind w:left="720"/>
        <w:jc w:val="both"/>
        <w:textAlignment w:val="baseline"/>
        <w:rPr>
          <w:rFonts w:ascii="Times New Roman" w:eastAsia="Times New Roman" w:hAnsi="Times New Roman" w:cs="Times New Roman"/>
          <w:noProof/>
          <w:sz w:val="24"/>
          <w:szCs w:val="24"/>
        </w:rPr>
      </w:pPr>
      <w:r>
        <w:rPr>
          <w:rFonts w:ascii="Times New Roman" w:hAnsi="Times New Roman"/>
          <w:noProof/>
          <w:sz w:val="24"/>
        </w:rPr>
        <w:t>a) Upravljački odbor, kojim predsjeda predsjednik Vlade, zadužen za političko vodstvo i praćenje provedbe plana,</w:t>
      </w:r>
    </w:p>
    <w:p w14:paraId="0D0351EA" w14:textId="77777777" w:rsidR="00095369" w:rsidRPr="00572645" w:rsidRDefault="00095369" w:rsidP="00095369">
      <w:pPr>
        <w:spacing w:line="240" w:lineRule="auto"/>
        <w:ind w:left="720"/>
        <w:jc w:val="both"/>
        <w:textAlignment w:val="baseline"/>
        <w:rPr>
          <w:rFonts w:ascii="Times New Roman" w:eastAsia="Times New Roman" w:hAnsi="Times New Roman" w:cs="Times New Roman"/>
          <w:noProof/>
          <w:sz w:val="24"/>
          <w:szCs w:val="24"/>
        </w:rPr>
      </w:pPr>
      <w:r>
        <w:rPr>
          <w:rFonts w:ascii="Times New Roman" w:hAnsi="Times New Roman"/>
          <w:noProof/>
          <w:sz w:val="24"/>
        </w:rPr>
        <w:t xml:space="preserve">b) Odbor za provedbu, koji se sastoji od predstavnika Ureda predsjednika Vlade, Koordinacijskog tijela, provedbenih tijela, Tijela za reviziju, Tijela zaduženog za slanje zahtjeva za plaćanje i Ministarstva regionalnog razvoja i fondova EU-a, koji je zadužen za sveukupno praćenje i provedbu plana i osiguravanje usklađenosti s drugim fondovima EU-a, </w:t>
      </w:r>
    </w:p>
    <w:p w14:paraId="536A2844" w14:textId="77777777" w:rsidR="00095369" w:rsidRPr="00572645" w:rsidRDefault="00095369" w:rsidP="00095369">
      <w:pPr>
        <w:spacing w:line="240" w:lineRule="auto"/>
        <w:ind w:left="720"/>
        <w:jc w:val="both"/>
        <w:textAlignment w:val="baseline"/>
        <w:rPr>
          <w:rFonts w:ascii="Times New Roman" w:eastAsia="Times New Roman" w:hAnsi="Times New Roman" w:cs="Times New Roman"/>
          <w:noProof/>
          <w:sz w:val="24"/>
          <w:szCs w:val="24"/>
        </w:rPr>
      </w:pPr>
      <w:r>
        <w:rPr>
          <w:rFonts w:ascii="Times New Roman" w:hAnsi="Times New Roman"/>
          <w:noProof/>
          <w:sz w:val="24"/>
        </w:rPr>
        <w:t>c) Središnje koordinacijsko tijelo, osnovano u okviru Ministarstva financija (Uprava za makroekonomske analize) i zaduženo za operativnu koordinaciju i praćenje plana za oporavak i otpornost, uključujući aktivno praćenje napretka u provedbi mjera, na temelju ključnih etapa i ciljnih vrijednosti utvrđenih za svaku komponentu,</w:t>
      </w:r>
    </w:p>
    <w:p w14:paraId="2A97A3A1" w14:textId="77777777" w:rsidR="00095369" w:rsidRPr="00572645" w:rsidRDefault="00095369" w:rsidP="00095369">
      <w:pPr>
        <w:spacing w:line="240" w:lineRule="auto"/>
        <w:ind w:left="720"/>
        <w:jc w:val="both"/>
        <w:textAlignment w:val="baseline"/>
        <w:rPr>
          <w:rFonts w:ascii="Times New Roman" w:eastAsia="Times New Roman" w:hAnsi="Times New Roman" w:cs="Times New Roman"/>
          <w:noProof/>
          <w:sz w:val="24"/>
          <w:szCs w:val="24"/>
        </w:rPr>
      </w:pPr>
      <w:r>
        <w:rPr>
          <w:rFonts w:ascii="Times New Roman" w:hAnsi="Times New Roman"/>
          <w:noProof/>
          <w:sz w:val="24"/>
        </w:rPr>
        <w:t>d) Tijelo za reviziju, Agencija za reviziju sustava provedbe programa Europske unije, zaduženo za provedbu revizija u okviru hrvatskog plana za oporavak i otpornost,</w:t>
      </w:r>
    </w:p>
    <w:p w14:paraId="166D12AF" w14:textId="77777777" w:rsidR="00095369" w:rsidRPr="00572645" w:rsidRDefault="00095369" w:rsidP="00095369">
      <w:pPr>
        <w:spacing w:line="240" w:lineRule="auto"/>
        <w:ind w:left="720"/>
        <w:jc w:val="both"/>
        <w:textAlignment w:val="baseline"/>
        <w:rPr>
          <w:rFonts w:ascii="Times New Roman" w:eastAsia="Times New Roman" w:hAnsi="Times New Roman" w:cs="Times New Roman"/>
          <w:noProof/>
          <w:sz w:val="24"/>
          <w:szCs w:val="24"/>
        </w:rPr>
      </w:pPr>
      <w:r>
        <w:rPr>
          <w:rFonts w:ascii="Times New Roman" w:hAnsi="Times New Roman"/>
          <w:noProof/>
          <w:sz w:val="24"/>
        </w:rPr>
        <w:t>e) Tijelo zaduženo za slanje zahtjeva za plaćanje, Nacionalni fond u okviru Ministarstva financija, nadležno za sastavljanje i podnošenje zahtjeva za plaćanje i izjava o upravljanju,</w:t>
      </w:r>
    </w:p>
    <w:p w14:paraId="71728A14" w14:textId="77777777" w:rsidR="00095369" w:rsidRDefault="00095369" w:rsidP="00095369">
      <w:pPr>
        <w:spacing w:line="240" w:lineRule="auto"/>
        <w:ind w:left="720"/>
        <w:jc w:val="both"/>
        <w:textAlignment w:val="baseline"/>
        <w:rPr>
          <w:rFonts w:ascii="Times New Roman" w:eastAsia="Times New Roman" w:hAnsi="Times New Roman" w:cs="Times New Roman"/>
          <w:noProof/>
          <w:sz w:val="24"/>
          <w:szCs w:val="24"/>
        </w:rPr>
      </w:pPr>
      <w:r>
        <w:rPr>
          <w:rFonts w:ascii="Times New Roman" w:hAnsi="Times New Roman"/>
          <w:noProof/>
          <w:sz w:val="24"/>
        </w:rPr>
        <w:t xml:space="preserve">f) provedbena tijela i agencije zadužene za provedbu pojedinih mjera te za praćenje napretka projekata. </w:t>
      </w:r>
    </w:p>
    <w:p w14:paraId="52281E8C" w14:textId="77777777" w:rsidR="00095369" w:rsidRPr="0059000D"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U hrvatskom planu za oporavak i otpornost navedeno je da su uspostavljeni postupci kojima se osigurava usklađenost svih mjera s primjenjivim pravom Unije i nacionalnim pravom tijekom provedbe svih mjera. Nadalje, ti se postupci primjenjuju za ispravljanje svih ozbiljnih nepravilnosti (prijevara, korupcija i sukoba interesa) i dvostrukog financiranja omogućavanjem provedbe kontrola i revizija na razini resornog ministarstva. Kako bi se osiguralo dostavljanje pouzdanih podataka, provedbena tijela odgovorna za svaku komponentu provode administrativne provjere i provjere na licu mjesta. Redovite provjere istinitosti i točnosti podataka provodi koordinacijsko tijelo u suradnji s Nacionalnim fondom. Nadalje, Tijelo za reviziju provodit će kontrole druge razine na temelju polugodišnjeg ciklusa, uključujući revizije sustava i revizije ostvarenja ključnih etapa i ciljnih vrijednosti.</w:t>
      </w:r>
      <w:r>
        <w:rPr>
          <w:rFonts w:ascii="Times New Roman" w:hAnsi="Times New Roman"/>
          <w:noProof/>
          <w:sz w:val="24"/>
        </w:rPr>
        <w:cr/>
        <w:t> </w:t>
      </w:r>
    </w:p>
    <w:p w14:paraId="6828AF4F" w14:textId="77777777" w:rsidR="00095369" w:rsidRPr="0059000D" w:rsidRDefault="00095369" w:rsidP="00074A21">
      <w:pPr>
        <w:pageBreakBefore/>
        <w:numPr>
          <w:ilvl w:val="0"/>
          <w:numId w:val="55"/>
        </w:numPr>
        <w:spacing w:line="240" w:lineRule="auto"/>
        <w:ind w:left="357" w:firstLine="0"/>
        <w:jc w:val="both"/>
        <w:textAlignment w:val="baseline"/>
        <w:rPr>
          <w:rFonts w:ascii="Times New Roman" w:eastAsia="Times New Roman" w:hAnsi="Times New Roman" w:cs="Times New Roman"/>
          <w:noProof/>
          <w:sz w:val="24"/>
          <w:szCs w:val="24"/>
        </w:rPr>
      </w:pPr>
      <w:r>
        <w:rPr>
          <w:rFonts w:ascii="Times New Roman" w:hAnsi="Times New Roman"/>
          <w:b/>
          <w:noProof/>
          <w:sz w:val="24"/>
        </w:rPr>
        <w:t>Aranžmani kojima se Komisiji omogućuje potpun pristup osnovnim relevantnim podacima</w:t>
      </w:r>
      <w:r>
        <w:rPr>
          <w:rFonts w:ascii="Times New Roman" w:hAnsi="Times New Roman"/>
          <w:noProof/>
          <w:sz w:val="24"/>
        </w:rPr>
        <w:t> </w:t>
      </w:r>
    </w:p>
    <w:p w14:paraId="7BDA4A5A" w14:textId="77777777" w:rsidR="00095369"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Kako bi se Komisiji omogućio potpun pristup osnovnim relevantnim podacima, Hrvatska uvodi sljedeće aranžmane: </w:t>
      </w:r>
    </w:p>
    <w:p w14:paraId="00636B0A" w14:textId="77777777" w:rsidR="00095369" w:rsidRPr="00572645"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 xml:space="preserve">Središnje koordinacijsko tijelo zaduženo je za sveukupnu provedbu planova za oporavak i otpornost, za osiguravanje koordinacije s drugim relevantnim tijelima u Hrvatskoj (uključujući osiguravanje usklađenosti u pogledu upotrebe drugih fondova EU-a), za praćenje napretka u pogledu ključnih etapa i ciljnih vrijednosti te za sve potrebno izvješćivanje. </w:t>
      </w:r>
    </w:p>
    <w:p w14:paraId="010E1A5B" w14:textId="77777777" w:rsidR="00095369" w:rsidRPr="00572645"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U obavljanju svojih zadaća Koordinacijsko tijelo oslanja se na informatički sustav eFondovi, koji se upotrebljava za praćenje europskih strukturnih i investicijskih fondova i koji će se nadograditi funkcijama razvijenima za izvješćivanje o kvalitativnim i kvantitativnim pokazateljima plana za oporavak i otpornost. Informatički sustav omogućuje prikupljanje informacija korisnika projekta o napretku u provedbi ugovora o dodjeli bespovratnih sredstava. Provedbena tijela zadužena su za točnost i potpunost prikupljenih podataka. Redovite provjere istinitosti i točnosti podataka provodi koordinacijsko tijelo u suradnji s Nacionalnim fondom.</w:t>
      </w:r>
    </w:p>
    <w:p w14:paraId="1515BF9F" w14:textId="6AC65092" w:rsidR="00095369" w:rsidRDefault="00095369" w:rsidP="00095369">
      <w:pPr>
        <w:spacing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U skladu s člankom 24. stavkom 2. Uredbe (EU) 2021/241, nakon završetka relevantnih dogovorenih ključnih etapa i ciljnih vrijednosti iz odjeljka 2.1. ovog Priloga, Hrvatska Komisiji dostavlja propisno obrazložen zahtjev za plaćanje financijskog doprinosa. Hrvatska osigurava da Komisija na zahtjev ima potpuni pristup osnovnim relevantnim podacima kojima se potkrepljuje propisno obrazloženje zahtjeva za plaćanje, kako za procjenu zahtjeva za plaćanje u skladu s člankom 24. stavkom 3. Uredbe (EU) 2021/241 tako i za potrebe revizije i kontrole.</w:t>
      </w:r>
    </w:p>
    <w:sectPr w:rsidR="00095369">
      <w:headerReference w:type="even" r:id="rId456"/>
      <w:headerReference w:type="default" r:id="rId457"/>
      <w:footerReference w:type="even" r:id="rId458"/>
      <w:footerReference w:type="default" r:id="rId459"/>
      <w:headerReference w:type="first" r:id="rId460"/>
      <w:footerReference w:type="first" r:id="rId4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8CE9" w14:textId="77777777" w:rsidR="009B2375" w:rsidRDefault="009B2375" w:rsidP="00733DCA">
      <w:pPr>
        <w:spacing w:after="0" w:line="240" w:lineRule="auto"/>
      </w:pPr>
      <w:r>
        <w:separator/>
      </w:r>
    </w:p>
  </w:endnote>
  <w:endnote w:type="continuationSeparator" w:id="0">
    <w:p w14:paraId="727C54F1" w14:textId="77777777" w:rsidR="009B2375" w:rsidRDefault="009B2375" w:rsidP="00733DCA">
      <w:pPr>
        <w:spacing w:after="0" w:line="240" w:lineRule="auto"/>
      </w:pPr>
      <w:r>
        <w:continuationSeparator/>
      </w:r>
    </w:p>
  </w:endnote>
  <w:endnote w:type="continuationNotice" w:id="1">
    <w:p w14:paraId="1ED1C7CC" w14:textId="77777777" w:rsidR="009B2375" w:rsidRDefault="009B2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907E" w14:textId="498E1389" w:rsidR="00CA629D" w:rsidRPr="00494B37" w:rsidRDefault="00CA629D" w:rsidP="00494B3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19AD" w14:textId="77777777" w:rsidR="00982114" w:rsidRPr="003635BD" w:rsidRDefault="00982114" w:rsidP="0001477B">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1B78" w14:textId="77777777" w:rsidR="00982114" w:rsidRDefault="00982114">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61157"/>
      <w:docPartObj>
        <w:docPartGallery w:val="Page Numbers (Bottom of Page)"/>
        <w:docPartUnique/>
      </w:docPartObj>
    </w:sdtPr>
    <w:sdtEndPr>
      <w:rPr>
        <w:rFonts w:ascii="Times New Roman" w:hAnsi="Times New Roman" w:cs="Times New Roman"/>
        <w:noProof/>
        <w:sz w:val="24"/>
        <w:szCs w:val="24"/>
      </w:rPr>
    </w:sdtEndPr>
    <w:sdtContent>
      <w:p w14:paraId="3DCDAFE5" w14:textId="0B9358C2" w:rsidR="008D7238" w:rsidRPr="008D7238" w:rsidRDefault="008D7238">
        <w:pPr>
          <w:pStyle w:val="Footer"/>
          <w:jc w:val="center"/>
          <w:rPr>
            <w:rFonts w:ascii="Times New Roman" w:hAnsi="Times New Roman" w:cs="Times New Roman"/>
            <w:sz w:val="24"/>
            <w:szCs w:val="24"/>
          </w:rP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3499" w14:textId="77777777" w:rsidR="00982114" w:rsidRDefault="00982114">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6773" w14:textId="77777777" w:rsidR="00982114" w:rsidRDefault="00982114">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535233"/>
      <w:docPartObj>
        <w:docPartGallery w:val="Page Numbers (Bottom of Page)"/>
        <w:docPartUnique/>
      </w:docPartObj>
    </w:sdtPr>
    <w:sdtEndPr>
      <w:rPr>
        <w:rFonts w:ascii="Times New Roman" w:hAnsi="Times New Roman" w:cs="Times New Roman"/>
        <w:noProof/>
        <w:sz w:val="24"/>
        <w:szCs w:val="24"/>
      </w:rPr>
    </w:sdtEndPr>
    <w:sdtContent>
      <w:p w14:paraId="4E1B6FFD" w14:textId="6BFD5499" w:rsidR="008D7238" w:rsidRPr="00C845C4" w:rsidRDefault="008D7238">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48799" w14:textId="77777777" w:rsidR="00982114" w:rsidRDefault="00982114">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74BB" w14:textId="77777777" w:rsidR="00982114" w:rsidRDefault="00982114">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86656"/>
      <w:docPartObj>
        <w:docPartGallery w:val="Page Numbers (Bottom of Page)"/>
        <w:docPartUnique/>
      </w:docPartObj>
    </w:sdtPr>
    <w:sdtEndPr>
      <w:rPr>
        <w:rFonts w:ascii="Times New Roman" w:hAnsi="Times New Roman" w:cs="Times New Roman"/>
        <w:noProof/>
        <w:sz w:val="24"/>
        <w:szCs w:val="24"/>
      </w:rPr>
    </w:sdtEndPr>
    <w:sdtContent>
      <w:p w14:paraId="6FCCCA46" w14:textId="2897BBDB"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0A23" w14:textId="77777777" w:rsidR="00982114" w:rsidRDefault="00982114">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ECF0" w14:textId="77777777" w:rsidR="00733DCA" w:rsidRDefault="00733DC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206680"/>
      <w:docPartObj>
        <w:docPartGallery w:val="Page Numbers (Bottom of Page)"/>
        <w:docPartUnique/>
      </w:docPartObj>
    </w:sdtPr>
    <w:sdtEndPr>
      <w:rPr>
        <w:rFonts w:ascii="Times New Roman" w:hAnsi="Times New Roman" w:cs="Times New Roman"/>
        <w:noProof/>
        <w:sz w:val="24"/>
        <w:szCs w:val="24"/>
      </w:rPr>
    </w:sdtEndPr>
    <w:sdtContent>
      <w:p w14:paraId="5A8B84E7" w14:textId="1DD75904" w:rsidR="00346D23" w:rsidRPr="00346D23" w:rsidRDefault="00346D23">
        <w:pPr>
          <w:pStyle w:val="Footer"/>
          <w:jc w:val="center"/>
          <w:rPr>
            <w:rFonts w:ascii="Times New Roman" w:hAnsi="Times New Roman" w:cs="Times New Roman"/>
            <w:sz w:val="24"/>
            <w:szCs w:val="24"/>
          </w:rPr>
        </w:pPr>
        <w:r w:rsidRPr="00346D23">
          <w:rPr>
            <w:rFonts w:ascii="Times New Roman" w:hAnsi="Times New Roman" w:cs="Times New Roman"/>
            <w:sz w:val="24"/>
          </w:rPr>
          <w:fldChar w:fldCharType="begin"/>
        </w:r>
        <w:r w:rsidRPr="00346D23">
          <w:rPr>
            <w:rFonts w:ascii="Times New Roman" w:hAnsi="Times New Roman" w:cs="Times New Roman"/>
            <w:sz w:val="24"/>
          </w:rPr>
          <w:instrText xml:space="preserve"> PAGE   \* MERGEFORMAT </w:instrText>
        </w:r>
        <w:r w:rsidRPr="00346D23">
          <w:rPr>
            <w:rFonts w:ascii="Times New Roman" w:hAnsi="Times New Roman" w:cs="Times New Roman"/>
            <w:sz w:val="24"/>
          </w:rPr>
          <w:fldChar w:fldCharType="separate"/>
        </w:r>
        <w:r w:rsidRPr="00346D23">
          <w:rPr>
            <w:rFonts w:ascii="Times New Roman" w:hAnsi="Times New Roman" w:cs="Times New Roman"/>
            <w:sz w:val="24"/>
          </w:rPr>
          <w:t>2</w:t>
        </w:r>
        <w:r w:rsidRPr="00346D23">
          <w:rPr>
            <w:rFonts w:ascii="Times New Roman" w:hAnsi="Times New Roman" w:cs="Times New Roman"/>
            <w:sz w:val="24"/>
          </w:rPr>
          <w:fldChar w:fldCharType="end"/>
        </w:r>
      </w:p>
    </w:sdtContent>
  </w:sdt>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62040"/>
      <w:docPartObj>
        <w:docPartGallery w:val="Page Numbers (Bottom of Page)"/>
        <w:docPartUnique/>
      </w:docPartObj>
    </w:sdtPr>
    <w:sdtEndPr>
      <w:rPr>
        <w:rFonts w:ascii="Times New Roman" w:hAnsi="Times New Roman" w:cs="Times New Roman"/>
        <w:noProof/>
        <w:sz w:val="24"/>
        <w:szCs w:val="24"/>
      </w:rPr>
    </w:sdtEndPr>
    <w:sdtContent>
      <w:p w14:paraId="26E36B9E" w14:textId="7825954C"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1711" w14:textId="77777777" w:rsidR="00733DCA" w:rsidRDefault="00733DCA">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8280" w14:textId="77777777" w:rsidR="00982114" w:rsidRDefault="00982114">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755128"/>
      <w:docPartObj>
        <w:docPartGallery w:val="Page Numbers (Bottom of Page)"/>
        <w:docPartUnique/>
      </w:docPartObj>
    </w:sdtPr>
    <w:sdtEndPr>
      <w:rPr>
        <w:rFonts w:ascii="Times New Roman" w:hAnsi="Times New Roman" w:cs="Times New Roman"/>
        <w:noProof/>
        <w:sz w:val="24"/>
        <w:szCs w:val="24"/>
      </w:rPr>
    </w:sdtEndPr>
    <w:sdtContent>
      <w:p w14:paraId="08494849" w14:textId="21B62E0C"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13EA" w14:textId="77777777" w:rsidR="00982114" w:rsidRDefault="00982114">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2AAE" w14:textId="77777777" w:rsidR="00982114" w:rsidRDefault="00982114">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967848"/>
      <w:docPartObj>
        <w:docPartGallery w:val="Page Numbers (Bottom of Page)"/>
        <w:docPartUnique/>
      </w:docPartObj>
    </w:sdtPr>
    <w:sdtEndPr>
      <w:rPr>
        <w:noProof/>
      </w:rPr>
    </w:sdtEndPr>
    <w:sdtContent>
      <w:p w14:paraId="47E23B21" w14:textId="7FDF6B6B" w:rsidR="00C845C4" w:rsidRDefault="00C845C4">
        <w:pPr>
          <w:pStyle w:val="Footer"/>
          <w:jc w:val="cente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63D8" w14:textId="77777777" w:rsidR="00982114" w:rsidRDefault="00982114">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D0D8" w14:textId="77777777" w:rsidR="00982114" w:rsidRDefault="00982114">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16251"/>
      <w:docPartObj>
        <w:docPartGallery w:val="Page Numbers (Bottom of Page)"/>
        <w:docPartUnique/>
      </w:docPartObj>
    </w:sdtPr>
    <w:sdtEndPr>
      <w:rPr>
        <w:noProof/>
      </w:rPr>
    </w:sdtEndPr>
    <w:sdtContent>
      <w:p w14:paraId="7C3D1752" w14:textId="2D3527D1" w:rsidR="00C845C4" w:rsidRDefault="00C845C4">
        <w:pPr>
          <w:pStyle w:val="Footer"/>
          <w:jc w:val="cente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E0DB0" w14:textId="77777777" w:rsidR="00982114" w:rsidRPr="003635BD" w:rsidRDefault="00982114" w:rsidP="0001477B">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EC1D" w14:textId="77777777" w:rsidR="00982114" w:rsidRDefault="00982114">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5D9C" w14:textId="77777777" w:rsidR="00982114" w:rsidRDefault="00982114">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829934"/>
      <w:docPartObj>
        <w:docPartGallery w:val="Page Numbers (Bottom of Page)"/>
        <w:docPartUnique/>
      </w:docPartObj>
    </w:sdtPr>
    <w:sdtEndPr>
      <w:rPr>
        <w:noProof/>
      </w:rPr>
    </w:sdtEndPr>
    <w:sdtContent>
      <w:p w14:paraId="34C7975A" w14:textId="3DD97C3A" w:rsidR="00C845C4" w:rsidRDefault="00C845C4">
        <w:pPr>
          <w:pStyle w:val="Footer"/>
          <w:jc w:val="cente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7F9D" w14:textId="77777777" w:rsidR="00982114" w:rsidRDefault="00982114">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9D29" w14:textId="77777777" w:rsidR="00982114" w:rsidRDefault="00982114">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372022"/>
      <w:docPartObj>
        <w:docPartGallery w:val="Page Numbers (Bottom of Page)"/>
        <w:docPartUnique/>
      </w:docPartObj>
    </w:sdtPr>
    <w:sdtEndPr>
      <w:rPr>
        <w:rFonts w:ascii="Times New Roman" w:hAnsi="Times New Roman" w:cs="Times New Roman"/>
        <w:noProof/>
        <w:sz w:val="24"/>
        <w:szCs w:val="24"/>
      </w:rPr>
    </w:sdtEndPr>
    <w:sdtContent>
      <w:p w14:paraId="212467A4" w14:textId="68A3AE7D"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7D71" w14:textId="77777777" w:rsidR="00982114" w:rsidRDefault="00982114">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FF1C" w14:textId="77777777" w:rsidR="00982114" w:rsidRDefault="00982114">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461487"/>
      <w:docPartObj>
        <w:docPartGallery w:val="Page Numbers (Bottom of Page)"/>
        <w:docPartUnique/>
      </w:docPartObj>
    </w:sdtPr>
    <w:sdtEndPr>
      <w:rPr>
        <w:rFonts w:ascii="Times New Roman" w:hAnsi="Times New Roman" w:cs="Times New Roman"/>
        <w:noProof/>
        <w:sz w:val="24"/>
        <w:szCs w:val="24"/>
      </w:rPr>
    </w:sdtEndPr>
    <w:sdtContent>
      <w:p w14:paraId="27E0BB38" w14:textId="5C6C5981"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82FF" w14:textId="77777777" w:rsidR="00982114" w:rsidRDefault="0098211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0ADA" w14:textId="77777777" w:rsidR="00733DCA" w:rsidRPr="003635BD" w:rsidRDefault="00733DCA" w:rsidP="0001477B">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4DF8" w14:textId="77777777" w:rsidR="00982114" w:rsidRDefault="00982114">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99249"/>
      <w:docPartObj>
        <w:docPartGallery w:val="Page Numbers (Bottom of Page)"/>
        <w:docPartUnique/>
      </w:docPartObj>
    </w:sdtPr>
    <w:sdtEndPr>
      <w:rPr>
        <w:rFonts w:ascii="Times New Roman" w:hAnsi="Times New Roman" w:cs="Times New Roman"/>
        <w:noProof/>
        <w:sz w:val="24"/>
        <w:szCs w:val="24"/>
      </w:rPr>
    </w:sdtEndPr>
    <w:sdtContent>
      <w:p w14:paraId="26C37F04" w14:textId="14FA7F18"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73A4" w14:textId="77777777" w:rsidR="00982114" w:rsidRDefault="00982114">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9B56" w14:textId="77777777" w:rsidR="00982114" w:rsidRDefault="00982114">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398016"/>
      <w:docPartObj>
        <w:docPartGallery w:val="Page Numbers (Bottom of Page)"/>
        <w:docPartUnique/>
      </w:docPartObj>
    </w:sdtPr>
    <w:sdtEndPr>
      <w:rPr>
        <w:noProof/>
      </w:rPr>
    </w:sdtEndPr>
    <w:sdtContent>
      <w:p w14:paraId="33009314" w14:textId="44A72A72" w:rsidR="00C845C4" w:rsidRDefault="00C845C4">
        <w:pPr>
          <w:pStyle w:val="Footer"/>
          <w:jc w:val="cente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F215" w14:textId="77777777" w:rsidR="00982114" w:rsidRDefault="00982114">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E4BF" w14:textId="77777777" w:rsidR="00982114" w:rsidRDefault="00982114">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011165"/>
      <w:docPartObj>
        <w:docPartGallery w:val="Page Numbers (Bottom of Page)"/>
        <w:docPartUnique/>
      </w:docPartObj>
    </w:sdtPr>
    <w:sdtEndPr>
      <w:rPr>
        <w:rFonts w:ascii="Times New Roman" w:hAnsi="Times New Roman" w:cs="Times New Roman"/>
        <w:noProof/>
        <w:sz w:val="24"/>
        <w:szCs w:val="24"/>
      </w:rPr>
    </w:sdtEndPr>
    <w:sdtContent>
      <w:p w14:paraId="78B890AC" w14:textId="48FB7AE4"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7A20" w14:textId="77777777" w:rsidR="00982114" w:rsidRDefault="00982114">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9CF1" w14:textId="77777777" w:rsidR="00733DCA" w:rsidRDefault="00733DC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398769"/>
      <w:docPartObj>
        <w:docPartGallery w:val="Page Numbers (Bottom of Page)"/>
        <w:docPartUnique/>
      </w:docPartObj>
    </w:sdtPr>
    <w:sdtEndPr>
      <w:rPr>
        <w:rFonts w:ascii="Times New Roman" w:hAnsi="Times New Roman" w:cs="Times New Roman"/>
        <w:noProof/>
        <w:sz w:val="24"/>
        <w:szCs w:val="24"/>
      </w:rPr>
    </w:sdtEndPr>
    <w:sdtContent>
      <w:p w14:paraId="1134BC27" w14:textId="65FCFCC7" w:rsidR="00346D23" w:rsidRPr="00346D23" w:rsidRDefault="00346D23">
        <w:pPr>
          <w:pStyle w:val="Footer"/>
          <w:jc w:val="center"/>
          <w:rPr>
            <w:rFonts w:ascii="Times New Roman" w:hAnsi="Times New Roman" w:cs="Times New Roman"/>
            <w:sz w:val="24"/>
            <w:szCs w:val="24"/>
          </w:rPr>
        </w:pPr>
        <w:r w:rsidRPr="00346D23">
          <w:rPr>
            <w:rFonts w:ascii="Times New Roman" w:hAnsi="Times New Roman" w:cs="Times New Roman"/>
            <w:sz w:val="24"/>
          </w:rPr>
          <w:fldChar w:fldCharType="begin"/>
        </w:r>
        <w:r w:rsidRPr="00346D23">
          <w:rPr>
            <w:rFonts w:ascii="Times New Roman" w:hAnsi="Times New Roman" w:cs="Times New Roman"/>
            <w:sz w:val="24"/>
          </w:rPr>
          <w:instrText xml:space="preserve"> PAGE   \* MERGEFORMAT </w:instrText>
        </w:r>
        <w:r w:rsidRPr="00346D23">
          <w:rPr>
            <w:rFonts w:ascii="Times New Roman" w:hAnsi="Times New Roman" w:cs="Times New Roman"/>
            <w:sz w:val="24"/>
          </w:rPr>
          <w:fldChar w:fldCharType="separate"/>
        </w:r>
        <w:r w:rsidRPr="00346D23">
          <w:rPr>
            <w:rFonts w:ascii="Times New Roman" w:hAnsi="Times New Roman" w:cs="Times New Roman"/>
            <w:sz w:val="24"/>
          </w:rPr>
          <w:t>2</w:t>
        </w:r>
        <w:r w:rsidRPr="00346D23">
          <w:rPr>
            <w:rFonts w:ascii="Times New Roman" w:hAnsi="Times New Roman" w:cs="Times New Roman"/>
            <w:sz w:val="24"/>
          </w:rPr>
          <w:fldChar w:fldCharType="end"/>
        </w:r>
      </w:p>
    </w:sdtContent>
  </w:sdt>
  <w:p w14:paraId="18295365" w14:textId="77777777" w:rsidR="00733DCA" w:rsidRPr="00346D23" w:rsidRDefault="00733DCA" w:rsidP="00346D23">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07286"/>
      <w:docPartObj>
        <w:docPartGallery w:val="Page Numbers (Bottom of Page)"/>
        <w:docPartUnique/>
      </w:docPartObj>
    </w:sdtPr>
    <w:sdtEndPr>
      <w:rPr>
        <w:rFonts w:ascii="Times New Roman" w:hAnsi="Times New Roman" w:cs="Times New Roman"/>
        <w:noProof/>
        <w:sz w:val="24"/>
        <w:szCs w:val="24"/>
      </w:rPr>
    </w:sdtEndPr>
    <w:sdtContent>
      <w:p w14:paraId="655B9F7C" w14:textId="22457316"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6311" w14:textId="77777777" w:rsidR="00733DCA" w:rsidRDefault="00733DCA">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F3F4" w14:textId="77777777" w:rsidR="00982114" w:rsidRDefault="00982114">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0271"/>
      <w:docPartObj>
        <w:docPartGallery w:val="Page Numbers (Bottom of Page)"/>
        <w:docPartUnique/>
      </w:docPartObj>
    </w:sdtPr>
    <w:sdtEndPr>
      <w:rPr>
        <w:rFonts w:ascii="Times New Roman" w:hAnsi="Times New Roman" w:cs="Times New Roman"/>
        <w:noProof/>
        <w:sz w:val="24"/>
        <w:szCs w:val="24"/>
      </w:rPr>
    </w:sdtEndPr>
    <w:sdtContent>
      <w:p w14:paraId="1D2FF97E" w14:textId="225DD83C"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p w14:paraId="0539CED3" w14:textId="77777777" w:rsidR="00982114" w:rsidRDefault="00982114">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F7DD" w14:textId="77777777" w:rsidR="00982114" w:rsidRDefault="00982114">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35C9" w14:textId="77777777" w:rsidR="00982114" w:rsidRDefault="00982114">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806211"/>
      <w:docPartObj>
        <w:docPartGallery w:val="Page Numbers (Bottom of Page)"/>
        <w:docPartUnique/>
      </w:docPartObj>
    </w:sdtPr>
    <w:sdtEndPr>
      <w:rPr>
        <w:rFonts w:ascii="Times New Roman" w:hAnsi="Times New Roman" w:cs="Times New Roman"/>
        <w:noProof/>
        <w:sz w:val="24"/>
        <w:szCs w:val="24"/>
      </w:rPr>
    </w:sdtEndPr>
    <w:sdtContent>
      <w:p w14:paraId="2B086A63" w14:textId="1532CA3C"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CFFD" w14:textId="77777777" w:rsidR="00982114" w:rsidRDefault="00982114">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28F0" w14:textId="77777777" w:rsidR="00982114" w:rsidRDefault="00982114">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196"/>
      <w:docPartObj>
        <w:docPartGallery w:val="Page Numbers (Bottom of Page)"/>
        <w:docPartUnique/>
      </w:docPartObj>
    </w:sdtPr>
    <w:sdtEndPr>
      <w:rPr>
        <w:rFonts w:ascii="Times New Roman" w:hAnsi="Times New Roman" w:cs="Times New Roman"/>
        <w:noProof/>
        <w:sz w:val="24"/>
        <w:szCs w:val="24"/>
      </w:rPr>
    </w:sdtEndPr>
    <w:sdtContent>
      <w:p w14:paraId="168F40D3" w14:textId="4DEC5C63" w:rsidR="00C845C4" w:rsidRPr="00C845C4" w:rsidRDefault="00C845C4">
        <w:pPr>
          <w:pStyle w:val="Footer"/>
          <w:jc w:val="center"/>
          <w:rPr>
            <w:rFonts w:ascii="Times New Roman" w:hAnsi="Times New Roman" w:cs="Times New Roman"/>
            <w:sz w:val="24"/>
            <w:szCs w:val="24"/>
          </w:rPr>
        </w:pPr>
        <w:r w:rsidRPr="00C845C4">
          <w:rPr>
            <w:rFonts w:ascii="Times New Roman" w:hAnsi="Times New Roman" w:cs="Times New Roman"/>
            <w:sz w:val="24"/>
          </w:rPr>
          <w:fldChar w:fldCharType="begin"/>
        </w:r>
        <w:r w:rsidRPr="00C845C4">
          <w:rPr>
            <w:rFonts w:ascii="Times New Roman" w:hAnsi="Times New Roman" w:cs="Times New Roman"/>
            <w:sz w:val="24"/>
          </w:rPr>
          <w:instrText xml:space="preserve"> PAGE   \* MERGEFORMAT </w:instrText>
        </w:r>
        <w:r w:rsidRPr="00C845C4">
          <w:rPr>
            <w:rFonts w:ascii="Times New Roman" w:hAnsi="Times New Roman" w:cs="Times New Roman"/>
            <w:sz w:val="24"/>
          </w:rPr>
          <w:fldChar w:fldCharType="separate"/>
        </w:r>
        <w:r w:rsidRPr="00C845C4">
          <w:rPr>
            <w:rFonts w:ascii="Times New Roman" w:hAnsi="Times New Roman" w:cs="Times New Roman"/>
            <w:sz w:val="24"/>
          </w:rPr>
          <w:t>2</w:t>
        </w:r>
        <w:r w:rsidRPr="00C845C4">
          <w:rPr>
            <w:rFonts w:ascii="Times New Roman" w:hAnsi="Times New Roman" w:cs="Times New Roman"/>
            <w:sz w:val="24"/>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6517" w14:textId="77777777" w:rsidR="00733DCA" w:rsidRPr="003635BD" w:rsidRDefault="00733DCA" w:rsidP="0001477B">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A183" w14:textId="77777777" w:rsidR="00982114" w:rsidRDefault="00982114">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81C3" w14:textId="77777777" w:rsidR="00982114" w:rsidRDefault="00982114">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151559"/>
      <w:docPartObj>
        <w:docPartGallery w:val="Page Numbers (Bottom of Page)"/>
        <w:docPartUnique/>
      </w:docPartObj>
    </w:sdtPr>
    <w:sdtEndPr>
      <w:rPr>
        <w:rFonts w:ascii="Times New Roman" w:hAnsi="Times New Roman" w:cs="Times New Roman"/>
        <w:noProof/>
        <w:sz w:val="24"/>
        <w:szCs w:val="24"/>
      </w:rPr>
    </w:sdtEndPr>
    <w:sdtContent>
      <w:p w14:paraId="697BA1A9" w14:textId="39E55AA3"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EA9C" w14:textId="77777777" w:rsidR="00982114" w:rsidRDefault="00982114">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D303" w14:textId="77777777" w:rsidR="00733DCA" w:rsidRDefault="00733DCA">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89329"/>
      <w:docPartObj>
        <w:docPartGallery w:val="Page Numbers (Bottom of Page)"/>
        <w:docPartUnique/>
      </w:docPartObj>
    </w:sdtPr>
    <w:sdtEndPr>
      <w:rPr>
        <w:rFonts w:ascii="Times New Roman" w:hAnsi="Times New Roman" w:cs="Times New Roman"/>
        <w:noProof/>
        <w:sz w:val="24"/>
        <w:szCs w:val="24"/>
      </w:rPr>
    </w:sdtEndPr>
    <w:sdtContent>
      <w:p w14:paraId="18555385" w14:textId="5322C152"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C6B0" w14:textId="77777777" w:rsidR="00733DCA" w:rsidRDefault="00733DCA">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EF60" w14:textId="77777777" w:rsidR="00733DCA" w:rsidRDefault="00733DCA">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665877"/>
      <w:docPartObj>
        <w:docPartGallery w:val="Page Numbers (Bottom of Page)"/>
        <w:docPartUnique/>
      </w:docPartObj>
    </w:sdtPr>
    <w:sdtEndPr>
      <w:rPr>
        <w:rFonts w:ascii="Times New Roman" w:hAnsi="Times New Roman" w:cs="Times New Roman"/>
        <w:noProof/>
        <w:sz w:val="24"/>
        <w:szCs w:val="24"/>
      </w:rPr>
    </w:sdtEndPr>
    <w:sdtContent>
      <w:p w14:paraId="75D19C55" w14:textId="199021E8"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2FBB" w14:textId="77777777" w:rsidR="00733DCA" w:rsidRDefault="00733DC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63FE" w14:textId="77777777" w:rsidR="00982114" w:rsidRPr="003635BD" w:rsidRDefault="00982114" w:rsidP="0001477B">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9672" w14:textId="77777777" w:rsidR="00982114" w:rsidRDefault="00982114">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53236"/>
      <w:docPartObj>
        <w:docPartGallery w:val="Page Numbers (Bottom of Page)"/>
        <w:docPartUnique/>
      </w:docPartObj>
    </w:sdtPr>
    <w:sdtEndPr>
      <w:rPr>
        <w:rFonts w:ascii="Times New Roman" w:hAnsi="Times New Roman" w:cs="Times New Roman"/>
        <w:noProof/>
        <w:sz w:val="24"/>
        <w:szCs w:val="24"/>
      </w:rPr>
    </w:sdtEndPr>
    <w:sdtContent>
      <w:p w14:paraId="4D678E90" w14:textId="3CAE09A8"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A4FD4" w14:textId="77777777" w:rsidR="00982114" w:rsidRDefault="00982114">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8652" w14:textId="77777777" w:rsidR="00982114" w:rsidRDefault="00982114">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519872"/>
      <w:docPartObj>
        <w:docPartGallery w:val="Page Numbers (Bottom of Page)"/>
        <w:docPartUnique/>
      </w:docPartObj>
    </w:sdtPr>
    <w:sdtEndPr>
      <w:rPr>
        <w:rFonts w:ascii="Times New Roman" w:hAnsi="Times New Roman" w:cs="Times New Roman"/>
        <w:noProof/>
        <w:sz w:val="24"/>
        <w:szCs w:val="24"/>
      </w:rPr>
    </w:sdtEndPr>
    <w:sdtContent>
      <w:p w14:paraId="55F9BAF2" w14:textId="117A2C34"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FEE14" w14:textId="77777777" w:rsidR="00982114" w:rsidRDefault="00982114">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D32B" w14:textId="77777777" w:rsidR="00982114" w:rsidRDefault="00982114">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98885"/>
      <w:docPartObj>
        <w:docPartGallery w:val="Page Numbers (Bottom of Page)"/>
        <w:docPartUnique/>
      </w:docPartObj>
    </w:sdtPr>
    <w:sdtEndPr>
      <w:rPr>
        <w:rFonts w:ascii="Times New Roman" w:hAnsi="Times New Roman" w:cs="Times New Roman"/>
        <w:noProof/>
        <w:sz w:val="24"/>
        <w:szCs w:val="24"/>
      </w:rPr>
    </w:sdtEndPr>
    <w:sdtContent>
      <w:p w14:paraId="7F82979B" w14:textId="5C043ACE"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AA7F" w14:textId="77777777" w:rsidR="00982114" w:rsidRDefault="00982114">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F003" w14:textId="77777777" w:rsidR="00733DCA" w:rsidRDefault="00733DC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77450"/>
      <w:docPartObj>
        <w:docPartGallery w:val="Page Numbers (Bottom of Page)"/>
        <w:docPartUnique/>
      </w:docPartObj>
    </w:sdtPr>
    <w:sdtEndPr>
      <w:rPr>
        <w:rFonts w:ascii="Times New Roman" w:hAnsi="Times New Roman" w:cs="Times New Roman"/>
        <w:noProof/>
        <w:sz w:val="24"/>
        <w:szCs w:val="24"/>
      </w:rPr>
    </w:sdtEndPr>
    <w:sdtContent>
      <w:p w14:paraId="2DD6BE04" w14:textId="5F37F8BF" w:rsidR="00346D23" w:rsidRPr="00346D23" w:rsidRDefault="00346D23">
        <w:pPr>
          <w:pStyle w:val="Footer"/>
          <w:jc w:val="center"/>
          <w:rPr>
            <w:rFonts w:ascii="Times New Roman" w:hAnsi="Times New Roman" w:cs="Times New Roman"/>
            <w:sz w:val="24"/>
            <w:szCs w:val="24"/>
          </w:rPr>
        </w:pPr>
        <w:r w:rsidRPr="00346D23">
          <w:rPr>
            <w:rFonts w:ascii="Times New Roman" w:hAnsi="Times New Roman" w:cs="Times New Roman"/>
            <w:sz w:val="24"/>
          </w:rPr>
          <w:fldChar w:fldCharType="begin"/>
        </w:r>
        <w:r w:rsidRPr="00346D23">
          <w:rPr>
            <w:rFonts w:ascii="Times New Roman" w:hAnsi="Times New Roman" w:cs="Times New Roman"/>
            <w:sz w:val="24"/>
          </w:rPr>
          <w:instrText xml:space="preserve"> PAGE   \* MERGEFORMAT </w:instrText>
        </w:r>
        <w:r w:rsidRPr="00346D23">
          <w:rPr>
            <w:rFonts w:ascii="Times New Roman" w:hAnsi="Times New Roman" w:cs="Times New Roman"/>
            <w:sz w:val="24"/>
          </w:rPr>
          <w:fldChar w:fldCharType="separate"/>
        </w:r>
        <w:r w:rsidRPr="00346D23">
          <w:rPr>
            <w:rFonts w:ascii="Times New Roman" w:hAnsi="Times New Roman" w:cs="Times New Roman"/>
            <w:sz w:val="24"/>
          </w:rPr>
          <w:t>2</w:t>
        </w:r>
        <w:r w:rsidRPr="00346D23">
          <w:rPr>
            <w:rFonts w:ascii="Times New Roman" w:hAnsi="Times New Roman" w:cs="Times New Roman"/>
            <w:sz w:val="24"/>
          </w:rPr>
          <w:fldChar w:fldCharType="end"/>
        </w:r>
      </w:p>
    </w:sdtContent>
  </w:sdt>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726544"/>
      <w:docPartObj>
        <w:docPartGallery w:val="Page Numbers (Bottom of Page)"/>
        <w:docPartUnique/>
      </w:docPartObj>
    </w:sdtPr>
    <w:sdtEndPr>
      <w:rPr>
        <w:rFonts w:ascii="Times New Roman" w:hAnsi="Times New Roman" w:cs="Times New Roman"/>
        <w:noProof/>
        <w:sz w:val="24"/>
        <w:szCs w:val="24"/>
      </w:rPr>
    </w:sdtEndPr>
    <w:sdtContent>
      <w:p w14:paraId="03774B92" w14:textId="63736466"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AEA5" w14:textId="77777777" w:rsidR="00733DCA" w:rsidRDefault="00733DCA">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C09D" w14:textId="77777777" w:rsidR="00982114" w:rsidRDefault="00982114">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95123"/>
      <w:docPartObj>
        <w:docPartGallery w:val="Page Numbers (Bottom of Page)"/>
        <w:docPartUnique/>
      </w:docPartObj>
    </w:sdtPr>
    <w:sdtEndPr>
      <w:rPr>
        <w:rFonts w:ascii="Times New Roman" w:hAnsi="Times New Roman" w:cs="Times New Roman"/>
        <w:noProof/>
        <w:sz w:val="24"/>
        <w:szCs w:val="24"/>
      </w:rPr>
    </w:sdtEndPr>
    <w:sdtContent>
      <w:p w14:paraId="37771C34" w14:textId="081AD164"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85B2" w14:textId="77777777" w:rsidR="00982114" w:rsidRDefault="00982114">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8E45" w14:textId="77777777" w:rsidR="00982114" w:rsidRDefault="00982114">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200159"/>
      <w:docPartObj>
        <w:docPartGallery w:val="Page Numbers (Bottom of Page)"/>
        <w:docPartUnique/>
      </w:docPartObj>
    </w:sdtPr>
    <w:sdtEndPr>
      <w:rPr>
        <w:rFonts w:ascii="Times New Roman" w:hAnsi="Times New Roman" w:cs="Times New Roman"/>
        <w:noProof/>
        <w:sz w:val="24"/>
        <w:szCs w:val="24"/>
      </w:rPr>
    </w:sdtEndPr>
    <w:sdtContent>
      <w:p w14:paraId="594FD320" w14:textId="0E6077D9"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4F89" w14:textId="77777777" w:rsidR="00982114" w:rsidRDefault="00982114">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761E" w14:textId="77777777" w:rsidR="00982114" w:rsidRDefault="00982114">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350919"/>
      <w:docPartObj>
        <w:docPartGallery w:val="Page Numbers (Bottom of Page)"/>
        <w:docPartUnique/>
      </w:docPartObj>
    </w:sdtPr>
    <w:sdtEndPr>
      <w:rPr>
        <w:noProof/>
      </w:rPr>
    </w:sdtEndPr>
    <w:sdtContent>
      <w:p w14:paraId="18CD8020" w14:textId="1FBE9F4C" w:rsidR="00EE1D3D" w:rsidRDefault="00EE1D3D">
        <w:pPr>
          <w:pStyle w:val="Footer"/>
          <w:jc w:val="cente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F096" w14:textId="77777777" w:rsidR="00982114" w:rsidRPr="003635BD" w:rsidRDefault="00982114" w:rsidP="0001477B">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09B3" w14:textId="77777777" w:rsidR="00982114" w:rsidRDefault="00982114">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7A29" w14:textId="77777777" w:rsidR="00733DCA" w:rsidRDefault="00733DCA">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27501"/>
      <w:docPartObj>
        <w:docPartGallery w:val="Page Numbers (Bottom of Page)"/>
        <w:docPartUnique/>
      </w:docPartObj>
    </w:sdtPr>
    <w:sdtEndPr>
      <w:rPr>
        <w:rFonts w:ascii="Times New Roman" w:hAnsi="Times New Roman" w:cs="Times New Roman"/>
        <w:noProof/>
        <w:sz w:val="24"/>
        <w:szCs w:val="24"/>
      </w:rPr>
    </w:sdtEndPr>
    <w:sdtContent>
      <w:p w14:paraId="7597C17B" w14:textId="63ABAFBF"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F2D1" w14:textId="77777777" w:rsidR="00733DCA" w:rsidRDefault="00733DCA">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BE2C" w14:textId="77777777" w:rsidR="00982114" w:rsidRDefault="00982114">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21703"/>
      <w:docPartObj>
        <w:docPartGallery w:val="Page Numbers (Bottom of Page)"/>
        <w:docPartUnique/>
      </w:docPartObj>
    </w:sdtPr>
    <w:sdtEndPr>
      <w:rPr>
        <w:noProof/>
      </w:rPr>
    </w:sdtEndPr>
    <w:sdtContent>
      <w:p w14:paraId="1FFF62F3" w14:textId="2C9560F6" w:rsidR="00EE1D3D" w:rsidRDefault="00EE1D3D">
        <w:pPr>
          <w:pStyle w:val="Footer"/>
          <w:jc w:val="cente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C1A4" w14:textId="77777777" w:rsidR="00982114" w:rsidRDefault="00982114">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8D5A9" w14:textId="77777777" w:rsidR="00982114" w:rsidRDefault="00982114">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008901"/>
      <w:docPartObj>
        <w:docPartGallery w:val="Page Numbers (Bottom of Page)"/>
        <w:docPartUnique/>
      </w:docPartObj>
    </w:sdtPr>
    <w:sdtEndPr>
      <w:rPr>
        <w:noProof/>
      </w:rPr>
    </w:sdtEndPr>
    <w:sdtContent>
      <w:p w14:paraId="1FCDFCA5" w14:textId="329891A5" w:rsidR="00EE1D3D" w:rsidRDefault="00EE1D3D">
        <w:pPr>
          <w:pStyle w:val="Footer"/>
          <w:jc w:val="cente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0C91" w14:textId="77777777" w:rsidR="00982114" w:rsidRDefault="0098211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CEA0" w14:textId="77777777" w:rsidR="00982114" w:rsidRPr="003635BD" w:rsidRDefault="00982114" w:rsidP="0001477B">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8CE3" w14:textId="77777777" w:rsidR="00982114" w:rsidRDefault="00982114">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64745"/>
      <w:docPartObj>
        <w:docPartGallery w:val="Page Numbers (Bottom of Page)"/>
        <w:docPartUnique/>
      </w:docPartObj>
    </w:sdtPr>
    <w:sdtEndPr>
      <w:rPr>
        <w:rFonts w:ascii="Times New Roman" w:hAnsi="Times New Roman" w:cs="Times New Roman"/>
        <w:noProof/>
        <w:sz w:val="24"/>
        <w:szCs w:val="24"/>
      </w:rPr>
    </w:sdtEndPr>
    <w:sdtContent>
      <w:p w14:paraId="2FF75BD1" w14:textId="28BF66C1"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F344" w14:textId="77777777" w:rsidR="00982114" w:rsidRDefault="00982114">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BC1E" w14:textId="77777777" w:rsidR="00982114" w:rsidRDefault="00982114">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65468"/>
      <w:docPartObj>
        <w:docPartGallery w:val="Page Numbers (Bottom of Page)"/>
        <w:docPartUnique/>
      </w:docPartObj>
    </w:sdtPr>
    <w:sdtEndPr>
      <w:rPr>
        <w:noProof/>
      </w:rPr>
    </w:sdtEndPr>
    <w:sdtContent>
      <w:p w14:paraId="05EDED38" w14:textId="0C9D960E" w:rsidR="00EE1D3D" w:rsidRDefault="00EE1D3D">
        <w:pPr>
          <w:pStyle w:val="Footer"/>
          <w:jc w:val="cente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5EB" w14:textId="77777777" w:rsidR="00982114" w:rsidRDefault="00982114">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7E31" w14:textId="77777777" w:rsidR="00146C1C" w:rsidRDefault="00146C1C">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26848"/>
      <w:docPartObj>
        <w:docPartGallery w:val="Page Numbers (Bottom of Page)"/>
        <w:docPartUnique/>
      </w:docPartObj>
    </w:sdtPr>
    <w:sdtEndPr>
      <w:rPr>
        <w:rFonts w:ascii="Times New Roman" w:hAnsi="Times New Roman" w:cs="Times New Roman"/>
        <w:noProof/>
        <w:sz w:val="24"/>
        <w:szCs w:val="24"/>
      </w:rPr>
    </w:sdtEndPr>
    <w:sdtContent>
      <w:p w14:paraId="175DB4C5" w14:textId="234D59B9" w:rsidR="00EE1D3D" w:rsidRPr="00EE1D3D" w:rsidRDefault="00EE1D3D">
        <w:pPr>
          <w:pStyle w:val="Footer"/>
          <w:jc w:val="center"/>
          <w:rPr>
            <w:rFonts w:ascii="Times New Roman" w:hAnsi="Times New Roman" w:cs="Times New Roman"/>
            <w:sz w:val="24"/>
            <w:szCs w:val="24"/>
          </w:rPr>
        </w:pPr>
        <w:r w:rsidRPr="00EE1D3D">
          <w:rPr>
            <w:rFonts w:ascii="Times New Roman" w:hAnsi="Times New Roman" w:cs="Times New Roman"/>
            <w:sz w:val="24"/>
          </w:rPr>
          <w:fldChar w:fldCharType="begin"/>
        </w:r>
        <w:r w:rsidRPr="00EE1D3D">
          <w:rPr>
            <w:rFonts w:ascii="Times New Roman" w:hAnsi="Times New Roman" w:cs="Times New Roman"/>
            <w:sz w:val="24"/>
          </w:rPr>
          <w:instrText xml:space="preserve"> PAGE   \* MERGEFORMAT </w:instrText>
        </w:r>
        <w:r w:rsidRPr="00EE1D3D">
          <w:rPr>
            <w:rFonts w:ascii="Times New Roman" w:hAnsi="Times New Roman" w:cs="Times New Roman"/>
            <w:sz w:val="24"/>
          </w:rPr>
          <w:fldChar w:fldCharType="separate"/>
        </w:r>
        <w:r w:rsidRPr="00EE1D3D">
          <w:rPr>
            <w:rFonts w:ascii="Times New Roman" w:hAnsi="Times New Roman" w:cs="Times New Roman"/>
            <w:sz w:val="24"/>
          </w:rPr>
          <w:t>2</w:t>
        </w:r>
        <w:r w:rsidRPr="00EE1D3D">
          <w:rPr>
            <w:rFonts w:ascii="Times New Roman" w:hAnsi="Times New Roman" w:cs="Times New Roman"/>
            <w:sz w:val="24"/>
          </w:rPr>
          <w:fldChar w:fldCharType="end"/>
        </w:r>
      </w:p>
    </w:sdtContent>
  </w:sdt>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403A" w14:textId="77777777" w:rsidR="00146C1C" w:rsidRDefault="00146C1C">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E404" w14:textId="77777777" w:rsidR="00982114" w:rsidRDefault="0098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23CE" w14:textId="2F578853" w:rsidR="00CA629D" w:rsidRPr="00494B37" w:rsidRDefault="00494B37" w:rsidP="00494B37">
    <w:pPr>
      <w:pStyle w:val="FooterCoverPage"/>
      <w:rPr>
        <w:rFonts w:ascii="Arial" w:hAnsi="Arial" w:cs="Arial"/>
        <w:b/>
        <w:sz w:val="48"/>
      </w:rPr>
    </w:pPr>
    <w:r w:rsidRPr="00494B37">
      <w:rPr>
        <w:rFonts w:ascii="Arial" w:hAnsi="Arial" w:cs="Arial"/>
        <w:b/>
        <w:sz w:val="48"/>
      </w:rPr>
      <w:t>HR</w:t>
    </w:r>
    <w:r w:rsidRPr="00494B37">
      <w:rPr>
        <w:rFonts w:ascii="Arial" w:hAnsi="Arial" w:cs="Arial"/>
        <w:b/>
        <w:sz w:val="48"/>
      </w:rPr>
      <w:tab/>
    </w:r>
    <w:r w:rsidRPr="00494B37">
      <w:rPr>
        <w:rFonts w:ascii="Arial" w:hAnsi="Arial" w:cs="Arial"/>
        <w:b/>
        <w:sz w:val="48"/>
      </w:rPr>
      <w:tab/>
    </w:r>
    <w:r w:rsidRPr="00494B37">
      <w:tab/>
    </w:r>
    <w:r w:rsidRPr="00494B37">
      <w:rPr>
        <w:rFonts w:ascii="Arial" w:hAnsi="Arial" w:cs="Arial"/>
        <w:b/>
        <w:sz w:val="48"/>
      </w:rPr>
      <w:t>HR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65280"/>
      <w:docPartObj>
        <w:docPartGallery w:val="Page Numbers (Bottom of Page)"/>
        <w:docPartUnique/>
      </w:docPartObj>
    </w:sdtPr>
    <w:sdtEndPr>
      <w:rPr>
        <w:rFonts w:ascii="Times New Roman" w:hAnsi="Times New Roman" w:cs="Times New Roman"/>
        <w:noProof/>
        <w:sz w:val="24"/>
        <w:szCs w:val="24"/>
      </w:rPr>
    </w:sdtEndPr>
    <w:sdtContent>
      <w:p w14:paraId="78EECCA6" w14:textId="1B67E72B" w:rsidR="00346D23" w:rsidRPr="00346D23" w:rsidRDefault="00346D23">
        <w:pPr>
          <w:pStyle w:val="Footer"/>
          <w:jc w:val="center"/>
          <w:rPr>
            <w:rFonts w:ascii="Times New Roman" w:hAnsi="Times New Roman" w:cs="Times New Roman"/>
            <w:sz w:val="24"/>
            <w:szCs w:val="24"/>
          </w:rPr>
        </w:pPr>
        <w:r w:rsidRPr="00346D23">
          <w:rPr>
            <w:rFonts w:ascii="Times New Roman" w:hAnsi="Times New Roman" w:cs="Times New Roman"/>
            <w:sz w:val="24"/>
          </w:rPr>
          <w:fldChar w:fldCharType="begin"/>
        </w:r>
        <w:r w:rsidRPr="00346D23">
          <w:rPr>
            <w:rFonts w:ascii="Times New Roman" w:hAnsi="Times New Roman" w:cs="Times New Roman"/>
            <w:sz w:val="24"/>
          </w:rPr>
          <w:instrText xml:space="preserve"> PAGE   \* MERGEFORMAT </w:instrText>
        </w:r>
        <w:r w:rsidRPr="00346D23">
          <w:rPr>
            <w:rFonts w:ascii="Times New Roman" w:hAnsi="Times New Roman" w:cs="Times New Roman"/>
            <w:sz w:val="24"/>
          </w:rPr>
          <w:fldChar w:fldCharType="separate"/>
        </w:r>
        <w:r w:rsidRPr="00346D23">
          <w:rPr>
            <w:rFonts w:ascii="Times New Roman" w:hAnsi="Times New Roman" w:cs="Times New Roman"/>
            <w:sz w:val="24"/>
          </w:rPr>
          <w:t>2</w:t>
        </w:r>
        <w:r w:rsidRPr="00346D23">
          <w:rPr>
            <w:rFonts w:ascii="Times New Roman" w:hAnsi="Times New Roman" w:cs="Times New Roman"/>
            <w:sz w:val="24"/>
          </w:rPr>
          <w:fldChar w:fldCharType="end"/>
        </w:r>
      </w:p>
    </w:sdtContent>
  </w:sdt>
</w:ftr>
</file>

<file path=word/footer2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143731"/>
      <w:docPartObj>
        <w:docPartGallery w:val="Page Numbers (Bottom of Page)"/>
        <w:docPartUnique/>
      </w:docPartObj>
    </w:sdtPr>
    <w:sdtEndPr>
      <w:rPr>
        <w:rFonts w:ascii="Times New Roman" w:hAnsi="Times New Roman" w:cs="Times New Roman"/>
        <w:noProof/>
        <w:sz w:val="24"/>
        <w:szCs w:val="24"/>
      </w:rPr>
    </w:sdtEndPr>
    <w:sdtContent>
      <w:p w14:paraId="1A29CAE8" w14:textId="7C160E0D" w:rsidR="003E6AF4" w:rsidRPr="003E6AF4" w:rsidRDefault="003E6AF4">
        <w:pPr>
          <w:pStyle w:val="Footer"/>
          <w:jc w:val="center"/>
          <w:rPr>
            <w:rFonts w:ascii="Times New Roman" w:hAnsi="Times New Roman" w:cs="Times New Roman"/>
            <w:sz w:val="24"/>
            <w:szCs w:val="24"/>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99284" w14:textId="77777777" w:rsidR="00982114" w:rsidRDefault="00982114">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52AA" w14:textId="77777777" w:rsidR="00982114" w:rsidRDefault="00982114">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135350"/>
      <w:docPartObj>
        <w:docPartGallery w:val="Page Numbers (Bottom of Page)"/>
        <w:docPartUnique/>
      </w:docPartObj>
    </w:sdtPr>
    <w:sdtEndPr>
      <w:rPr>
        <w:rFonts w:ascii="Times New Roman" w:hAnsi="Times New Roman" w:cs="Times New Roman"/>
        <w:noProof/>
        <w:sz w:val="24"/>
        <w:szCs w:val="24"/>
      </w:rPr>
    </w:sdtEndPr>
    <w:sdtContent>
      <w:p w14:paraId="2A8D305D" w14:textId="0C553F33" w:rsidR="003E6AF4" w:rsidRPr="003E6AF4" w:rsidRDefault="003E6AF4">
        <w:pPr>
          <w:pStyle w:val="Footer"/>
          <w:jc w:val="center"/>
          <w:rPr>
            <w:rFonts w:ascii="Times New Roman" w:hAnsi="Times New Roman" w:cs="Times New Roman"/>
            <w:sz w:val="24"/>
            <w:szCs w:val="24"/>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DD" w14:textId="77777777" w:rsidR="00982114" w:rsidRDefault="00982114">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D2B0" w14:textId="77777777" w:rsidR="00982114" w:rsidRDefault="00982114">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5303"/>
      <w:docPartObj>
        <w:docPartGallery w:val="Page Numbers (Bottom of Page)"/>
        <w:docPartUnique/>
      </w:docPartObj>
    </w:sdtPr>
    <w:sdtEndPr>
      <w:rPr>
        <w:rFonts w:ascii="Times New Roman" w:hAnsi="Times New Roman" w:cs="Times New Roman"/>
        <w:noProof/>
      </w:rPr>
    </w:sdtEndPr>
    <w:sdtContent>
      <w:p w14:paraId="05A902A8" w14:textId="1C2965AF" w:rsidR="003E6AF4" w:rsidRPr="003E6AF4" w:rsidRDefault="003E6AF4">
        <w:pPr>
          <w:pStyle w:val="Footer"/>
          <w:jc w:val="center"/>
          <w:rPr>
            <w:rFonts w:ascii="Times New Roman" w:hAnsi="Times New Roman" w:cs="Times New Roman"/>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05E1" w14:textId="77777777" w:rsidR="00982114" w:rsidRDefault="00982114">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20E7" w14:textId="77777777" w:rsidR="00982114" w:rsidRDefault="00982114">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006557"/>
      <w:docPartObj>
        <w:docPartGallery w:val="Page Numbers (Bottom of Page)"/>
        <w:docPartUnique/>
      </w:docPartObj>
    </w:sdtPr>
    <w:sdtEndPr>
      <w:rPr>
        <w:rFonts w:ascii="Times New Roman" w:hAnsi="Times New Roman" w:cs="Times New Roman"/>
        <w:noProof/>
        <w:sz w:val="24"/>
        <w:szCs w:val="24"/>
      </w:rPr>
    </w:sdtEndPr>
    <w:sdtContent>
      <w:p w14:paraId="70E4A54D" w14:textId="16FC84A7" w:rsidR="003E6AF4" w:rsidRPr="003E6AF4" w:rsidRDefault="003E6AF4">
        <w:pPr>
          <w:pStyle w:val="Footer"/>
          <w:jc w:val="center"/>
          <w:rPr>
            <w:rFonts w:ascii="Times New Roman" w:hAnsi="Times New Roman" w:cs="Times New Roman"/>
            <w:sz w:val="24"/>
            <w:szCs w:val="24"/>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6876" w14:textId="77777777" w:rsidR="00982114" w:rsidRPr="003635BD" w:rsidRDefault="00982114" w:rsidP="0001477B">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875A" w14:textId="77777777" w:rsidR="00982114" w:rsidRDefault="00982114">
    <w:pPr>
      <w:pStyle w:val="Footer"/>
    </w:pPr>
  </w:p>
</w:ftr>
</file>

<file path=word/footer2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D4BB" w14:textId="77777777" w:rsidR="00982114" w:rsidRDefault="00982114">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03609"/>
      <w:docPartObj>
        <w:docPartGallery w:val="Page Numbers (Bottom of Page)"/>
        <w:docPartUnique/>
      </w:docPartObj>
    </w:sdtPr>
    <w:sdtEndPr>
      <w:rPr>
        <w:rFonts w:ascii="Times New Roman" w:hAnsi="Times New Roman" w:cs="Times New Roman"/>
        <w:noProof/>
        <w:sz w:val="24"/>
        <w:szCs w:val="24"/>
      </w:rPr>
    </w:sdtEndPr>
    <w:sdtContent>
      <w:p w14:paraId="7590FD64" w14:textId="4659CBB5" w:rsidR="003E6AF4" w:rsidRPr="003E6AF4" w:rsidRDefault="003E6AF4">
        <w:pPr>
          <w:pStyle w:val="Footer"/>
          <w:jc w:val="center"/>
          <w:rPr>
            <w:rFonts w:ascii="Times New Roman" w:hAnsi="Times New Roman" w:cs="Times New Roman"/>
            <w:sz w:val="24"/>
            <w:szCs w:val="24"/>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6DC3" w14:textId="77777777" w:rsidR="00982114" w:rsidRDefault="00982114">
    <w:pPr>
      <w:pStyle w:val="Footer"/>
    </w:pPr>
  </w:p>
</w:ftr>
</file>

<file path=word/footer2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3D73" w14:textId="77777777" w:rsidR="00982114" w:rsidRDefault="00982114">
    <w:pPr>
      <w:pStyle w:val="Footer"/>
    </w:pPr>
  </w:p>
</w:ftr>
</file>

<file path=word/footer2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300007"/>
      <w:docPartObj>
        <w:docPartGallery w:val="Page Numbers (Bottom of Page)"/>
        <w:docPartUnique/>
      </w:docPartObj>
    </w:sdtPr>
    <w:sdtEndPr>
      <w:rPr>
        <w:rFonts w:ascii="Times New Roman" w:hAnsi="Times New Roman" w:cs="Times New Roman"/>
        <w:noProof/>
        <w:sz w:val="24"/>
        <w:szCs w:val="24"/>
      </w:rPr>
    </w:sdtEndPr>
    <w:sdtContent>
      <w:p w14:paraId="4D2933CC" w14:textId="5B7B2F34" w:rsidR="003E6AF4" w:rsidRPr="003E6AF4" w:rsidRDefault="003E6AF4">
        <w:pPr>
          <w:pStyle w:val="Footer"/>
          <w:jc w:val="center"/>
          <w:rPr>
            <w:rFonts w:ascii="Times New Roman" w:hAnsi="Times New Roman" w:cs="Times New Roman"/>
            <w:sz w:val="24"/>
            <w:szCs w:val="24"/>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B5FA" w14:textId="77777777" w:rsidR="00982114" w:rsidRDefault="00982114">
    <w:pPr>
      <w:pStyle w:val="Footer"/>
    </w:pPr>
  </w:p>
</w:ftr>
</file>

<file path=word/footer2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4A4F" w14:textId="77777777" w:rsidR="00982114" w:rsidRDefault="00982114">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433649"/>
      <w:docPartObj>
        <w:docPartGallery w:val="Page Numbers (Bottom of Page)"/>
        <w:docPartUnique/>
      </w:docPartObj>
    </w:sdtPr>
    <w:sdtEndPr>
      <w:rPr>
        <w:rFonts w:ascii="Times New Roman" w:hAnsi="Times New Roman" w:cs="Times New Roman"/>
        <w:noProof/>
        <w:sz w:val="24"/>
        <w:szCs w:val="24"/>
      </w:rPr>
    </w:sdtEndPr>
    <w:sdtContent>
      <w:p w14:paraId="0B657D02" w14:textId="3C6A4D3F" w:rsidR="003E6AF4" w:rsidRPr="003E6AF4" w:rsidRDefault="003E6AF4">
        <w:pPr>
          <w:pStyle w:val="Footer"/>
          <w:jc w:val="center"/>
          <w:rPr>
            <w:rFonts w:ascii="Times New Roman" w:hAnsi="Times New Roman" w:cs="Times New Roman"/>
            <w:sz w:val="24"/>
            <w:szCs w:val="24"/>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4F1D" w14:textId="77777777" w:rsidR="00982114" w:rsidRDefault="0098211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F4ED" w14:textId="77777777" w:rsidR="00982114" w:rsidRDefault="00982114">
    <w:pPr>
      <w:pStyle w:val="Footer"/>
    </w:pPr>
  </w:p>
</w:ftr>
</file>

<file path=word/footer2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103C" w14:textId="77777777" w:rsidR="00982114" w:rsidRDefault="00982114">
    <w:pPr>
      <w:pStyle w:val="Footer"/>
    </w:pPr>
  </w:p>
</w:ftr>
</file>

<file path=word/footer2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160686"/>
      <w:docPartObj>
        <w:docPartGallery w:val="Page Numbers (Bottom of Page)"/>
        <w:docPartUnique/>
      </w:docPartObj>
    </w:sdtPr>
    <w:sdtEndPr>
      <w:rPr>
        <w:rFonts w:ascii="Times New Roman" w:hAnsi="Times New Roman" w:cs="Times New Roman"/>
        <w:noProof/>
        <w:sz w:val="24"/>
        <w:szCs w:val="24"/>
      </w:rPr>
    </w:sdtEndPr>
    <w:sdtContent>
      <w:p w14:paraId="36D10417" w14:textId="0C9B6BEB" w:rsidR="003E6AF4" w:rsidRPr="003E6AF4" w:rsidRDefault="003E6AF4">
        <w:pPr>
          <w:pStyle w:val="Footer"/>
          <w:jc w:val="center"/>
          <w:rPr>
            <w:rFonts w:ascii="Times New Roman" w:hAnsi="Times New Roman" w:cs="Times New Roman"/>
            <w:sz w:val="24"/>
            <w:szCs w:val="24"/>
          </w:rPr>
        </w:pPr>
        <w:r w:rsidRPr="003E6AF4">
          <w:rPr>
            <w:rFonts w:ascii="Times New Roman" w:hAnsi="Times New Roman" w:cs="Times New Roman"/>
            <w:sz w:val="24"/>
          </w:rPr>
          <w:fldChar w:fldCharType="begin"/>
        </w:r>
        <w:r w:rsidRPr="003E6AF4">
          <w:rPr>
            <w:rFonts w:ascii="Times New Roman" w:hAnsi="Times New Roman" w:cs="Times New Roman"/>
            <w:sz w:val="24"/>
          </w:rPr>
          <w:instrText xml:space="preserve"> PAGE   \* MERGEFORMAT </w:instrText>
        </w:r>
        <w:r w:rsidRPr="003E6AF4">
          <w:rPr>
            <w:rFonts w:ascii="Times New Roman" w:hAnsi="Times New Roman" w:cs="Times New Roman"/>
            <w:sz w:val="24"/>
          </w:rPr>
          <w:fldChar w:fldCharType="separate"/>
        </w:r>
        <w:r w:rsidRPr="003E6AF4">
          <w:rPr>
            <w:rFonts w:ascii="Times New Roman" w:hAnsi="Times New Roman" w:cs="Times New Roman"/>
            <w:sz w:val="24"/>
          </w:rPr>
          <w:t>2</w:t>
        </w:r>
        <w:r w:rsidRPr="003E6AF4">
          <w:rPr>
            <w:rFonts w:ascii="Times New Roman" w:hAnsi="Times New Roman" w:cs="Times New Roman"/>
            <w:sz w:val="24"/>
          </w:rPr>
          <w:fldChar w:fldCharType="end"/>
        </w:r>
      </w:p>
    </w:sdtContent>
  </w:sdt>
</w:ftr>
</file>

<file path=word/footer2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9D14" w14:textId="77777777" w:rsidR="00982114" w:rsidRDefault="00982114">
    <w:pPr>
      <w:pStyle w:val="Footer"/>
    </w:pPr>
  </w:p>
</w:ftr>
</file>

<file path=word/footer2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FC2E" w14:textId="77777777" w:rsidR="00982114" w:rsidRDefault="00982114">
    <w:pPr>
      <w:pStyle w:val="Footer"/>
    </w:pPr>
  </w:p>
</w:ftr>
</file>

<file path=word/footer2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521922"/>
      <w:docPartObj>
        <w:docPartGallery w:val="Page Numbers (Bottom of Page)"/>
        <w:docPartUnique/>
      </w:docPartObj>
    </w:sdtPr>
    <w:sdtEndPr>
      <w:rPr>
        <w:rFonts w:ascii="Times New Roman" w:hAnsi="Times New Roman" w:cs="Times New Roman"/>
        <w:noProof/>
        <w:sz w:val="24"/>
        <w:szCs w:val="24"/>
      </w:rPr>
    </w:sdtEndPr>
    <w:sdtContent>
      <w:p w14:paraId="41744D51" w14:textId="1ED6B295" w:rsidR="00A2594A" w:rsidRPr="00A2594A" w:rsidRDefault="00A2594A">
        <w:pPr>
          <w:pStyle w:val="Footer"/>
          <w:jc w:val="center"/>
          <w:rPr>
            <w:rFonts w:ascii="Times New Roman" w:hAnsi="Times New Roman" w:cs="Times New Roman"/>
            <w:sz w:val="24"/>
            <w:szCs w:val="24"/>
          </w:rPr>
        </w:pPr>
        <w:r w:rsidRPr="00A2594A">
          <w:rPr>
            <w:rFonts w:ascii="Times New Roman" w:hAnsi="Times New Roman" w:cs="Times New Roman"/>
            <w:sz w:val="24"/>
          </w:rPr>
          <w:fldChar w:fldCharType="begin"/>
        </w:r>
        <w:r w:rsidRPr="00A2594A">
          <w:rPr>
            <w:rFonts w:ascii="Times New Roman" w:hAnsi="Times New Roman" w:cs="Times New Roman"/>
            <w:sz w:val="24"/>
          </w:rPr>
          <w:instrText xml:space="preserve"> PAGE   \* MERGEFORMAT </w:instrText>
        </w:r>
        <w:r w:rsidRPr="00A2594A">
          <w:rPr>
            <w:rFonts w:ascii="Times New Roman" w:hAnsi="Times New Roman" w:cs="Times New Roman"/>
            <w:sz w:val="24"/>
          </w:rPr>
          <w:fldChar w:fldCharType="separate"/>
        </w:r>
        <w:r w:rsidRPr="00A2594A">
          <w:rPr>
            <w:rFonts w:ascii="Times New Roman" w:hAnsi="Times New Roman" w:cs="Times New Roman"/>
            <w:sz w:val="24"/>
          </w:rPr>
          <w:t>2</w:t>
        </w:r>
        <w:r w:rsidRPr="00A2594A">
          <w:rPr>
            <w:rFonts w:ascii="Times New Roman" w:hAnsi="Times New Roman" w:cs="Times New Roman"/>
            <w:sz w:val="24"/>
          </w:rPr>
          <w:fldChar w:fldCharType="end"/>
        </w:r>
      </w:p>
    </w:sdtContent>
  </w:sdt>
</w:ftr>
</file>

<file path=word/footer2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9AFB" w14:textId="77777777" w:rsidR="00982114" w:rsidRDefault="0098211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9582"/>
      <w:docPartObj>
        <w:docPartGallery w:val="Page Numbers (Bottom of Page)"/>
        <w:docPartUnique/>
      </w:docPartObj>
    </w:sdtPr>
    <w:sdtEndPr>
      <w:rPr>
        <w:rFonts w:ascii="Times New Roman" w:hAnsi="Times New Roman" w:cs="Times New Roman"/>
        <w:noProof/>
        <w:sz w:val="24"/>
        <w:szCs w:val="24"/>
      </w:rPr>
    </w:sdtEndPr>
    <w:sdtContent>
      <w:p w14:paraId="7FCBC744" w14:textId="674918FA" w:rsidR="00035E1E" w:rsidRPr="00035E1E" w:rsidRDefault="00035E1E">
        <w:pPr>
          <w:pStyle w:val="Footer"/>
          <w:jc w:val="center"/>
          <w:rPr>
            <w:rFonts w:ascii="Times New Roman" w:hAnsi="Times New Roman" w:cs="Times New Roman"/>
            <w:sz w:val="24"/>
            <w:szCs w:val="24"/>
          </w:rPr>
        </w:pPr>
        <w:r w:rsidRPr="00035E1E">
          <w:rPr>
            <w:rFonts w:ascii="Times New Roman" w:hAnsi="Times New Roman" w:cs="Times New Roman"/>
            <w:sz w:val="24"/>
          </w:rPr>
          <w:fldChar w:fldCharType="begin"/>
        </w:r>
        <w:r w:rsidRPr="00035E1E">
          <w:rPr>
            <w:rFonts w:ascii="Times New Roman" w:hAnsi="Times New Roman" w:cs="Times New Roman"/>
            <w:sz w:val="24"/>
          </w:rPr>
          <w:instrText xml:space="preserve"> PAGE   \* MERGEFORMAT </w:instrText>
        </w:r>
        <w:r w:rsidRPr="00035E1E">
          <w:rPr>
            <w:rFonts w:ascii="Times New Roman" w:hAnsi="Times New Roman" w:cs="Times New Roman"/>
            <w:sz w:val="24"/>
          </w:rPr>
          <w:fldChar w:fldCharType="separate"/>
        </w:r>
        <w:r w:rsidRPr="00035E1E">
          <w:rPr>
            <w:rFonts w:ascii="Times New Roman" w:hAnsi="Times New Roman" w:cs="Times New Roman"/>
            <w:sz w:val="24"/>
          </w:rPr>
          <w:t>2</w:t>
        </w:r>
        <w:r w:rsidRPr="00035E1E">
          <w:rPr>
            <w:rFonts w:ascii="Times New Roman" w:hAnsi="Times New Roman" w:cs="Times New Roman"/>
            <w:sz w:val="24"/>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1338" w14:textId="77777777" w:rsidR="00982114" w:rsidRDefault="0098211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C87C" w14:textId="77777777" w:rsidR="00982114" w:rsidRDefault="0098211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128915"/>
      <w:docPartObj>
        <w:docPartGallery w:val="Page Numbers (Bottom of Page)"/>
        <w:docPartUnique/>
      </w:docPartObj>
    </w:sdtPr>
    <w:sdtEndPr>
      <w:rPr>
        <w:rFonts w:ascii="Times New Roman" w:hAnsi="Times New Roman" w:cs="Times New Roman"/>
        <w:noProof/>
        <w:sz w:val="24"/>
        <w:szCs w:val="24"/>
      </w:rPr>
    </w:sdtEndPr>
    <w:sdtContent>
      <w:p w14:paraId="0E51EA98" w14:textId="6054153B" w:rsidR="00035E1E" w:rsidRPr="00035E1E" w:rsidRDefault="00035E1E">
        <w:pPr>
          <w:pStyle w:val="Footer"/>
          <w:jc w:val="center"/>
          <w:rPr>
            <w:rFonts w:ascii="Times New Roman" w:hAnsi="Times New Roman" w:cs="Times New Roman"/>
            <w:sz w:val="24"/>
            <w:szCs w:val="24"/>
          </w:rPr>
        </w:pPr>
        <w:r w:rsidRPr="00035E1E">
          <w:rPr>
            <w:rFonts w:ascii="Times New Roman" w:hAnsi="Times New Roman" w:cs="Times New Roman"/>
            <w:sz w:val="24"/>
          </w:rPr>
          <w:fldChar w:fldCharType="begin"/>
        </w:r>
        <w:r w:rsidRPr="00035E1E">
          <w:rPr>
            <w:rFonts w:ascii="Times New Roman" w:hAnsi="Times New Roman" w:cs="Times New Roman"/>
            <w:sz w:val="24"/>
          </w:rPr>
          <w:instrText xml:space="preserve"> PAGE   \* MERGEFORMAT </w:instrText>
        </w:r>
        <w:r w:rsidRPr="00035E1E">
          <w:rPr>
            <w:rFonts w:ascii="Times New Roman" w:hAnsi="Times New Roman" w:cs="Times New Roman"/>
            <w:sz w:val="24"/>
          </w:rPr>
          <w:fldChar w:fldCharType="separate"/>
        </w:r>
        <w:r w:rsidRPr="00035E1E">
          <w:rPr>
            <w:rFonts w:ascii="Times New Roman" w:hAnsi="Times New Roman" w:cs="Times New Roman"/>
            <w:sz w:val="24"/>
          </w:rPr>
          <w:t>2</w:t>
        </w:r>
        <w:r w:rsidRPr="00035E1E">
          <w:rPr>
            <w:rFonts w:ascii="Times New Roman" w:hAnsi="Times New Roman" w:cs="Times New Roman"/>
            <w:sz w:val="24"/>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6990" w14:textId="77777777" w:rsidR="00982114" w:rsidRDefault="0098211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E2B1" w14:textId="77777777" w:rsidR="00982114" w:rsidRDefault="0098211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656471"/>
      <w:docPartObj>
        <w:docPartGallery w:val="Page Numbers (Bottom of Page)"/>
        <w:docPartUnique/>
      </w:docPartObj>
    </w:sdtPr>
    <w:sdtEndPr>
      <w:rPr>
        <w:rFonts w:ascii="Times New Roman" w:hAnsi="Times New Roman" w:cs="Times New Roman"/>
        <w:noProof/>
        <w:sz w:val="24"/>
        <w:szCs w:val="24"/>
      </w:rPr>
    </w:sdtEndPr>
    <w:sdtContent>
      <w:p w14:paraId="3D411BF2" w14:textId="4FEC9499" w:rsidR="003752C8" w:rsidRPr="003752C8" w:rsidRDefault="003752C8">
        <w:pPr>
          <w:pStyle w:val="Footer"/>
          <w:jc w:val="center"/>
          <w:rPr>
            <w:rFonts w:ascii="Times New Roman" w:hAnsi="Times New Roman" w:cs="Times New Roman"/>
            <w:sz w:val="24"/>
            <w:szCs w:val="24"/>
          </w:rP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983E" w14:textId="77777777" w:rsidR="00494B37" w:rsidRPr="00494B37" w:rsidRDefault="00494B37" w:rsidP="00494B37">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6342" w14:textId="77777777" w:rsidR="00982114" w:rsidRDefault="0098211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6153" w14:textId="77777777" w:rsidR="00485486" w:rsidRDefault="0048548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76299"/>
      <w:docPartObj>
        <w:docPartGallery w:val="Page Numbers (Bottom of Page)"/>
        <w:docPartUnique/>
      </w:docPartObj>
    </w:sdtPr>
    <w:sdtEndPr>
      <w:rPr>
        <w:rFonts w:ascii="Times New Roman" w:hAnsi="Times New Roman" w:cs="Times New Roman"/>
        <w:noProof/>
      </w:rPr>
    </w:sdtEndPr>
    <w:sdtContent>
      <w:p w14:paraId="3109D379" w14:textId="714530E4" w:rsidR="003752C8" w:rsidRPr="003752C8" w:rsidRDefault="003752C8">
        <w:pPr>
          <w:pStyle w:val="Footer"/>
          <w:jc w:val="center"/>
          <w:rPr>
            <w:rFonts w:ascii="Times New Roman" w:hAnsi="Times New Roman" w:cs="Times New Roman"/>
          </w:rP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8A9" w14:textId="77777777" w:rsidR="00485486" w:rsidRDefault="0048548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959B" w14:textId="77777777" w:rsidR="00982114" w:rsidRDefault="0098211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56641"/>
      <w:docPartObj>
        <w:docPartGallery w:val="Page Numbers (Bottom of Page)"/>
        <w:docPartUnique/>
      </w:docPartObj>
    </w:sdtPr>
    <w:sdtEndPr>
      <w:rPr>
        <w:noProof/>
      </w:rPr>
    </w:sdtEndPr>
    <w:sdtContent>
      <w:p w14:paraId="411DB116" w14:textId="2DC02BD7" w:rsidR="003752C8" w:rsidRDefault="003752C8">
        <w:pPr>
          <w:pStyle w:val="Footer"/>
          <w:jc w:val="cente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4769" w14:textId="77777777" w:rsidR="00982114" w:rsidRDefault="0098211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9A2B" w14:textId="77777777" w:rsidR="00982114" w:rsidRDefault="0098211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16527"/>
      <w:docPartObj>
        <w:docPartGallery w:val="Page Numbers (Bottom of Page)"/>
        <w:docPartUnique/>
      </w:docPartObj>
    </w:sdtPr>
    <w:sdtEndPr>
      <w:rPr>
        <w:rFonts w:ascii="Times New Roman" w:hAnsi="Times New Roman" w:cs="Times New Roman"/>
        <w:noProof/>
        <w:sz w:val="24"/>
        <w:szCs w:val="24"/>
      </w:rPr>
    </w:sdtEndPr>
    <w:sdtContent>
      <w:p w14:paraId="6AF36420" w14:textId="379205EB" w:rsidR="003752C8" w:rsidRPr="003752C8" w:rsidRDefault="003752C8">
        <w:pPr>
          <w:pStyle w:val="Footer"/>
          <w:jc w:val="center"/>
          <w:rPr>
            <w:rFonts w:ascii="Times New Roman" w:hAnsi="Times New Roman" w:cs="Times New Roman"/>
            <w:sz w:val="24"/>
            <w:szCs w:val="24"/>
          </w:rP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176B" w14:textId="77777777" w:rsidR="00982114" w:rsidRDefault="009821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6F8F" w14:textId="77777777" w:rsidR="00982114" w:rsidRDefault="0098211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17DA" w14:textId="77777777" w:rsidR="00982114" w:rsidRDefault="0098211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C7B8" w14:textId="77777777" w:rsidR="00982114" w:rsidRDefault="0098211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42F2" w14:textId="77777777" w:rsidR="00982114" w:rsidRDefault="0098211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8FFE" w14:textId="77777777" w:rsidR="00485486" w:rsidRDefault="0048548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573779"/>
      <w:docPartObj>
        <w:docPartGallery w:val="Page Numbers (Bottom of Page)"/>
        <w:docPartUnique/>
      </w:docPartObj>
    </w:sdtPr>
    <w:sdtEndPr>
      <w:rPr>
        <w:noProof/>
      </w:rPr>
    </w:sdtEndPr>
    <w:sdtContent>
      <w:p w14:paraId="6DD35D88" w14:textId="73BDC4A4" w:rsidR="003752C8" w:rsidRDefault="003752C8">
        <w:pPr>
          <w:pStyle w:val="Footer"/>
          <w:jc w:val="cente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5D8E" w14:textId="77777777" w:rsidR="00485486" w:rsidRDefault="0048548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F56E" w14:textId="77777777" w:rsidR="00982114" w:rsidRDefault="00982114">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066079"/>
      <w:docPartObj>
        <w:docPartGallery w:val="Page Numbers (Bottom of Page)"/>
        <w:docPartUnique/>
      </w:docPartObj>
    </w:sdtPr>
    <w:sdtEndPr>
      <w:rPr>
        <w:rFonts w:ascii="Times New Roman" w:hAnsi="Times New Roman" w:cs="Times New Roman"/>
        <w:noProof/>
        <w:sz w:val="24"/>
        <w:szCs w:val="24"/>
      </w:rPr>
    </w:sdtEndPr>
    <w:sdtContent>
      <w:p w14:paraId="196E0828" w14:textId="0AA154CD" w:rsidR="003752C8" w:rsidRPr="003752C8" w:rsidRDefault="003752C8">
        <w:pPr>
          <w:pStyle w:val="Footer"/>
          <w:jc w:val="center"/>
          <w:rPr>
            <w:rFonts w:ascii="Times New Roman" w:hAnsi="Times New Roman" w:cs="Times New Roman"/>
            <w:sz w:val="24"/>
            <w:szCs w:val="24"/>
          </w:rP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65E7" w14:textId="77777777" w:rsidR="00982114" w:rsidRDefault="00982114">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36E1" w14:textId="77777777" w:rsidR="00485486" w:rsidRDefault="004854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5689"/>
      <w:docPartObj>
        <w:docPartGallery w:val="Page Numbers (Bottom of Page)"/>
        <w:docPartUnique/>
      </w:docPartObj>
    </w:sdtPr>
    <w:sdtEndPr>
      <w:rPr>
        <w:rFonts w:ascii="Times New Roman" w:hAnsi="Times New Roman" w:cs="Times New Roman"/>
        <w:noProof/>
        <w:sz w:val="24"/>
        <w:szCs w:val="24"/>
      </w:rPr>
    </w:sdtEndPr>
    <w:sdtContent>
      <w:p w14:paraId="16C5A1D6" w14:textId="0D8B19DD" w:rsidR="00982114" w:rsidRPr="00982114" w:rsidRDefault="00982114">
        <w:pPr>
          <w:pStyle w:val="Footer"/>
          <w:jc w:val="center"/>
          <w:rPr>
            <w:rFonts w:ascii="Times New Roman" w:hAnsi="Times New Roman" w:cs="Times New Roman"/>
            <w:sz w:val="24"/>
            <w:szCs w:val="24"/>
          </w:rPr>
        </w:pPr>
        <w:r w:rsidRPr="00982114">
          <w:rPr>
            <w:rFonts w:ascii="Times New Roman" w:hAnsi="Times New Roman" w:cs="Times New Roman"/>
            <w:sz w:val="24"/>
          </w:rPr>
          <w:fldChar w:fldCharType="begin"/>
        </w:r>
        <w:r w:rsidRPr="00982114">
          <w:rPr>
            <w:rFonts w:ascii="Times New Roman" w:hAnsi="Times New Roman" w:cs="Times New Roman"/>
            <w:sz w:val="24"/>
          </w:rPr>
          <w:instrText xml:space="preserve"> PAGE   \* MERGEFORMAT </w:instrText>
        </w:r>
        <w:r w:rsidRPr="00982114">
          <w:rPr>
            <w:rFonts w:ascii="Times New Roman" w:hAnsi="Times New Roman" w:cs="Times New Roman"/>
            <w:sz w:val="24"/>
          </w:rPr>
          <w:fldChar w:fldCharType="separate"/>
        </w:r>
        <w:r w:rsidR="00494B37">
          <w:rPr>
            <w:rFonts w:ascii="Times New Roman" w:hAnsi="Times New Roman" w:cs="Times New Roman"/>
            <w:noProof/>
            <w:sz w:val="24"/>
          </w:rPr>
          <w:t>4</w:t>
        </w:r>
        <w:r w:rsidRPr="00982114">
          <w:rPr>
            <w:rFonts w:ascii="Times New Roman" w:hAnsi="Times New Roman" w:cs="Times New Roman"/>
            <w:sz w:val="24"/>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927457"/>
      <w:docPartObj>
        <w:docPartGallery w:val="Page Numbers (Bottom of Page)"/>
        <w:docPartUnique/>
      </w:docPartObj>
    </w:sdtPr>
    <w:sdtEndPr>
      <w:rPr>
        <w:rFonts w:ascii="Times New Roman" w:hAnsi="Times New Roman" w:cs="Times New Roman"/>
        <w:noProof/>
        <w:sz w:val="24"/>
        <w:szCs w:val="24"/>
      </w:rPr>
    </w:sdtEndPr>
    <w:sdtContent>
      <w:p w14:paraId="13B61D08" w14:textId="33433466" w:rsidR="003752C8" w:rsidRPr="003752C8" w:rsidRDefault="003752C8">
        <w:pPr>
          <w:pStyle w:val="Footer"/>
          <w:jc w:val="center"/>
          <w:rPr>
            <w:rFonts w:ascii="Times New Roman" w:hAnsi="Times New Roman" w:cs="Times New Roman"/>
            <w:sz w:val="24"/>
            <w:szCs w:val="24"/>
          </w:rP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9A4C" w14:textId="77777777" w:rsidR="00485486" w:rsidRDefault="0048548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C6DE" w14:textId="77777777" w:rsidR="00982114" w:rsidRDefault="0098211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64318"/>
      <w:docPartObj>
        <w:docPartGallery w:val="Page Numbers (Bottom of Page)"/>
        <w:docPartUnique/>
      </w:docPartObj>
    </w:sdtPr>
    <w:sdtEndPr>
      <w:rPr>
        <w:noProof/>
      </w:rPr>
    </w:sdtEndPr>
    <w:sdtContent>
      <w:p w14:paraId="18FC834E" w14:textId="7887A9D4" w:rsidR="003752C8" w:rsidRDefault="003752C8">
        <w:pPr>
          <w:pStyle w:val="Footer"/>
          <w:jc w:val="cente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9CAC" w14:textId="77777777" w:rsidR="00982114" w:rsidRDefault="00982114">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2752" w14:textId="77777777" w:rsidR="00485486" w:rsidRPr="003635BD" w:rsidRDefault="00485486" w:rsidP="0001477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229082"/>
      <w:docPartObj>
        <w:docPartGallery w:val="Page Numbers (Bottom of Page)"/>
        <w:docPartUnique/>
      </w:docPartObj>
    </w:sdtPr>
    <w:sdtEndPr>
      <w:rPr>
        <w:noProof/>
      </w:rPr>
    </w:sdtEndPr>
    <w:sdtContent>
      <w:p w14:paraId="6CEEBB38" w14:textId="173E0EB9" w:rsidR="003752C8" w:rsidRDefault="003752C8">
        <w:pPr>
          <w:pStyle w:val="Footer"/>
          <w:jc w:val="center"/>
        </w:pPr>
        <w:r w:rsidRPr="003752C8">
          <w:rPr>
            <w:rFonts w:ascii="Times New Roman" w:hAnsi="Times New Roman" w:cs="Times New Roman"/>
          </w:rPr>
          <w:fldChar w:fldCharType="begin"/>
        </w:r>
        <w:r w:rsidRPr="003752C8">
          <w:rPr>
            <w:rFonts w:ascii="Times New Roman" w:hAnsi="Times New Roman" w:cs="Times New Roman"/>
          </w:rPr>
          <w:instrText xml:space="preserve"> PAGE   \* MERGEFORMAT </w:instrText>
        </w:r>
        <w:r w:rsidRPr="003752C8">
          <w:rPr>
            <w:rFonts w:ascii="Times New Roman" w:hAnsi="Times New Roman" w:cs="Times New Roman"/>
          </w:rPr>
          <w:fldChar w:fldCharType="separate"/>
        </w:r>
        <w:r w:rsidRPr="003752C8">
          <w:rPr>
            <w:rFonts w:ascii="Times New Roman" w:hAnsi="Times New Roman" w:cs="Times New Roman"/>
          </w:rPr>
          <w:t>2</w:t>
        </w:r>
        <w:r w:rsidRPr="003752C8">
          <w:rPr>
            <w:rFonts w:ascii="Times New Roman" w:hAnsi="Times New Roman" w:cs="Times New Roman"/>
          </w:rPr>
          <w:fldChar w:fldCharType="end"/>
        </w:r>
      </w:p>
    </w:sdtContent>
  </w:sdt>
  <w:p w14:paraId="7360E757" w14:textId="77777777" w:rsidR="00485486" w:rsidRPr="003635BD" w:rsidRDefault="00485486" w:rsidP="0001477B">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5B25" w14:textId="77777777" w:rsidR="00485486" w:rsidRPr="003635BD" w:rsidRDefault="00485486" w:rsidP="0001477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D8C2" w14:textId="77777777" w:rsidR="00982114" w:rsidRPr="003635BD" w:rsidRDefault="00982114" w:rsidP="0001477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392326"/>
      <w:docPartObj>
        <w:docPartGallery w:val="Page Numbers (Bottom of Page)"/>
        <w:docPartUnique/>
      </w:docPartObj>
    </w:sdtPr>
    <w:sdtEndPr>
      <w:rPr>
        <w:noProof/>
      </w:rPr>
    </w:sdtEndPr>
    <w:sdtContent>
      <w:p w14:paraId="02F98BEF" w14:textId="63DC6FB7" w:rsidR="003752C8" w:rsidRDefault="003752C8">
        <w:pPr>
          <w:pStyle w:val="Footer"/>
          <w:jc w:val="cente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7513" w14:textId="77777777" w:rsidR="00982114" w:rsidRDefault="00982114">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6513" w14:textId="77777777" w:rsidR="00982114" w:rsidRPr="003635BD" w:rsidRDefault="00982114" w:rsidP="0001477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8A40" w14:textId="77777777" w:rsidR="00982114" w:rsidRPr="003635BD" w:rsidRDefault="00982114" w:rsidP="0001477B">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81139"/>
      <w:docPartObj>
        <w:docPartGallery w:val="Page Numbers (Bottom of Page)"/>
        <w:docPartUnique/>
      </w:docPartObj>
    </w:sdtPr>
    <w:sdtEndPr>
      <w:rPr>
        <w:noProof/>
      </w:rPr>
    </w:sdtEndPr>
    <w:sdtContent>
      <w:p w14:paraId="3C23B86E" w14:textId="0241FA31" w:rsidR="003752C8" w:rsidRDefault="003752C8">
        <w:pPr>
          <w:pStyle w:val="Footer"/>
          <w:jc w:val="cente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6960" w14:textId="77777777" w:rsidR="00982114" w:rsidRPr="003635BD" w:rsidRDefault="00982114" w:rsidP="0001477B">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182B" w14:textId="77777777" w:rsidR="00982114" w:rsidRPr="003635BD" w:rsidRDefault="00982114" w:rsidP="0001477B">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16328"/>
      <w:docPartObj>
        <w:docPartGallery w:val="Page Numbers (Bottom of Page)"/>
        <w:docPartUnique/>
      </w:docPartObj>
    </w:sdtPr>
    <w:sdtEndPr>
      <w:rPr>
        <w:rFonts w:ascii="Times New Roman" w:hAnsi="Times New Roman" w:cs="Times New Roman"/>
        <w:noProof/>
        <w:sz w:val="24"/>
        <w:szCs w:val="24"/>
      </w:rPr>
    </w:sdtEndPr>
    <w:sdtContent>
      <w:p w14:paraId="75DEE892" w14:textId="4E3B5674" w:rsidR="003752C8" w:rsidRPr="003752C8" w:rsidRDefault="003752C8">
        <w:pPr>
          <w:pStyle w:val="Footer"/>
          <w:jc w:val="center"/>
          <w:rPr>
            <w:rFonts w:ascii="Times New Roman" w:hAnsi="Times New Roman" w:cs="Times New Roman"/>
            <w:sz w:val="24"/>
            <w:szCs w:val="24"/>
          </w:rP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CD2E" w14:textId="77777777" w:rsidR="00982114" w:rsidRPr="003635BD" w:rsidRDefault="00982114" w:rsidP="0001477B">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2855" w14:textId="77777777" w:rsidR="00485486" w:rsidRDefault="0048548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32006"/>
      <w:docPartObj>
        <w:docPartGallery w:val="Page Numbers (Bottom of Page)"/>
        <w:docPartUnique/>
      </w:docPartObj>
    </w:sdtPr>
    <w:sdtEndPr>
      <w:rPr>
        <w:noProof/>
      </w:rPr>
    </w:sdtEndPr>
    <w:sdtContent>
      <w:p w14:paraId="4B6A7979" w14:textId="30B0741F" w:rsidR="003752C8" w:rsidRDefault="003752C8">
        <w:pPr>
          <w:pStyle w:val="Footer"/>
          <w:jc w:val="cente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9EDE" w14:textId="77777777" w:rsidR="00485486" w:rsidRDefault="004854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9DCC" w14:textId="77777777" w:rsidR="00733DCA" w:rsidRPr="003635BD" w:rsidRDefault="00733DCA" w:rsidP="0001477B">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C355" w14:textId="77777777" w:rsidR="00982114" w:rsidRDefault="00982114">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14047"/>
      <w:docPartObj>
        <w:docPartGallery w:val="Page Numbers (Bottom of Page)"/>
        <w:docPartUnique/>
      </w:docPartObj>
    </w:sdtPr>
    <w:sdtEndPr>
      <w:rPr>
        <w:rFonts w:ascii="Times New Roman" w:hAnsi="Times New Roman" w:cs="Times New Roman"/>
        <w:noProof/>
        <w:sz w:val="24"/>
        <w:szCs w:val="24"/>
      </w:rPr>
    </w:sdtEndPr>
    <w:sdtContent>
      <w:p w14:paraId="2017BAF5" w14:textId="774FFE44" w:rsidR="003752C8" w:rsidRPr="003752C8" w:rsidRDefault="003752C8">
        <w:pPr>
          <w:pStyle w:val="Footer"/>
          <w:jc w:val="center"/>
          <w:rPr>
            <w:rFonts w:ascii="Times New Roman" w:hAnsi="Times New Roman" w:cs="Times New Roman"/>
            <w:sz w:val="24"/>
            <w:szCs w:val="24"/>
          </w:rPr>
        </w:pPr>
        <w:r w:rsidRPr="003752C8">
          <w:rPr>
            <w:rFonts w:ascii="Times New Roman" w:hAnsi="Times New Roman" w:cs="Times New Roman"/>
            <w:sz w:val="24"/>
          </w:rPr>
          <w:fldChar w:fldCharType="begin"/>
        </w:r>
        <w:r w:rsidRPr="003752C8">
          <w:rPr>
            <w:rFonts w:ascii="Times New Roman" w:hAnsi="Times New Roman" w:cs="Times New Roman"/>
            <w:sz w:val="24"/>
          </w:rPr>
          <w:instrText xml:space="preserve"> PAGE   \* MERGEFORMAT </w:instrText>
        </w:r>
        <w:r w:rsidRPr="003752C8">
          <w:rPr>
            <w:rFonts w:ascii="Times New Roman" w:hAnsi="Times New Roman" w:cs="Times New Roman"/>
            <w:sz w:val="24"/>
          </w:rPr>
          <w:fldChar w:fldCharType="separate"/>
        </w:r>
        <w:r w:rsidRPr="003752C8">
          <w:rPr>
            <w:rFonts w:ascii="Times New Roman" w:hAnsi="Times New Roman" w:cs="Times New Roman"/>
            <w:sz w:val="24"/>
          </w:rPr>
          <w:t>2</w:t>
        </w:r>
        <w:r w:rsidRPr="003752C8">
          <w:rPr>
            <w:rFonts w:ascii="Times New Roman" w:hAnsi="Times New Roman" w:cs="Times New Roman"/>
            <w:sz w:val="24"/>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BEA2" w14:textId="77777777" w:rsidR="00982114" w:rsidRDefault="00982114">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8A291" w14:textId="77777777" w:rsidR="00982114" w:rsidRDefault="00982114">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53072"/>
      <w:docPartObj>
        <w:docPartGallery w:val="Page Numbers (Bottom of Page)"/>
        <w:docPartUnique/>
      </w:docPartObj>
    </w:sdtPr>
    <w:sdtEndPr>
      <w:rPr>
        <w:rFonts w:ascii="Times New Roman" w:hAnsi="Times New Roman" w:cs="Times New Roman"/>
        <w:noProof/>
        <w:sz w:val="24"/>
        <w:szCs w:val="24"/>
      </w:rPr>
    </w:sdtEndPr>
    <w:sdtContent>
      <w:p w14:paraId="2064226D" w14:textId="3A8F54ED" w:rsidR="008D7238" w:rsidRPr="008D7238" w:rsidRDefault="008D7238">
        <w:pPr>
          <w:pStyle w:val="Footer"/>
          <w:jc w:val="center"/>
          <w:rPr>
            <w:rFonts w:ascii="Times New Roman" w:hAnsi="Times New Roman" w:cs="Times New Roman"/>
            <w:sz w:val="24"/>
            <w:szCs w:val="24"/>
          </w:rP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AEA7" w14:textId="77777777" w:rsidR="00982114" w:rsidRDefault="00982114">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6054" w14:textId="77777777" w:rsidR="00982114" w:rsidRDefault="00982114">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409188"/>
      <w:docPartObj>
        <w:docPartGallery w:val="Page Numbers (Bottom of Page)"/>
        <w:docPartUnique/>
      </w:docPartObj>
    </w:sdtPr>
    <w:sdtEndPr>
      <w:rPr>
        <w:rFonts w:ascii="Times New Roman" w:hAnsi="Times New Roman" w:cs="Times New Roman"/>
        <w:noProof/>
        <w:sz w:val="24"/>
        <w:szCs w:val="24"/>
      </w:rPr>
    </w:sdtEndPr>
    <w:sdtContent>
      <w:p w14:paraId="0B10A811" w14:textId="7B7822F2" w:rsidR="008D7238" w:rsidRPr="008D7238" w:rsidRDefault="008D7238">
        <w:pPr>
          <w:pStyle w:val="Footer"/>
          <w:jc w:val="center"/>
          <w:rPr>
            <w:rFonts w:ascii="Times New Roman" w:hAnsi="Times New Roman" w:cs="Times New Roman"/>
            <w:sz w:val="24"/>
            <w:szCs w:val="24"/>
          </w:rP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ACD5" w14:textId="77777777" w:rsidR="00982114" w:rsidRDefault="00982114">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E207" w14:textId="77777777" w:rsidR="00485486" w:rsidRDefault="004854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832377"/>
      <w:docPartObj>
        <w:docPartGallery w:val="Page Numbers (Bottom of Page)"/>
        <w:docPartUnique/>
      </w:docPartObj>
    </w:sdtPr>
    <w:sdtEndPr>
      <w:rPr>
        <w:noProof/>
        <w:sz w:val="24"/>
        <w:szCs w:val="24"/>
      </w:rPr>
    </w:sdtEndPr>
    <w:sdtContent>
      <w:p w14:paraId="783AAA53" w14:textId="1740B998" w:rsidR="00982114" w:rsidRPr="00982114" w:rsidRDefault="00982114">
        <w:pPr>
          <w:pStyle w:val="Footer"/>
          <w:jc w:val="center"/>
          <w:rPr>
            <w:sz w:val="24"/>
            <w:szCs w:val="24"/>
          </w:rPr>
        </w:pPr>
        <w:r w:rsidRPr="00982114">
          <w:rPr>
            <w:rFonts w:ascii="Times New Roman" w:hAnsi="Times New Roman" w:cs="Times New Roman"/>
            <w:sz w:val="24"/>
          </w:rPr>
          <w:fldChar w:fldCharType="begin"/>
        </w:r>
        <w:r w:rsidRPr="00982114">
          <w:rPr>
            <w:rFonts w:ascii="Times New Roman" w:hAnsi="Times New Roman" w:cs="Times New Roman"/>
            <w:sz w:val="24"/>
          </w:rPr>
          <w:instrText xml:space="preserve"> PAGE   \* MERGEFORMAT </w:instrText>
        </w:r>
        <w:r w:rsidRPr="00982114">
          <w:rPr>
            <w:rFonts w:ascii="Times New Roman" w:hAnsi="Times New Roman" w:cs="Times New Roman"/>
            <w:sz w:val="24"/>
          </w:rPr>
          <w:fldChar w:fldCharType="separate"/>
        </w:r>
        <w:r w:rsidR="007646F4">
          <w:rPr>
            <w:rFonts w:ascii="Times New Roman" w:hAnsi="Times New Roman" w:cs="Times New Roman"/>
            <w:noProof/>
            <w:sz w:val="24"/>
          </w:rPr>
          <w:t>16</w:t>
        </w:r>
        <w:r w:rsidRPr="00982114">
          <w:rPr>
            <w:rFonts w:ascii="Times New Roman" w:hAnsi="Times New Roman" w:cs="Times New Roman"/>
            <w:sz w:val="24"/>
          </w:rPr>
          <w:fldChar w:fldCharType="end"/>
        </w:r>
      </w:p>
    </w:sdtContent>
  </w:sdt>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705483"/>
      <w:docPartObj>
        <w:docPartGallery w:val="Page Numbers (Bottom of Page)"/>
        <w:docPartUnique/>
      </w:docPartObj>
    </w:sdtPr>
    <w:sdtEndPr>
      <w:rPr>
        <w:rFonts w:ascii="Times New Roman" w:hAnsi="Times New Roman" w:cs="Times New Roman"/>
        <w:noProof/>
        <w:sz w:val="24"/>
        <w:szCs w:val="24"/>
      </w:rPr>
    </w:sdtEndPr>
    <w:sdtContent>
      <w:p w14:paraId="17B5EEE2" w14:textId="682B71FF" w:rsidR="008D7238" w:rsidRPr="008D7238" w:rsidRDefault="008D7238">
        <w:pPr>
          <w:pStyle w:val="Footer"/>
          <w:jc w:val="center"/>
          <w:rPr>
            <w:rFonts w:ascii="Times New Roman" w:hAnsi="Times New Roman" w:cs="Times New Roman"/>
            <w:sz w:val="24"/>
            <w:szCs w:val="24"/>
          </w:rP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193A" w14:textId="77777777" w:rsidR="00485486" w:rsidRDefault="00485486">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7621" w14:textId="77777777" w:rsidR="00982114" w:rsidRDefault="00982114">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71158"/>
      <w:docPartObj>
        <w:docPartGallery w:val="Page Numbers (Bottom of Page)"/>
        <w:docPartUnique/>
      </w:docPartObj>
    </w:sdtPr>
    <w:sdtEndPr>
      <w:rPr>
        <w:noProof/>
      </w:rPr>
    </w:sdtEndPr>
    <w:sdtContent>
      <w:p w14:paraId="045F64EA" w14:textId="14FEEA28" w:rsidR="008D7238" w:rsidRDefault="008D7238">
        <w:pPr>
          <w:pStyle w:val="Footer"/>
          <w:jc w:val="cente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C26A" w14:textId="77777777" w:rsidR="00982114" w:rsidRDefault="00982114">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09B3" w14:textId="77777777" w:rsidR="00982114" w:rsidRDefault="00982114">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16857"/>
      <w:docPartObj>
        <w:docPartGallery w:val="Page Numbers (Bottom of Page)"/>
        <w:docPartUnique/>
      </w:docPartObj>
    </w:sdtPr>
    <w:sdtEndPr>
      <w:rPr>
        <w:rFonts w:ascii="Times New Roman" w:hAnsi="Times New Roman" w:cs="Times New Roman"/>
        <w:noProof/>
        <w:sz w:val="24"/>
        <w:szCs w:val="24"/>
      </w:rPr>
    </w:sdtEndPr>
    <w:sdtContent>
      <w:p w14:paraId="37041195" w14:textId="49CFFBCB" w:rsidR="008D7238" w:rsidRPr="008D7238" w:rsidRDefault="008D7238">
        <w:pPr>
          <w:pStyle w:val="Footer"/>
          <w:jc w:val="center"/>
          <w:rPr>
            <w:rFonts w:ascii="Times New Roman" w:hAnsi="Times New Roman" w:cs="Times New Roman"/>
            <w:sz w:val="24"/>
            <w:szCs w:val="24"/>
          </w:rP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41CA" w14:textId="77777777" w:rsidR="00982114" w:rsidRDefault="00982114">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D1FC" w14:textId="77777777" w:rsidR="00982114" w:rsidRDefault="00982114">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50233"/>
      <w:docPartObj>
        <w:docPartGallery w:val="Page Numbers (Bottom of Page)"/>
        <w:docPartUnique/>
      </w:docPartObj>
    </w:sdtPr>
    <w:sdtEndPr>
      <w:rPr>
        <w:rFonts w:ascii="Times New Roman" w:hAnsi="Times New Roman" w:cs="Times New Roman"/>
        <w:noProof/>
        <w:sz w:val="24"/>
        <w:szCs w:val="24"/>
      </w:rPr>
    </w:sdtEndPr>
    <w:sdtContent>
      <w:p w14:paraId="59F0DD49" w14:textId="352CF527" w:rsidR="008D7238" w:rsidRPr="008D7238" w:rsidRDefault="008D7238">
        <w:pPr>
          <w:pStyle w:val="Footer"/>
          <w:jc w:val="center"/>
          <w:rPr>
            <w:rFonts w:ascii="Times New Roman" w:hAnsi="Times New Roman" w:cs="Times New Roman"/>
            <w:sz w:val="24"/>
            <w:szCs w:val="24"/>
          </w:rP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441E" w14:textId="77777777" w:rsidR="00733DCA" w:rsidRPr="003635BD" w:rsidRDefault="00733DCA" w:rsidP="0001477B">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E4FE" w14:textId="77777777" w:rsidR="00982114" w:rsidRDefault="00982114">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85F3" w14:textId="77777777" w:rsidR="00733DCA" w:rsidRDefault="00733DCA">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327692"/>
      <w:docPartObj>
        <w:docPartGallery w:val="Page Numbers (Bottom of Page)"/>
        <w:docPartUnique/>
      </w:docPartObj>
    </w:sdtPr>
    <w:sdtEndPr>
      <w:rPr>
        <w:rFonts w:ascii="Times New Roman" w:hAnsi="Times New Roman" w:cs="Times New Roman"/>
        <w:noProof/>
        <w:sz w:val="24"/>
        <w:szCs w:val="24"/>
      </w:rPr>
    </w:sdtEndPr>
    <w:sdtContent>
      <w:p w14:paraId="60151CE7" w14:textId="7B31759F" w:rsidR="008D7238" w:rsidRPr="008D7238" w:rsidRDefault="008D7238">
        <w:pPr>
          <w:pStyle w:val="Footer"/>
          <w:jc w:val="center"/>
          <w:rPr>
            <w:rFonts w:ascii="Times New Roman" w:hAnsi="Times New Roman" w:cs="Times New Roman"/>
            <w:sz w:val="24"/>
            <w:szCs w:val="24"/>
          </w:rP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F1CF" w14:textId="77777777" w:rsidR="00733DCA" w:rsidRDefault="00733DCA">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E0CB" w14:textId="77777777" w:rsidR="00982114" w:rsidRDefault="00982114">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342507"/>
      <w:docPartObj>
        <w:docPartGallery w:val="Page Numbers (Bottom of Page)"/>
        <w:docPartUnique/>
      </w:docPartObj>
    </w:sdtPr>
    <w:sdtEndPr>
      <w:rPr>
        <w:rFonts w:ascii="Times New Roman" w:hAnsi="Times New Roman" w:cs="Times New Roman"/>
        <w:noProof/>
      </w:rPr>
    </w:sdtEndPr>
    <w:sdtContent>
      <w:p w14:paraId="536EE2FD" w14:textId="283F2ED1" w:rsidR="008D7238" w:rsidRPr="008D7238" w:rsidRDefault="008D7238">
        <w:pPr>
          <w:pStyle w:val="Footer"/>
          <w:jc w:val="center"/>
          <w:rPr>
            <w:rFonts w:ascii="Times New Roman" w:hAnsi="Times New Roman" w:cs="Times New Roman"/>
          </w:rPr>
        </w:pPr>
        <w:r w:rsidRPr="008D7238">
          <w:rPr>
            <w:rFonts w:ascii="Times New Roman" w:hAnsi="Times New Roman" w:cs="Times New Roman"/>
          </w:rPr>
          <w:fldChar w:fldCharType="begin"/>
        </w:r>
        <w:r w:rsidRPr="008D7238">
          <w:rPr>
            <w:rFonts w:ascii="Times New Roman" w:hAnsi="Times New Roman" w:cs="Times New Roman"/>
          </w:rPr>
          <w:instrText xml:space="preserve"> PAGE   \* MERGEFORMAT </w:instrText>
        </w:r>
        <w:r w:rsidRPr="008D7238">
          <w:rPr>
            <w:rFonts w:ascii="Times New Roman" w:hAnsi="Times New Roman" w:cs="Times New Roman"/>
          </w:rPr>
          <w:fldChar w:fldCharType="separate"/>
        </w:r>
        <w:r w:rsidRPr="008D7238">
          <w:rPr>
            <w:rFonts w:ascii="Times New Roman" w:hAnsi="Times New Roman" w:cs="Times New Roman"/>
          </w:rPr>
          <w:t>2</w:t>
        </w:r>
        <w:r w:rsidRPr="008D7238">
          <w:rPr>
            <w:rFonts w:ascii="Times New Roman" w:hAnsi="Times New Roman" w:cs="Times New Roman"/>
          </w:rPr>
          <w:fldChar w:fldCharType="end"/>
        </w:r>
      </w:p>
    </w:sdtContent>
  </w:sdt>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B9A9" w14:textId="77777777" w:rsidR="00982114" w:rsidRDefault="00982114">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D3D5" w14:textId="77777777" w:rsidR="00982114" w:rsidRDefault="00982114">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03071"/>
      <w:docPartObj>
        <w:docPartGallery w:val="Page Numbers (Bottom of Page)"/>
        <w:docPartUnique/>
      </w:docPartObj>
    </w:sdtPr>
    <w:sdtEndPr>
      <w:rPr>
        <w:noProof/>
      </w:rPr>
    </w:sdtEndPr>
    <w:sdtContent>
      <w:p w14:paraId="75C470BD" w14:textId="5A7B85CB" w:rsidR="008D7238" w:rsidRDefault="008D7238">
        <w:pPr>
          <w:pStyle w:val="Footer"/>
          <w:jc w:val="center"/>
        </w:pPr>
        <w:r w:rsidRPr="008D7238">
          <w:rPr>
            <w:rFonts w:ascii="Times New Roman" w:hAnsi="Times New Roman" w:cs="Times New Roman"/>
            <w:sz w:val="24"/>
          </w:rPr>
          <w:fldChar w:fldCharType="begin"/>
        </w:r>
        <w:r w:rsidRPr="008D7238">
          <w:rPr>
            <w:rFonts w:ascii="Times New Roman" w:hAnsi="Times New Roman" w:cs="Times New Roman"/>
            <w:sz w:val="24"/>
          </w:rPr>
          <w:instrText xml:space="preserve"> PAGE   \* MERGEFORMAT </w:instrText>
        </w:r>
        <w:r w:rsidRPr="008D7238">
          <w:rPr>
            <w:rFonts w:ascii="Times New Roman" w:hAnsi="Times New Roman" w:cs="Times New Roman"/>
            <w:sz w:val="24"/>
          </w:rPr>
          <w:fldChar w:fldCharType="separate"/>
        </w:r>
        <w:r w:rsidRPr="008D7238">
          <w:rPr>
            <w:rFonts w:ascii="Times New Roman" w:hAnsi="Times New Roman" w:cs="Times New Roman"/>
            <w:sz w:val="24"/>
          </w:rPr>
          <w:t>2</w:t>
        </w:r>
        <w:r w:rsidRPr="008D7238">
          <w:rPr>
            <w:rFonts w:ascii="Times New Roman" w:hAnsi="Times New Roman" w:cs="Times New Roman"/>
            <w:sz w:val="24"/>
          </w:rP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B72D" w14:textId="77777777" w:rsidR="00982114" w:rsidRDefault="0098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915D" w14:textId="77777777" w:rsidR="009B2375" w:rsidRDefault="009B2375" w:rsidP="00733DCA">
      <w:pPr>
        <w:spacing w:after="0" w:line="240" w:lineRule="auto"/>
      </w:pPr>
      <w:r>
        <w:separator/>
      </w:r>
    </w:p>
  </w:footnote>
  <w:footnote w:type="continuationSeparator" w:id="0">
    <w:p w14:paraId="027155F1" w14:textId="77777777" w:rsidR="009B2375" w:rsidRDefault="009B2375" w:rsidP="00733DCA">
      <w:pPr>
        <w:spacing w:after="0" w:line="240" w:lineRule="auto"/>
      </w:pPr>
      <w:r>
        <w:continuationSeparator/>
      </w:r>
    </w:p>
  </w:footnote>
  <w:footnote w:type="continuationNotice" w:id="1">
    <w:p w14:paraId="3C0B2E0A" w14:textId="77777777" w:rsidR="009B2375" w:rsidRDefault="009B2375">
      <w:pPr>
        <w:spacing w:after="0" w:line="240" w:lineRule="auto"/>
      </w:pPr>
    </w:p>
  </w:footnote>
  <w:footnote w:id="2">
    <w:p w14:paraId="30329515" w14:textId="77777777" w:rsidR="00733DCA" w:rsidRPr="00416587" w:rsidRDefault="00733DCA" w:rsidP="0001477B">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z w:val="18"/>
        </w:rPr>
        <w:t>C(2021)2632 final</w:t>
      </w:r>
    </w:p>
  </w:footnote>
  <w:footnote w:id="3">
    <w:p w14:paraId="1F8E12FC" w14:textId="77777777" w:rsidR="00733DCA" w:rsidRPr="00416587" w:rsidRDefault="00733DCA" w:rsidP="0001477B">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Osim projekata u okviru ove mjere u području proizvodnje električne energije i/ili topline te s tim povezane infrastrukture za prijenos i distribuciju, u kojima se upotrebljava prirodni plin, koji su u skladu s uvjetima iz Priloga III. Tehničkim smjernicama za primjenu načela nenanošenja bitne štete (2021/C58/01).</w:t>
      </w:r>
    </w:p>
  </w:footnote>
  <w:footnote w:id="4">
    <w:p w14:paraId="287B048C" w14:textId="2E9F0C51" w:rsidR="00733DCA" w:rsidRPr="00416587" w:rsidRDefault="00733DCA" w:rsidP="00BB0D3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Ako se aktivnostima koje se podupiru postižu predviđene emisije stakleničkih plinova koje nisu znatno niže od relevantnih referentnih vrijednosti, potrebno je objasniti razloge zašto to nije moguće. Referentne vrijednosti za besplatnu dodjelu emisijskih jedinica za djelatnosti obuhvaćene područjem primjene sustava trgovanja emisijama, kako je utvrđeno u Provedbenoj uredbi Komisije (EU) 2021/447.</w:t>
      </w:r>
    </w:p>
  </w:footnote>
  <w:footnote w:id="5">
    <w:p w14:paraId="126A2EC7" w14:textId="0760FB8D" w:rsidR="00733DCA" w:rsidRPr="00416587" w:rsidRDefault="00733DCA" w:rsidP="00BB0D3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To se izuzeće ne primjenjuje na djelovanja u okviru ove mjere u postrojenjima koja su isključivo namijenjena obradi nereciklabilnog opasnog otpada ni na postojeća postrojenja, u kojima su djelovanja u okviru ove mjere namijenjena povećanju energetske učinkovitosti, hvatanju ispušnih plinova radi skladištenja ili uporabu ili oporabu materijala iz pepela za spaljivanje, pod uvjetom da takva djelovanja u okviru ove mjere ne dovode do povećanja kapaciteta postrojenja za obradu otpada ili produljenja životnog vijeka postrojenja.</w:t>
      </w:r>
    </w:p>
  </w:footnote>
  <w:footnote w:id="6">
    <w:p w14:paraId="0E913973" w14:textId="26A84CD4" w:rsidR="00733DCA" w:rsidRPr="00416587" w:rsidRDefault="00733DCA" w:rsidP="00BB0D3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To se izuzeće ne primjenjuje na djelovanja u okviru ove mjere u postojećim postrojenjima za mehaničko-biološku obradu, ako su djelovanja u okviru ove mjere namijenjena povećanju energetske učinkovitosti ili naknadnoj ugradnji odvojenog otpada u postupke recikliranja radi kompostiranja biootpada i anaerobne digestije biološkog otpada, pod uvjetom da takva djelovanja u okviru ove mjere ne dovode do povećanja kapaciteta postrojenja za obradu otpada ili produljenja životnog vijeka postrojenja, za što se dostavljaju dokazi na razini postrojenja.</w:t>
      </w:r>
    </w:p>
  </w:footnote>
  <w:footnote w:id="7">
    <w:p w14:paraId="7455AA3F" w14:textId="46B0E8C1" w:rsidR="00733DCA" w:rsidRPr="00416587" w:rsidRDefault="00733DCA" w:rsidP="00BB0D3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Osim projekata u okviru ove mjere u području proizvodnje električne energije i/ili topline te s tim povezane infrastrukture za prijenos i distribuciju, u kojima se upotrebljava prirodni plin, koji su u skladu s uvjetima iz Priloga III. Tehničkim smjernicama za primjenu načela nenanošenja bitne štete (2021/C58/01).</w:t>
      </w:r>
    </w:p>
  </w:footnote>
  <w:footnote w:id="8">
    <w:p w14:paraId="157118F1" w14:textId="0BDE1200" w:rsidR="00733DCA" w:rsidRPr="00416587" w:rsidRDefault="00733DCA" w:rsidP="00BB0D3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Ako se aktivnostima koje se podupiru postižu predviđene emisije stakleničkih plinova koje nisu znatno niže od relevantnih referentnih vrijednosti, potrebno je objasniti razloge zašto to nije moguće. Referentne vrijednosti za besplatnu dodjelu emisijskih jedinica za djelatnosti obuhvaćene područjem primjene sustava trgovanja emisijama, kako je utvrđeno u Provedbenoj uredbi Komisije (EU) 2021/447.</w:t>
      </w:r>
    </w:p>
  </w:footnote>
  <w:footnote w:id="9">
    <w:p w14:paraId="2ED69850" w14:textId="4240B01C" w:rsidR="00733DCA" w:rsidRPr="00416587" w:rsidRDefault="00733DCA" w:rsidP="00BB0D3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To se izuzeće ne primjenjuje na djelovanja u okviru ove mjere u postrojenjima koja su isključivo namijenjena obradi nereciklabilnog opasnog otpada ni na postojeća postrojenja, u kojima su djelovanja u okviru ove mjere namijenjena povećanju energetske učinkovitosti, hvatanju ispušnih plinova radi skladištenja ili uporabu ili oporabu materijala iz pepela za spaljivanje, pod uvjetom da takva djelovanja u okviru ove mjere ne dovode do povećanja kapaciteta postrojenja za obradu otpada ili produljenja životnog vijeka postrojenja, za što se dostavljaju dokazi na razini postrojenja.</w:t>
      </w:r>
    </w:p>
  </w:footnote>
  <w:footnote w:id="10">
    <w:p w14:paraId="799E08D4" w14:textId="61655454" w:rsidR="00733DCA" w:rsidRPr="00416587" w:rsidRDefault="00733DCA" w:rsidP="00BB0D3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To se izuzeće ne primjenjuje na djelovanja u okviru ove mjere u postojećim postrojenjima za mehaničko-biološku obradu, ako su djelovanja u okviru ove mjere namijenjena povećanju energetske učinkovitosti ili naknadnoj ugradnji odvojenog otpada u postupke recikliranja radi kompostiranja biootpada i anaerobne digestije biološkog otpada, pod uvjetom da takva djelovanja u okviru ove mjere ne dovode do povećanja kapaciteta postrojenja za obradu otpada ili produljenja životnog vijeka postrojenja, za što se dostavljaju dokazi na razini postrojenja.</w:t>
      </w:r>
    </w:p>
  </w:footnote>
  <w:footnote w:id="11">
    <w:p w14:paraId="3EC5B011" w14:textId="02E3C0E0" w:rsidR="00733DCA" w:rsidRPr="00416587" w:rsidRDefault="00733DCA" w:rsidP="0001477B">
      <w:pPr>
        <w:pStyle w:val="FootnoteText"/>
        <w:rPr>
          <w:rFonts w:ascii="Times New Roman" w:hAnsi="Times New Roman" w:cs="Times New Roman"/>
          <w:sz w:val="18"/>
          <w:szCs w:val="18"/>
        </w:rPr>
      </w:pPr>
      <w:r>
        <w:rPr>
          <w:rFonts w:ascii="Times New Roman" w:hAnsi="Times New Roman" w:cs="Times New Roman"/>
        </w:rPr>
        <w:footnoteRef/>
      </w:r>
      <w:r>
        <w:rPr>
          <w:rFonts w:ascii="Times New Roman" w:hAnsi="Times New Roman"/>
          <w:sz w:val="18"/>
        </w:rPr>
        <w:t xml:space="preserve"> Osim projekata u okviru ove mjere u području proizvodnje električne energije i/ili topline te s tim povezane infrastrukture za prijenos i distribuciju, u kojima se upotrebljava prirodni plin, koji su u skladu s uvjetima iz Priloga III. Tehničkim smjernicama za primjenu načela nenanošenja bitne štete (2021/C58/01).</w:t>
      </w:r>
    </w:p>
  </w:footnote>
  <w:footnote w:id="12">
    <w:p w14:paraId="41004A2D" w14:textId="70059A3F" w:rsidR="00733DCA" w:rsidRPr="00416587" w:rsidRDefault="00733DCA" w:rsidP="0001477B">
      <w:pPr>
        <w:pStyle w:val="FootnoteText"/>
        <w:rPr>
          <w:rFonts w:ascii="Times New Roman" w:hAnsi="Times New Roman" w:cs="Times New Roman"/>
          <w:sz w:val="18"/>
          <w:szCs w:val="18"/>
        </w:rPr>
      </w:pPr>
      <w:r>
        <w:rPr>
          <w:rFonts w:ascii="Times New Roman" w:hAnsi="Times New Roman" w:cs="Times New Roman"/>
        </w:rPr>
        <w:footnoteRef/>
      </w:r>
      <w:r>
        <w:rPr>
          <w:rFonts w:ascii="Times New Roman" w:hAnsi="Times New Roman"/>
          <w:sz w:val="18"/>
        </w:rPr>
        <w:t xml:space="preserve"> Ako se aktivnostima koje se podupiru postižu predviđene emisije stakleničkih plinova koje nisu znatno niže od relevantnih referentnih vrijednosti, potrebno je objasniti razloge zašto to nije moguće. Referentne vrijednosti za besplatnu dodjelu emisijskih jedinica za djelatnosti obuhvaćene područjem primjene sustava trgovanja emisijama, kako je utvrđeno u Provedbenoj uredbi Komisije (EU) 2021/447.</w:t>
      </w:r>
    </w:p>
  </w:footnote>
  <w:footnote w:id="13">
    <w:p w14:paraId="432A7D8F" w14:textId="766AF6B0" w:rsidR="00733DCA" w:rsidRPr="00416587" w:rsidRDefault="00733DCA" w:rsidP="00BB0D34">
      <w:pPr>
        <w:pStyle w:val="FootnoteText"/>
        <w:rPr>
          <w:rFonts w:ascii="Times New Roman" w:hAnsi="Times New Roman" w:cs="Times New Roman"/>
          <w:sz w:val="18"/>
          <w:szCs w:val="18"/>
        </w:rPr>
      </w:pPr>
      <w:r>
        <w:rPr>
          <w:rFonts w:ascii="Times New Roman" w:hAnsi="Times New Roman" w:cs="Times New Roman"/>
        </w:rPr>
        <w:footnoteRef/>
      </w:r>
      <w:r>
        <w:rPr>
          <w:rFonts w:ascii="Times New Roman" w:hAnsi="Times New Roman"/>
          <w:sz w:val="18"/>
        </w:rPr>
        <w:t>To se izuzeće ne primjenjuje na djelovanja u okviru ove mjere u postrojenjima koja su isključivo namijenjena obradi nereciklabilnog opasnog otpada ni na postojeća postrojenja, u kojima su djelovanja u okviru ove mjere namijenjena povećanju energetske učinkovitosti, hvatanju ispušnih plinova radi skladištenja ili uporabu ili oporabu materijala iz pepela za spaljivanje, pod uvjetom da takva djelovanja u okviru ove mjere ne dovode do povećanja kapaciteta postrojenja za obradu otpada ili produljenja životnog vijeka postrojenja, za što se dostavljaju dokazi na razini postrojenja.</w:t>
      </w:r>
    </w:p>
  </w:footnote>
  <w:footnote w:id="14">
    <w:p w14:paraId="501FAF4A" w14:textId="21FB56E1" w:rsidR="00733DCA" w:rsidRPr="00416587" w:rsidRDefault="00733DCA" w:rsidP="0001477B">
      <w:pPr>
        <w:pStyle w:val="FootnoteText"/>
        <w:rPr>
          <w:rFonts w:ascii="Times New Roman" w:hAnsi="Times New Roman" w:cs="Times New Roman"/>
          <w:sz w:val="18"/>
          <w:szCs w:val="18"/>
        </w:rPr>
      </w:pPr>
      <w:r>
        <w:rPr>
          <w:rFonts w:ascii="Times New Roman" w:hAnsi="Times New Roman" w:cs="Times New Roman"/>
        </w:rPr>
        <w:footnoteRef/>
      </w:r>
      <w:r>
        <w:rPr>
          <w:rFonts w:ascii="Times New Roman" w:hAnsi="Times New Roman"/>
          <w:sz w:val="18"/>
        </w:rPr>
        <w:t>To se izuzeće ne primjenjuje na djelovanja u okviru ove mjere u postojećim postrojenjima za mehaničko-biološku obradu, ako su djelovanja u okviru ove mjere namijenjena povećanju energetske učinkovitosti ili naknadnoj ugradnji odvojenog otpada u postupke recikliranja radi kompostiranja biootpada i anaerobne digestije biološkog otpada, pod uvjetom da takva djelovanja u okviru ove mjere ne dovode do povećanja kapaciteta postrojenja za obradu otpada ili produljenja životnog vijeka postrojenja, za što se dostavljaju dokazi na razini postrojenja.</w:t>
      </w:r>
    </w:p>
  </w:footnote>
  <w:footnote w:id="15">
    <w:p w14:paraId="6A9489A4" w14:textId="6DB987EC" w:rsidR="00733DCA" w:rsidRPr="00416587" w:rsidRDefault="00733DCA" w:rsidP="00FE43A1">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rPr>
        <w:t xml:space="preserve"> Osim projekata u okviru ove mjere u području proizvodnje električne energije i/ili topline te s tim povezane infrastrukture za prijenos i distribuciju, u kojima se upotrebljava prirodni plin, koji su u skladu s uvjetima iz Priloga III. Tehničkim smjernicama za primjenu načela nenanošenja bitne štete (2021/C58/01).</w:t>
      </w:r>
    </w:p>
  </w:footnote>
  <w:footnote w:id="16">
    <w:p w14:paraId="5F7137A9" w14:textId="178FD898" w:rsidR="00733DCA" w:rsidRPr="00416587" w:rsidRDefault="00733DCA" w:rsidP="00FE43A1">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rPr>
        <w:t xml:space="preserve"> Ako se aktivnostima koje se podupiru postižu predviđene emisije stakleničkih plinova koje nisu znatno niže od relevantnih referentnih vrijednosti, potrebno je objasniti razloge zašto to nije moguće. Referentne vrijednosti za besplatnu dodjelu emisijskih jedinica za djelatnosti obuhvaćene područjem primjene sustava trgovanja emisijama, kako je utvrđeno u Provedbenoj uredbi Komisije (EU) 2021/447.</w:t>
      </w:r>
    </w:p>
  </w:footnote>
  <w:footnote w:id="17">
    <w:p w14:paraId="15713B7E" w14:textId="085248E3" w:rsidR="00733DCA" w:rsidRPr="00416587" w:rsidRDefault="00733DCA" w:rsidP="00FE43A1">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rPr>
        <w:t>To se izuzeće ne primjenjuje na djelovanja u okviru ove mjere u postrojenjima koja su isključivo namijenjena obradi nereciklabilnog opasnog otpada ni na postojeća postrojenja, u kojima su djelovanja u okviru ove mjere namijenjena povećanju energetske učinkovitosti, hvatanju ispušnih plinova radi skladištenja ili uporabu ili oporabu materijala iz pepela za spaljivanje, pod uvjetom da takva djelovanja u okviru ove mjere ne dovode do povećanja kapaciteta postrojenja za obradu otpada ili produljenja životnog vijeka postrojenja, za što se dostavljaju dokazi na razini postrojenja.</w:t>
      </w:r>
    </w:p>
  </w:footnote>
  <w:footnote w:id="18">
    <w:p w14:paraId="3404163C" w14:textId="38105BB7" w:rsidR="00733DCA" w:rsidRPr="00416587" w:rsidRDefault="00733DCA" w:rsidP="00FE43A1">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rPr>
        <w:t>To se izuzeće ne primjenjuje na djelovanja u okviru ove mjere u postojećim postrojenjima za mehaničko-biološku obradu, ako su djelovanja u okviru ove mjere namijenjena povećanju energetske učinkovitosti ili naknadnoj ugradnji odvojenog otpada u postupke recikliranja radi kompostiranja biootpada i anaerobne digestije biološkog otpada, pod uvjetom da takva djelovanja u okviru ove mjere ne dovode do povećanja kapaciteta postrojenja za obradu otpada ili produljenja životnog vijeka postrojenja, za što se dostavljaju dokazi na razini postrojenja.</w:t>
      </w:r>
    </w:p>
  </w:footnote>
  <w:footnote w:id="19">
    <w:p w14:paraId="54555C93" w14:textId="77777777" w:rsidR="00733DCA" w:rsidRPr="00416587" w:rsidRDefault="00733DCA" w:rsidP="0001477B">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rPr>
        <w:tab/>
        <w:t>Romska djeca, djeca s teškoćama u razvoju, djeca koja žive u manje razvijenim regijama Hrvatske, djeca iz obitelji nižeg socioekonomskog statusa i druge ranjive skupine djece.</w:t>
      </w:r>
    </w:p>
  </w:footnote>
  <w:footnote w:id="20">
    <w:p w14:paraId="5DDD2073"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Osim projekata u okviru ove mjere u području proizvodnje električne energije i/ili topline te s tim povezane infrastrukture za prijenos i distribuciju, u kojima se upotrebljava prirodni plin, koji su u skladu s uvjetima iz Priloga III. Tehničkim smjernicama za primjenu načela nenanošenja bitne štete (2021/C58/01).</w:t>
      </w:r>
    </w:p>
  </w:footnote>
  <w:footnote w:id="21">
    <w:p w14:paraId="0732B71E"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Ako se aktivnostima koje se podupiru postižu predviđene emisije stakleničkih plinova koje nisu znatno niže od relevantnih referentnih vrijednosti, potrebno je objasniti razloge zašto to nije moguće. Referentne vrijednosti za besplatnu dodjelu emisijskih jedinica za djelatnosti obuhvaćene područjem primjene sustava trgovanja emisijama, kako je utvrđeno u Provedbenoj uredbi Komisije (EU) 2021/447.</w:t>
      </w:r>
    </w:p>
  </w:footnote>
  <w:footnote w:id="22">
    <w:p w14:paraId="3FA7BD7C"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To se izuzeće ne primjenjuje na djelovanja u okviru ove mjere u postrojenjima koja su isključivo namijenjena obradi nereciklabilnog opasnog otpada ni na postojeća postrojenja, u kojima su djelovanja u okviru ove mjere namijenjena povećanju energetske učinkovitosti, hvatanju ispušnih plinova radi skladištenja ili uporabu ili oporabu materijala iz pepela za spaljivanje, pod uvjetom da takva djelovanja u okviru ove mjere ne dovode do povećanja kapaciteta postrojenja za obradu otpada ili produljenja životnog vijeka postrojenja, za što se dostavljaju dokazi na razini postrojenja.</w:t>
      </w:r>
    </w:p>
  </w:footnote>
  <w:footnote w:id="23">
    <w:p w14:paraId="211D11BE"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To se izuzeće ne primjenjuje na djelovanja u okviru ove mjere u postojećim postrojenjima za mehaničko-biološku obradu, ako su djelovanja u okviru ove mjere namijenjena povećanju energetske učinkovitosti ili naknadnoj ugradnji odvojenog otpada u postupke recikliranja radi kompostiranja biootpada i anaerobne digestije biološkog otpada, pod uvjetom da takva djelovanja u okviru ove mjere ne dovode do povećanja kapaciteta postrojenja za obradu otpada ili produljenja životnog vijeka postrojenja, za što se dostavljaju dokazi na razini postrojenja.</w:t>
      </w:r>
    </w:p>
  </w:footnote>
  <w:footnote w:id="24">
    <w:p w14:paraId="733E7BBD"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Osim projekata u okviru ove mjere u području proizvodnje električne energije i/ili topline te s tim povezane infrastrukture za prijenos i distribuciju, u kojima se upotrebljava prirodni plin, koji su u skladu s uvjetima iz Priloga III. Tehničkim smjernicama za primjenu načela nenanošenja bitne štete (2021/C58/01).</w:t>
      </w:r>
    </w:p>
  </w:footnote>
  <w:footnote w:id="25">
    <w:p w14:paraId="3F1DFA12"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Ako se aktivnostima koje se podupiru postižu predviđene emisije stakleničkih plinova koje nisu znatno niže od relevantnih referentnih vrijednosti, potrebno je objasniti razloge zašto to nije moguće. Referentne vrijednosti za besplatnu dodjelu emisijskih jedinica za djelatnosti obuhvaćene područjem primjene sustava trgovanja emisijama, kako je utvrđeno u Provedbenoj uredbi Komisije (EU) 2021/447.</w:t>
      </w:r>
    </w:p>
  </w:footnote>
  <w:footnote w:id="26">
    <w:p w14:paraId="7C0F5A7A" w14:textId="77777777" w:rsidR="009872B9" w:rsidRPr="00416587" w:rsidRDefault="009872B9" w:rsidP="009872B9">
      <w:pPr>
        <w:spacing w:after="0"/>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To se izuzeće ne primjenjuje na djelovanja u okviru ove mjere u postrojenjima koja su isključivo namijenjena obradi nereciklabilnog opasnog otpada ni na postojeća postrojenja, u kojima su djelovanja u okviru ove mjere namijenjena povećanju energetske učinkovitosti, hvatanju ispušnih plinova radi skladištenja ili uporabu ili oporabu materijala iz pepela za spaljivanje, pod uvjetom da takva djelovanja u okviru ove mjere ne dovode do povećanja kapaciteta postrojenja za obradu otpada ili produljenja životnog vijeka postrojenja, za što se dostavljaju dokazi na razini postrojenja.</w:t>
      </w:r>
    </w:p>
  </w:footnote>
  <w:footnote w:id="27">
    <w:p w14:paraId="740F07A2"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To se izuzeće ne primjenjuje na djelovanja u okviru ove mjere u postojećim postrojenjima za mehaničko-biološku obradu, ako su djelovanja u okviru ove mjere namijenjena povećanju energetske učinkovitosti ili naknadnoj ugradnji odvojenog otpada u postupke recikliranja radi kompostiranja biootpada i anaerobne digestije biološkog otpada, pod uvjetom da takva djelovanja u okviru ove mjere ne dovode do povećanja kapaciteta postrojenja za obradu otpada ili produljenja životnog vijeka postrojenja, za što se dostavljaju dokazi na razini postrojenja.</w:t>
      </w:r>
    </w:p>
  </w:footnote>
  <w:footnote w:id="28">
    <w:p w14:paraId="7FA4C1DE"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Osim projekata u okviru ove mjere u području proizvodnje električne energije i/ili topline te s tim povezane infrastrukture za prijenos i distribuciju, u kojima se upotrebljava prirodni plin, koji su u skladu s uvjetima iz Priloga III. Tehničkim smjernicama za primjenu načela nenanošenja bitne štete (2021/C58/01).</w:t>
      </w:r>
    </w:p>
  </w:footnote>
  <w:footnote w:id="29">
    <w:p w14:paraId="6EAE50C4" w14:textId="77777777" w:rsidR="009872B9" w:rsidRPr="00416587" w:rsidRDefault="009872B9" w:rsidP="009872B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Ako se aktivnostima koje se podupiru postižu predviđene emisije stakleničkih plinova koje nisu znatno niže od relevantnih referentnih vrijednosti, potrebno je objasniti razloge zašto to nije moguće. Referentne vrijednosti za besplatnu dodjelu emisijskih jedinica za djelatnosti obuhvaćene područjem primjene sustava trgovanja emisijama, kako je utvrđeno u Provedbenoj uredbi Komisije (EU) 2021/447.</w:t>
      </w:r>
    </w:p>
  </w:footnote>
  <w:footnote w:id="30">
    <w:p w14:paraId="305D576E" w14:textId="77777777" w:rsidR="009872B9" w:rsidRPr="00416587" w:rsidRDefault="009872B9" w:rsidP="009872B9">
      <w:pPr>
        <w:spacing w:after="0"/>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To se izuzeće ne primjenjuje na djelovanja u okviru ove mjere u postrojenjima koja su isključivo namijenjena obradi nereciklabilnog opasnog otpada ni na postojeća postrojenja, u kojima su djelovanja u okviru ove mjere namijenjena povećanju energetske učinkovitosti, hvatanju ispušnih plinova radi skladištenja ili uporabu ili oporabu materijala iz pepela za spaljivanje, pod uvjetom da takva djelovanja u okviru ove mjere ne dovode do povećanja kapaciteta postrojenja za obradu otpada ili produljenja životnog vijeka postrojenja, za što se dostavljaju dokazi na razini postrojenja.</w:t>
      </w:r>
    </w:p>
  </w:footnote>
  <w:footnote w:id="31">
    <w:p w14:paraId="07EFE3EB" w14:textId="77777777" w:rsidR="009872B9" w:rsidRPr="00416587" w:rsidRDefault="009872B9" w:rsidP="00C845C4">
      <w:pPr>
        <w:pStyle w:val="FootnoteText"/>
        <w:pageBreakBefore/>
        <w:spacing w:line="276" w:lineRule="auto"/>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t>To se izuzeće ne primjenjuje na djelovanja u okviru ove mjere u postojećim postrojenjima za mehaničko-biološku obradu, ako su djelovanja u okviru ove mjere namijenjena povećanju energetske učinkovitosti ili naknadnoj ugradnji odvojenog otpada u postupke recikliranja radi kompostiranja biootpada i anaerobne digestije biološkog otpada, pod uvjetom da takva djelovanja u okviru ove mjere ne dovode do povećanja kapaciteta postrojenja za obradu otpada ili produljenja životnog vijeka postrojenja, za što se dostavljaju dokazi na razini postrojenja.</w:t>
      </w:r>
    </w:p>
  </w:footnote>
  <w:footnote w:id="32">
    <w:p w14:paraId="4A518B99" w14:textId="0C3CA748" w:rsidR="00552A4C" w:rsidRPr="00416587" w:rsidRDefault="00552A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Mjera će biti u skladu s bilješkom 8. Priloga VI. Uredbi (EU) 2021/241.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F8A4" w14:textId="77777777" w:rsidR="00494B37" w:rsidRPr="00494B37" w:rsidRDefault="00494B37" w:rsidP="00494B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9B50" w14:textId="77777777" w:rsidR="00982114" w:rsidRPr="003635BD" w:rsidRDefault="00982114" w:rsidP="0001477B">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7068" w14:textId="77777777" w:rsidR="00982114" w:rsidRDefault="00982114">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735A" w14:textId="77777777" w:rsidR="00982114" w:rsidRDefault="00982114">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B19" w14:textId="77777777" w:rsidR="00982114" w:rsidRDefault="00982114">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D56E" w14:textId="77777777" w:rsidR="00982114" w:rsidRDefault="00982114">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4070" w14:textId="77777777" w:rsidR="00982114" w:rsidRDefault="00982114">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75E3" w14:textId="77777777" w:rsidR="00982114" w:rsidRDefault="00982114">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2679" w14:textId="77777777" w:rsidR="00982114" w:rsidRDefault="00982114">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5400" w14:textId="77777777" w:rsidR="00982114" w:rsidRDefault="00982114">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03D4" w14:textId="77777777" w:rsidR="00982114" w:rsidRDefault="00982114">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4406" w14:textId="77777777" w:rsidR="00733DCA" w:rsidRDefault="00733D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53DB" w14:textId="77777777" w:rsidR="00982114" w:rsidRPr="003635BD" w:rsidRDefault="00982114" w:rsidP="0001477B">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1800" w14:textId="77777777" w:rsidR="00733DCA" w:rsidRDefault="00733DCA">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FDF0" w14:textId="77777777" w:rsidR="00733DCA" w:rsidRDefault="00733DCA">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FE22" w14:textId="77777777" w:rsidR="00982114" w:rsidRDefault="00982114">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1B6E" w14:textId="77777777" w:rsidR="00982114" w:rsidRDefault="00982114">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D4D1" w14:textId="77777777" w:rsidR="00982114" w:rsidRDefault="00982114">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B359" w14:textId="77777777" w:rsidR="00982114" w:rsidRDefault="00982114">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3679" w14:textId="77777777" w:rsidR="00982114" w:rsidRDefault="00982114">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4CDD" w14:textId="77777777" w:rsidR="00982114" w:rsidRDefault="00982114">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0576" w14:textId="77777777" w:rsidR="00982114" w:rsidRDefault="00982114">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0FCE" w14:textId="77777777" w:rsidR="00982114" w:rsidRDefault="009821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80518" w14:textId="77777777" w:rsidR="00982114" w:rsidRPr="003635BD" w:rsidRDefault="00982114" w:rsidP="0001477B">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7D76" w14:textId="77777777" w:rsidR="00982114" w:rsidRDefault="00982114">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CFC3" w14:textId="77777777" w:rsidR="00982114" w:rsidRDefault="00982114">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60BA" w14:textId="77777777" w:rsidR="00982114" w:rsidRDefault="00982114">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A034" w14:textId="77777777" w:rsidR="00982114" w:rsidRDefault="00982114">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F41A" w14:textId="77777777" w:rsidR="00982114" w:rsidRDefault="00982114">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3A93" w14:textId="77777777" w:rsidR="00982114" w:rsidRDefault="00982114">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4DE2" w14:textId="77777777" w:rsidR="00982114" w:rsidRDefault="00982114">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FAC1" w14:textId="77777777" w:rsidR="00982114" w:rsidRDefault="00982114">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AB58" w14:textId="77777777" w:rsidR="00982114" w:rsidRDefault="00982114">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DB52" w14:textId="77777777" w:rsidR="00982114" w:rsidRDefault="009821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4EE4" w14:textId="77777777" w:rsidR="00733DCA" w:rsidRPr="003635BD" w:rsidRDefault="00733DCA" w:rsidP="0001477B">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6F8A" w14:textId="77777777" w:rsidR="00982114" w:rsidRDefault="00982114">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FA10" w14:textId="77777777" w:rsidR="00982114" w:rsidRDefault="00982114">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324B" w14:textId="77777777" w:rsidR="00982114" w:rsidRDefault="00982114">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1364" w14:textId="77777777" w:rsidR="00982114" w:rsidRDefault="00982114">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40C8" w14:textId="77777777" w:rsidR="00982114" w:rsidRDefault="00982114">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A430" w14:textId="77777777" w:rsidR="00982114" w:rsidRDefault="00982114">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C87E" w14:textId="77777777" w:rsidR="00982114" w:rsidRDefault="00982114">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2848" w14:textId="77777777" w:rsidR="00982114" w:rsidRDefault="00982114">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D98B" w14:textId="77777777" w:rsidR="00982114" w:rsidRDefault="00982114">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90F1" w14:textId="77777777" w:rsidR="00733DCA" w:rsidRDefault="00733D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4E" w14:textId="77777777" w:rsidR="00733DCA" w:rsidRPr="003635BD" w:rsidRDefault="00733DCA" w:rsidP="0001477B">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06E5" w14:textId="77777777" w:rsidR="00733DCA" w:rsidRDefault="00733DCA">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75D8" w14:textId="77777777" w:rsidR="00733DCA" w:rsidRDefault="00733DCA">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EE95" w14:textId="77777777" w:rsidR="00982114" w:rsidRDefault="00982114">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8075" w14:textId="77777777" w:rsidR="00982114" w:rsidRDefault="00982114">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404F" w14:textId="77777777" w:rsidR="00982114" w:rsidRDefault="00982114">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530B" w14:textId="77777777" w:rsidR="00982114" w:rsidRDefault="00982114">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A7BE" w14:textId="77777777" w:rsidR="00982114" w:rsidRDefault="00982114">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0941" w14:textId="77777777" w:rsidR="00982114" w:rsidRDefault="00982114">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FC30" w14:textId="77777777" w:rsidR="00982114" w:rsidRDefault="00982114">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8FDE" w14:textId="77777777" w:rsidR="00982114" w:rsidRDefault="009821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ADE8" w14:textId="77777777" w:rsidR="00733DCA" w:rsidRPr="003635BD" w:rsidRDefault="00733DCA" w:rsidP="0001477B">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92D3" w14:textId="77777777" w:rsidR="00982114" w:rsidRDefault="00982114">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AF33" w14:textId="77777777" w:rsidR="00982114" w:rsidRDefault="00982114">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852F" w14:textId="77777777" w:rsidR="00982114" w:rsidRDefault="00982114">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6B3C" w14:textId="77777777" w:rsidR="00982114" w:rsidRDefault="00982114">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18FD" w14:textId="77777777" w:rsidR="00733DCA" w:rsidRDefault="00733DCA">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EB52" w14:textId="77777777" w:rsidR="00733DCA" w:rsidRDefault="00733DCA">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4603" w14:textId="77777777" w:rsidR="00733DCA" w:rsidRDefault="00733DCA">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FDBF" w14:textId="77777777" w:rsidR="00733DCA" w:rsidRDefault="00733DCA">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600D" w14:textId="77777777" w:rsidR="00733DCA" w:rsidRDefault="00733DCA">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8E17" w14:textId="77777777" w:rsidR="00733DCA" w:rsidRDefault="00733DC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4C82" w14:textId="77777777" w:rsidR="00982114" w:rsidRPr="003635BD" w:rsidRDefault="00982114" w:rsidP="0001477B">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A965" w14:textId="77777777" w:rsidR="00982114" w:rsidRDefault="00982114">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6CE5" w14:textId="77777777" w:rsidR="00982114" w:rsidRDefault="00982114">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8D46" w14:textId="77777777" w:rsidR="00982114" w:rsidRDefault="00982114">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FC14" w14:textId="77777777" w:rsidR="00982114" w:rsidRDefault="00982114">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6C9B" w14:textId="77777777" w:rsidR="00982114" w:rsidRDefault="00982114">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51DC" w14:textId="77777777" w:rsidR="00982114" w:rsidRDefault="00982114">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C3B5" w14:textId="77777777" w:rsidR="00982114" w:rsidRDefault="00982114">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BCC1" w14:textId="77777777" w:rsidR="00982114" w:rsidRDefault="00982114">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9B03" w14:textId="77777777" w:rsidR="00982114" w:rsidRDefault="00982114">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888" w14:textId="77777777" w:rsidR="00733DCA" w:rsidRDefault="00733DC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4A45" w14:textId="77777777" w:rsidR="00982114" w:rsidRPr="003635BD" w:rsidRDefault="00982114" w:rsidP="0001477B">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FB09" w14:textId="77777777" w:rsidR="00733DCA" w:rsidRDefault="00733DCA">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A040" w14:textId="77777777" w:rsidR="00733DCA" w:rsidRDefault="00733DCA">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6182" w14:textId="77777777" w:rsidR="00982114" w:rsidRDefault="00982114">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5EA0" w14:textId="77777777" w:rsidR="00982114" w:rsidRDefault="00982114">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C5A4" w14:textId="77777777" w:rsidR="00982114" w:rsidRDefault="00982114">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F977" w14:textId="77777777" w:rsidR="00982114" w:rsidRDefault="00982114">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B11D" w14:textId="77777777" w:rsidR="00982114" w:rsidRDefault="00982114">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7E04" w14:textId="77777777" w:rsidR="00982114" w:rsidRDefault="00982114">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2540" w14:textId="77777777" w:rsidR="00982114" w:rsidRDefault="00982114">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647D" w14:textId="77777777" w:rsidR="00982114" w:rsidRDefault="009821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E323" w14:textId="77777777" w:rsidR="00982114" w:rsidRPr="003635BD" w:rsidRDefault="00982114" w:rsidP="0001477B">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9AB6" w14:textId="77777777" w:rsidR="00982114" w:rsidRDefault="00982114">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184E3" w14:textId="77777777" w:rsidR="00733DCA" w:rsidRDefault="00733DCA">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9D86" w14:textId="77777777" w:rsidR="00733DCA" w:rsidRDefault="00733DCA">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6B4C" w14:textId="77777777" w:rsidR="00733DCA" w:rsidRDefault="00733DCA">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8CCA" w14:textId="77777777" w:rsidR="00982114" w:rsidRDefault="00982114">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B631" w14:textId="77777777" w:rsidR="00982114" w:rsidRDefault="00982114">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383D" w14:textId="77777777" w:rsidR="00982114" w:rsidRDefault="00982114">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C3CE" w14:textId="77777777" w:rsidR="00982114" w:rsidRDefault="00982114">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BDF2" w14:textId="77777777" w:rsidR="00982114" w:rsidRDefault="00982114">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62CD" w14:textId="77777777" w:rsidR="00982114" w:rsidRDefault="009821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BDA2" w14:textId="77777777" w:rsidR="00982114" w:rsidRPr="003635BD" w:rsidRDefault="00982114" w:rsidP="0001477B">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2AC8" w14:textId="77777777" w:rsidR="00982114" w:rsidRDefault="00982114">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A606" w14:textId="77777777" w:rsidR="00982114" w:rsidRDefault="00982114">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F7F5" w14:textId="77777777" w:rsidR="00982114" w:rsidRDefault="00982114">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73A7" w14:textId="77777777" w:rsidR="00982114" w:rsidRDefault="00982114">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84EE" w14:textId="77777777" w:rsidR="00982114" w:rsidRDefault="00982114">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B9B2" w14:textId="77777777" w:rsidR="00982114" w:rsidRDefault="00982114">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C27E" w14:textId="77777777" w:rsidR="00146C1C" w:rsidRDefault="00146C1C">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3944" w14:textId="77777777" w:rsidR="00146C1C" w:rsidRDefault="00146C1C">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3520" w14:textId="77777777" w:rsidR="00146C1C" w:rsidRDefault="00146C1C">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70AB" w14:textId="77777777" w:rsidR="00982114" w:rsidRDefault="00982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119E" w14:textId="77777777" w:rsidR="00494B37" w:rsidRPr="00494B37" w:rsidRDefault="00494B37" w:rsidP="00494B37">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472A" w14:textId="77777777" w:rsidR="00982114" w:rsidRPr="003635BD" w:rsidRDefault="00982114" w:rsidP="0001477B">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80F4" w14:textId="77777777" w:rsidR="00982114" w:rsidRDefault="00982114">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3791" w14:textId="77777777" w:rsidR="00982114" w:rsidRDefault="00982114">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CB51" w14:textId="77777777" w:rsidR="00982114" w:rsidRDefault="00982114">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F331" w14:textId="77777777" w:rsidR="00982114" w:rsidRDefault="00982114">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FD1F" w14:textId="77777777" w:rsidR="00982114" w:rsidRDefault="00982114">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A1B0" w14:textId="77777777" w:rsidR="00982114" w:rsidRDefault="00982114">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3ADA" w14:textId="77777777" w:rsidR="00982114" w:rsidRDefault="00982114">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A8EC" w14:textId="77777777" w:rsidR="00982114" w:rsidRDefault="00982114">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875F" w14:textId="77777777" w:rsidR="00982114" w:rsidRDefault="00982114">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222F" w14:textId="77777777" w:rsidR="00982114" w:rsidRDefault="0098211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3EFD" w14:textId="77777777" w:rsidR="00982114" w:rsidRPr="003635BD" w:rsidRDefault="00982114" w:rsidP="0001477B">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9134F" w14:textId="77777777" w:rsidR="00982114" w:rsidRDefault="00982114">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5FB1" w14:textId="77777777" w:rsidR="00982114" w:rsidRDefault="00982114">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67D0" w14:textId="77777777" w:rsidR="00982114" w:rsidRDefault="00982114">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EF77" w14:textId="77777777" w:rsidR="00982114" w:rsidRDefault="00982114">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A953" w14:textId="77777777" w:rsidR="00982114" w:rsidRDefault="00982114">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0A0F" w14:textId="77777777" w:rsidR="00982114" w:rsidRDefault="00982114">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9961D" w14:textId="77777777" w:rsidR="00982114" w:rsidRDefault="00982114">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B088" w14:textId="77777777" w:rsidR="00982114" w:rsidRDefault="00982114">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0C23" w14:textId="77777777" w:rsidR="00982114" w:rsidRDefault="00982114">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78D0" w14:textId="77777777" w:rsidR="00982114" w:rsidRDefault="009821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085D" w14:textId="77777777" w:rsidR="00982114" w:rsidRDefault="00982114">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B9A8" w14:textId="77777777" w:rsidR="00982114" w:rsidRDefault="00982114">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F426" w14:textId="77777777" w:rsidR="00982114" w:rsidRDefault="00982114">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935D" w14:textId="77777777" w:rsidR="00982114" w:rsidRDefault="00982114">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FB90" w14:textId="77777777" w:rsidR="00982114" w:rsidRDefault="00982114">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469E" w14:textId="77777777" w:rsidR="00982114" w:rsidRDefault="00982114">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8406" w14:textId="77777777" w:rsidR="00982114" w:rsidRDefault="009821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0C58" w14:textId="77777777" w:rsidR="00982114" w:rsidRDefault="009821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30EF" w14:textId="77777777" w:rsidR="00982114" w:rsidRDefault="0098211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C8B8" w14:textId="77777777" w:rsidR="00982114" w:rsidRDefault="0098211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8A51" w14:textId="77777777" w:rsidR="00982114" w:rsidRDefault="0098211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8AFC" w14:textId="77777777" w:rsidR="00982114" w:rsidRDefault="0098211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4E65" w14:textId="77777777" w:rsidR="00982114" w:rsidRDefault="0098211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47B8" w14:textId="77777777" w:rsidR="00982114" w:rsidRDefault="00982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B54F" w14:textId="77777777" w:rsidR="00494B37" w:rsidRPr="00494B37" w:rsidRDefault="00494B37" w:rsidP="00494B37">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A0C3" w14:textId="77777777" w:rsidR="00982114" w:rsidRDefault="0098211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811B" w14:textId="77777777" w:rsidR="00485486" w:rsidRDefault="0048548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BAFB" w14:textId="77777777" w:rsidR="00485486" w:rsidRDefault="0048548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03F1" w14:textId="77777777" w:rsidR="00485486" w:rsidRDefault="0048548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911C" w14:textId="77777777" w:rsidR="00982114" w:rsidRDefault="0098211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4F09" w14:textId="77777777" w:rsidR="00982114" w:rsidRDefault="0098211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AFD1" w14:textId="77777777" w:rsidR="00982114" w:rsidRDefault="0098211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EC42" w14:textId="77777777" w:rsidR="00982114" w:rsidRDefault="0098211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1B28" w14:textId="77777777" w:rsidR="00982114" w:rsidRDefault="0098211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6AAD" w14:textId="77777777" w:rsidR="00982114" w:rsidRDefault="00982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3269" w14:textId="77777777" w:rsidR="00982114" w:rsidRDefault="0098211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7AFB" w14:textId="77777777" w:rsidR="00982114" w:rsidRDefault="0098211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0DC7" w14:textId="77777777" w:rsidR="00982114" w:rsidRDefault="0098211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10C3" w14:textId="77777777" w:rsidR="00982114" w:rsidRDefault="0098211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904F" w14:textId="77777777" w:rsidR="00485486" w:rsidRDefault="0048548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D5E8" w14:textId="77777777" w:rsidR="00485486" w:rsidRDefault="0048548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A9D0" w14:textId="77777777" w:rsidR="00485486" w:rsidRDefault="0048548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EB68" w14:textId="77777777" w:rsidR="00982114" w:rsidRDefault="0098211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B04C" w14:textId="77777777" w:rsidR="00982114" w:rsidRDefault="0098211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9B59" w14:textId="77777777" w:rsidR="00982114" w:rsidRDefault="0098211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819F" w14:textId="77777777" w:rsidR="00485486" w:rsidRDefault="004854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FE5E" w14:textId="77777777" w:rsidR="00982114" w:rsidRDefault="0098211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B6B0" w14:textId="77777777" w:rsidR="00485486" w:rsidRDefault="0048548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39494" w14:textId="77777777" w:rsidR="00485486" w:rsidRDefault="0048548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F4E7" w14:textId="77777777" w:rsidR="00982114" w:rsidRDefault="0098211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38A9" w14:textId="77777777" w:rsidR="00982114" w:rsidRDefault="0098211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C940" w14:textId="77777777" w:rsidR="00982114" w:rsidRDefault="00982114">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F2A69" w14:textId="77777777" w:rsidR="00485486" w:rsidRPr="003635BD" w:rsidRDefault="00485486" w:rsidP="0001477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A4E5" w14:textId="77777777" w:rsidR="00485486" w:rsidRPr="003635BD" w:rsidRDefault="00485486" w:rsidP="0001477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E294" w14:textId="77777777" w:rsidR="00485486" w:rsidRPr="003635BD" w:rsidRDefault="00485486" w:rsidP="0001477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EEDB" w14:textId="77777777" w:rsidR="00982114" w:rsidRPr="003635BD" w:rsidRDefault="00982114" w:rsidP="0001477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7D94" w14:textId="77777777" w:rsidR="00982114" w:rsidRPr="003635BD" w:rsidRDefault="00982114" w:rsidP="000147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EAF2" w14:textId="77777777" w:rsidR="00982114" w:rsidRDefault="0098211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0931" w14:textId="77777777" w:rsidR="00982114" w:rsidRPr="003635BD" w:rsidRDefault="00982114" w:rsidP="0001477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E82" w14:textId="77777777" w:rsidR="00982114" w:rsidRPr="003635BD" w:rsidRDefault="00982114" w:rsidP="0001477B">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8EE7" w14:textId="77777777" w:rsidR="00982114" w:rsidRPr="003635BD" w:rsidRDefault="00982114" w:rsidP="0001477B">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CBA6" w14:textId="77777777" w:rsidR="00982114" w:rsidRPr="003635BD" w:rsidRDefault="00982114" w:rsidP="0001477B">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A56E" w14:textId="77777777" w:rsidR="00982114" w:rsidRPr="003635BD" w:rsidRDefault="00982114" w:rsidP="0001477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3FE4" w14:textId="77777777" w:rsidR="00982114" w:rsidRPr="003635BD" w:rsidRDefault="00982114" w:rsidP="0001477B">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7DFD" w14:textId="77777777" w:rsidR="00982114" w:rsidRPr="003635BD" w:rsidRDefault="00982114" w:rsidP="0001477B">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3491" w14:textId="77777777" w:rsidR="00485486" w:rsidRDefault="0048548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7911" w14:textId="77777777" w:rsidR="00485486" w:rsidRDefault="0048548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9A77" w14:textId="77777777" w:rsidR="00485486" w:rsidRDefault="004854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BDE3" w14:textId="77777777" w:rsidR="00733DCA" w:rsidRPr="003635BD" w:rsidRDefault="00733DCA" w:rsidP="0001477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7722" w14:textId="77777777" w:rsidR="00982114" w:rsidRDefault="00982114">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DA7E" w14:textId="77777777" w:rsidR="00982114" w:rsidRDefault="0098211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B9D8" w14:textId="77777777" w:rsidR="00982114" w:rsidRDefault="00982114">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1C16" w14:textId="77777777" w:rsidR="00982114" w:rsidRDefault="00982114">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9619" w14:textId="77777777" w:rsidR="00982114" w:rsidRDefault="00982114">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7553" w14:textId="77777777" w:rsidR="00982114" w:rsidRDefault="00982114">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7AB5" w14:textId="77777777" w:rsidR="00982114" w:rsidRDefault="00982114">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1277" w14:textId="77777777" w:rsidR="00982114" w:rsidRDefault="00982114">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B776" w14:textId="77777777" w:rsidR="00982114" w:rsidRDefault="00982114">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5F61" w14:textId="77777777" w:rsidR="00485486" w:rsidRDefault="004854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8184" w14:textId="77777777" w:rsidR="00733DCA" w:rsidRPr="003635BD" w:rsidRDefault="00733DCA" w:rsidP="0001477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02A1" w14:textId="77777777" w:rsidR="00485486" w:rsidRDefault="0048548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CA46" w14:textId="77777777" w:rsidR="00485486" w:rsidRDefault="0048548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65BB" w14:textId="77777777" w:rsidR="00982114" w:rsidRDefault="00982114">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33A5" w14:textId="77777777" w:rsidR="00982114" w:rsidRDefault="00982114">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A729" w14:textId="77777777" w:rsidR="00982114" w:rsidRDefault="00982114">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6207" w14:textId="77777777" w:rsidR="00982114" w:rsidRDefault="00982114">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1EB1" w14:textId="77777777" w:rsidR="00982114" w:rsidRDefault="00982114">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F52D" w14:textId="77777777" w:rsidR="00982114" w:rsidRDefault="00982114">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07B5" w14:textId="77777777" w:rsidR="00982114" w:rsidRDefault="00982114">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9FDC" w14:textId="77777777" w:rsidR="00982114" w:rsidRDefault="009821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83EB" w14:textId="77777777" w:rsidR="00733DCA" w:rsidRPr="003635BD" w:rsidRDefault="00733DCA" w:rsidP="0001477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4FCF" w14:textId="77777777" w:rsidR="00982114" w:rsidRDefault="00982114">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7BB6" w14:textId="77777777" w:rsidR="00733DCA" w:rsidRDefault="00733DC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A41B" w14:textId="77777777" w:rsidR="00733DCA" w:rsidRDefault="00733DC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4B0C" w14:textId="77777777" w:rsidR="00733DCA" w:rsidRDefault="00733DC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9F89" w14:textId="77777777" w:rsidR="00982114" w:rsidRDefault="00982114">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CC5A" w14:textId="77777777" w:rsidR="00982114" w:rsidRDefault="00982114">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5293" w14:textId="77777777" w:rsidR="00982114" w:rsidRDefault="00982114">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D36A" w14:textId="77777777" w:rsidR="00982114" w:rsidRDefault="00982114">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91E4" w14:textId="77777777" w:rsidR="00982114" w:rsidRDefault="00982114">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1C0" w14:textId="77777777" w:rsidR="00982114" w:rsidRDefault="00982114">
    <w:pPr>
      <w:pStyle w:val="Header"/>
    </w:pPr>
  </w:p>
</w:hdr>
</file>

<file path=word/intelligence2.xml><?xml version="1.0" encoding="utf-8"?>
<int2:intelligence xmlns:int2="http://schemas.microsoft.com/office/intelligence/2020/intelligence" xmlns:oel="http://schemas.microsoft.com/office/2019/extlst">
  <int2:observations>
    <int2:textHash int2:hashCode="WNzMADVnY3QrEV" int2:id="X4NMM2O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463D"/>
    <w:multiLevelType w:val="hybridMultilevel"/>
    <w:tmpl w:val="FFFFFFFF"/>
    <w:lvl w:ilvl="0" w:tplc="3F367DC0">
      <w:start w:val="1"/>
      <w:numFmt w:val="bullet"/>
      <w:lvlText w:val="-"/>
      <w:lvlJc w:val="left"/>
      <w:pPr>
        <w:ind w:left="720" w:hanging="360"/>
      </w:pPr>
      <w:rPr>
        <w:rFonts w:ascii="Calibri" w:hAnsi="Calibri" w:hint="default"/>
      </w:rPr>
    </w:lvl>
    <w:lvl w:ilvl="1" w:tplc="8E26C0A4">
      <w:start w:val="1"/>
      <w:numFmt w:val="bullet"/>
      <w:lvlText w:val="o"/>
      <w:lvlJc w:val="left"/>
      <w:pPr>
        <w:ind w:left="1440" w:hanging="360"/>
      </w:pPr>
      <w:rPr>
        <w:rFonts w:ascii="Courier New" w:hAnsi="Courier New" w:hint="default"/>
      </w:rPr>
    </w:lvl>
    <w:lvl w:ilvl="2" w:tplc="065EA8BA">
      <w:start w:val="1"/>
      <w:numFmt w:val="bullet"/>
      <w:lvlText w:val=""/>
      <w:lvlJc w:val="left"/>
      <w:pPr>
        <w:ind w:left="2160" w:hanging="360"/>
      </w:pPr>
      <w:rPr>
        <w:rFonts w:ascii="Wingdings" w:hAnsi="Wingdings" w:hint="default"/>
      </w:rPr>
    </w:lvl>
    <w:lvl w:ilvl="3" w:tplc="951E2128">
      <w:start w:val="1"/>
      <w:numFmt w:val="bullet"/>
      <w:lvlText w:val=""/>
      <w:lvlJc w:val="left"/>
      <w:pPr>
        <w:ind w:left="2880" w:hanging="360"/>
      </w:pPr>
      <w:rPr>
        <w:rFonts w:ascii="Symbol" w:hAnsi="Symbol" w:hint="default"/>
      </w:rPr>
    </w:lvl>
    <w:lvl w:ilvl="4" w:tplc="7642611C">
      <w:start w:val="1"/>
      <w:numFmt w:val="bullet"/>
      <w:lvlText w:val="o"/>
      <w:lvlJc w:val="left"/>
      <w:pPr>
        <w:ind w:left="3600" w:hanging="360"/>
      </w:pPr>
      <w:rPr>
        <w:rFonts w:ascii="Courier New" w:hAnsi="Courier New" w:hint="default"/>
      </w:rPr>
    </w:lvl>
    <w:lvl w:ilvl="5" w:tplc="D3DAF462">
      <w:start w:val="1"/>
      <w:numFmt w:val="bullet"/>
      <w:lvlText w:val=""/>
      <w:lvlJc w:val="left"/>
      <w:pPr>
        <w:ind w:left="4320" w:hanging="360"/>
      </w:pPr>
      <w:rPr>
        <w:rFonts w:ascii="Wingdings" w:hAnsi="Wingdings" w:hint="default"/>
      </w:rPr>
    </w:lvl>
    <w:lvl w:ilvl="6" w:tplc="DA0A5D86">
      <w:start w:val="1"/>
      <w:numFmt w:val="bullet"/>
      <w:lvlText w:val=""/>
      <w:lvlJc w:val="left"/>
      <w:pPr>
        <w:ind w:left="5040" w:hanging="360"/>
      </w:pPr>
      <w:rPr>
        <w:rFonts w:ascii="Symbol" w:hAnsi="Symbol" w:hint="default"/>
      </w:rPr>
    </w:lvl>
    <w:lvl w:ilvl="7" w:tplc="3E406C64">
      <w:start w:val="1"/>
      <w:numFmt w:val="bullet"/>
      <w:lvlText w:val="o"/>
      <w:lvlJc w:val="left"/>
      <w:pPr>
        <w:ind w:left="5760" w:hanging="360"/>
      </w:pPr>
      <w:rPr>
        <w:rFonts w:ascii="Courier New" w:hAnsi="Courier New" w:hint="default"/>
      </w:rPr>
    </w:lvl>
    <w:lvl w:ilvl="8" w:tplc="97C62F8C">
      <w:start w:val="1"/>
      <w:numFmt w:val="bullet"/>
      <w:lvlText w:val=""/>
      <w:lvlJc w:val="left"/>
      <w:pPr>
        <w:ind w:left="6480" w:hanging="360"/>
      </w:pPr>
      <w:rPr>
        <w:rFonts w:ascii="Wingdings" w:hAnsi="Wingdings" w:hint="default"/>
      </w:rPr>
    </w:lvl>
  </w:abstractNum>
  <w:abstractNum w:abstractNumId="1" w15:restartNumberingAfterBreak="0">
    <w:nsid w:val="022161EA"/>
    <w:multiLevelType w:val="hybridMultilevel"/>
    <w:tmpl w:val="6DCE0BCC"/>
    <w:lvl w:ilvl="0" w:tplc="E7B24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C77FD"/>
    <w:multiLevelType w:val="hybridMultilevel"/>
    <w:tmpl w:val="0DA84EE4"/>
    <w:lvl w:ilvl="0" w:tplc="4D866D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D163D"/>
    <w:multiLevelType w:val="hybridMultilevel"/>
    <w:tmpl w:val="E6726370"/>
    <w:lvl w:ilvl="0" w:tplc="0CEACD3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307DD"/>
    <w:multiLevelType w:val="hybridMultilevel"/>
    <w:tmpl w:val="13A60900"/>
    <w:lvl w:ilvl="0" w:tplc="760E76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252F"/>
    <w:multiLevelType w:val="hybridMultilevel"/>
    <w:tmpl w:val="877C0470"/>
    <w:lvl w:ilvl="0" w:tplc="0CEACD3E">
      <w:numFmt w:val="bullet"/>
      <w:lvlText w:val="-"/>
      <w:lvlJc w:val="left"/>
      <w:pPr>
        <w:ind w:left="1570" w:hanging="360"/>
      </w:pPr>
      <w:rPr>
        <w:rFonts w:ascii="Times New Roman" w:eastAsiaTheme="minorHAnsi" w:hAnsi="Times New Roman" w:cs="Times New Roman"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15:restartNumberingAfterBreak="0">
    <w:nsid w:val="0E30EA50"/>
    <w:multiLevelType w:val="hybridMultilevel"/>
    <w:tmpl w:val="FFFFFFFF"/>
    <w:lvl w:ilvl="0" w:tplc="402E91EE">
      <w:start w:val="1"/>
      <w:numFmt w:val="bullet"/>
      <w:lvlText w:val="-"/>
      <w:lvlJc w:val="left"/>
      <w:pPr>
        <w:ind w:left="720" w:hanging="360"/>
      </w:pPr>
      <w:rPr>
        <w:rFonts w:ascii="Calibri" w:hAnsi="Calibri" w:hint="default"/>
      </w:rPr>
    </w:lvl>
    <w:lvl w:ilvl="1" w:tplc="E918C2F8">
      <w:start w:val="1"/>
      <w:numFmt w:val="bullet"/>
      <w:lvlText w:val="o"/>
      <w:lvlJc w:val="left"/>
      <w:pPr>
        <w:ind w:left="1440" w:hanging="360"/>
      </w:pPr>
      <w:rPr>
        <w:rFonts w:ascii="Courier New" w:hAnsi="Courier New" w:hint="default"/>
      </w:rPr>
    </w:lvl>
    <w:lvl w:ilvl="2" w:tplc="52BA29F8">
      <w:start w:val="1"/>
      <w:numFmt w:val="bullet"/>
      <w:lvlText w:val=""/>
      <w:lvlJc w:val="left"/>
      <w:pPr>
        <w:ind w:left="2160" w:hanging="360"/>
      </w:pPr>
      <w:rPr>
        <w:rFonts w:ascii="Wingdings" w:hAnsi="Wingdings" w:hint="default"/>
      </w:rPr>
    </w:lvl>
    <w:lvl w:ilvl="3" w:tplc="5B1EEC98">
      <w:start w:val="1"/>
      <w:numFmt w:val="bullet"/>
      <w:lvlText w:val=""/>
      <w:lvlJc w:val="left"/>
      <w:pPr>
        <w:ind w:left="2880" w:hanging="360"/>
      </w:pPr>
      <w:rPr>
        <w:rFonts w:ascii="Symbol" w:hAnsi="Symbol" w:hint="default"/>
      </w:rPr>
    </w:lvl>
    <w:lvl w:ilvl="4" w:tplc="1D92C380">
      <w:start w:val="1"/>
      <w:numFmt w:val="bullet"/>
      <w:lvlText w:val="o"/>
      <w:lvlJc w:val="left"/>
      <w:pPr>
        <w:ind w:left="3600" w:hanging="360"/>
      </w:pPr>
      <w:rPr>
        <w:rFonts w:ascii="Courier New" w:hAnsi="Courier New" w:hint="default"/>
      </w:rPr>
    </w:lvl>
    <w:lvl w:ilvl="5" w:tplc="A2D68FFA">
      <w:start w:val="1"/>
      <w:numFmt w:val="bullet"/>
      <w:lvlText w:val=""/>
      <w:lvlJc w:val="left"/>
      <w:pPr>
        <w:ind w:left="4320" w:hanging="360"/>
      </w:pPr>
      <w:rPr>
        <w:rFonts w:ascii="Wingdings" w:hAnsi="Wingdings" w:hint="default"/>
      </w:rPr>
    </w:lvl>
    <w:lvl w:ilvl="6" w:tplc="0FCA141A">
      <w:start w:val="1"/>
      <w:numFmt w:val="bullet"/>
      <w:lvlText w:val=""/>
      <w:lvlJc w:val="left"/>
      <w:pPr>
        <w:ind w:left="5040" w:hanging="360"/>
      </w:pPr>
      <w:rPr>
        <w:rFonts w:ascii="Symbol" w:hAnsi="Symbol" w:hint="default"/>
      </w:rPr>
    </w:lvl>
    <w:lvl w:ilvl="7" w:tplc="8EB2E2FE">
      <w:start w:val="1"/>
      <w:numFmt w:val="bullet"/>
      <w:lvlText w:val="o"/>
      <w:lvlJc w:val="left"/>
      <w:pPr>
        <w:ind w:left="5760" w:hanging="360"/>
      </w:pPr>
      <w:rPr>
        <w:rFonts w:ascii="Courier New" w:hAnsi="Courier New" w:hint="default"/>
      </w:rPr>
    </w:lvl>
    <w:lvl w:ilvl="8" w:tplc="AA84003E">
      <w:start w:val="1"/>
      <w:numFmt w:val="bullet"/>
      <w:lvlText w:val=""/>
      <w:lvlJc w:val="left"/>
      <w:pPr>
        <w:ind w:left="6480" w:hanging="360"/>
      </w:pPr>
      <w:rPr>
        <w:rFonts w:ascii="Wingdings" w:hAnsi="Wingdings" w:hint="default"/>
      </w:rPr>
    </w:lvl>
  </w:abstractNum>
  <w:abstractNum w:abstractNumId="7" w15:restartNumberingAfterBreak="0">
    <w:nsid w:val="0F1B379E"/>
    <w:multiLevelType w:val="multilevel"/>
    <w:tmpl w:val="DD383CB8"/>
    <w:lvl w:ilvl="0">
      <w:start w:val="6"/>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6F4DA8"/>
    <w:multiLevelType w:val="multilevel"/>
    <w:tmpl w:val="FB62A0B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5505B68"/>
    <w:multiLevelType w:val="hybridMultilevel"/>
    <w:tmpl w:val="FE4A2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976477"/>
    <w:multiLevelType w:val="hybridMultilevel"/>
    <w:tmpl w:val="6A048E4C"/>
    <w:lvl w:ilvl="0" w:tplc="0CEACD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06282"/>
    <w:multiLevelType w:val="hybridMultilevel"/>
    <w:tmpl w:val="8A960314"/>
    <w:lvl w:ilvl="0" w:tplc="7FCC47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B06E9"/>
    <w:multiLevelType w:val="multilevel"/>
    <w:tmpl w:val="110097BC"/>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74AD3"/>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B688E"/>
    <w:multiLevelType w:val="hybridMultilevel"/>
    <w:tmpl w:val="2EA61348"/>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A5AC8"/>
    <w:multiLevelType w:val="hybridMultilevel"/>
    <w:tmpl w:val="FBFCB438"/>
    <w:lvl w:ilvl="0" w:tplc="0CEACD3E">
      <w:numFmt w:val="bullet"/>
      <w:lvlText w:val="-"/>
      <w:lvlJc w:val="left"/>
      <w:pPr>
        <w:ind w:left="1080" w:hanging="72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D39C7"/>
    <w:multiLevelType w:val="hybridMultilevel"/>
    <w:tmpl w:val="6C381350"/>
    <w:lvl w:ilvl="0" w:tplc="63DC6B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278B5"/>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84069E4"/>
    <w:multiLevelType w:val="hybridMultilevel"/>
    <w:tmpl w:val="70D4FB68"/>
    <w:lvl w:ilvl="0" w:tplc="9FB695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3457E"/>
    <w:multiLevelType w:val="hybridMultilevel"/>
    <w:tmpl w:val="8DA0A35C"/>
    <w:lvl w:ilvl="0" w:tplc="FFFFFFFF">
      <w:start w:val="1"/>
      <w:numFmt w:val="bullet"/>
      <w:lvlText w:val="-"/>
      <w:lvlJc w:val="left"/>
      <w:pPr>
        <w:ind w:left="720" w:hanging="360"/>
      </w:pPr>
      <w:rPr>
        <w:rFonts w:ascii="&quot;Times New Roman&quot;,serif" w:hAnsi="&quot;Times New Roman&quot;,serif" w:hint="default"/>
      </w:rPr>
    </w:lvl>
    <w:lvl w:ilvl="1" w:tplc="B58AF04C">
      <w:start w:val="1"/>
      <w:numFmt w:val="bullet"/>
      <w:lvlText w:val="o"/>
      <w:lvlJc w:val="left"/>
      <w:pPr>
        <w:ind w:left="1440" w:hanging="360"/>
      </w:pPr>
      <w:rPr>
        <w:rFonts w:ascii="Courier New" w:hAnsi="Courier New" w:hint="default"/>
      </w:rPr>
    </w:lvl>
    <w:lvl w:ilvl="2" w:tplc="2F5C360E">
      <w:start w:val="1"/>
      <w:numFmt w:val="bullet"/>
      <w:lvlText w:val=""/>
      <w:lvlJc w:val="left"/>
      <w:pPr>
        <w:ind w:left="2160" w:hanging="360"/>
      </w:pPr>
      <w:rPr>
        <w:rFonts w:ascii="Wingdings" w:hAnsi="Wingdings" w:hint="default"/>
      </w:rPr>
    </w:lvl>
    <w:lvl w:ilvl="3" w:tplc="3AFA0E6A">
      <w:start w:val="1"/>
      <w:numFmt w:val="bullet"/>
      <w:lvlText w:val=""/>
      <w:lvlJc w:val="left"/>
      <w:pPr>
        <w:ind w:left="2880" w:hanging="360"/>
      </w:pPr>
      <w:rPr>
        <w:rFonts w:ascii="Symbol" w:hAnsi="Symbol" w:hint="default"/>
      </w:rPr>
    </w:lvl>
    <w:lvl w:ilvl="4" w:tplc="656686B0">
      <w:start w:val="1"/>
      <w:numFmt w:val="bullet"/>
      <w:lvlText w:val="o"/>
      <w:lvlJc w:val="left"/>
      <w:pPr>
        <w:ind w:left="3600" w:hanging="360"/>
      </w:pPr>
      <w:rPr>
        <w:rFonts w:ascii="Courier New" w:hAnsi="Courier New" w:hint="default"/>
      </w:rPr>
    </w:lvl>
    <w:lvl w:ilvl="5" w:tplc="74D6B030">
      <w:start w:val="1"/>
      <w:numFmt w:val="bullet"/>
      <w:lvlText w:val=""/>
      <w:lvlJc w:val="left"/>
      <w:pPr>
        <w:ind w:left="4320" w:hanging="360"/>
      </w:pPr>
      <w:rPr>
        <w:rFonts w:ascii="Wingdings" w:hAnsi="Wingdings" w:hint="default"/>
      </w:rPr>
    </w:lvl>
    <w:lvl w:ilvl="6" w:tplc="D4DC818C">
      <w:start w:val="1"/>
      <w:numFmt w:val="bullet"/>
      <w:lvlText w:val=""/>
      <w:lvlJc w:val="left"/>
      <w:pPr>
        <w:ind w:left="5040" w:hanging="360"/>
      </w:pPr>
      <w:rPr>
        <w:rFonts w:ascii="Symbol" w:hAnsi="Symbol" w:hint="default"/>
      </w:rPr>
    </w:lvl>
    <w:lvl w:ilvl="7" w:tplc="5B4AA62A">
      <w:start w:val="1"/>
      <w:numFmt w:val="bullet"/>
      <w:lvlText w:val="o"/>
      <w:lvlJc w:val="left"/>
      <w:pPr>
        <w:ind w:left="5760" w:hanging="360"/>
      </w:pPr>
      <w:rPr>
        <w:rFonts w:ascii="Courier New" w:hAnsi="Courier New" w:hint="default"/>
      </w:rPr>
    </w:lvl>
    <w:lvl w:ilvl="8" w:tplc="0290C856">
      <w:start w:val="1"/>
      <w:numFmt w:val="bullet"/>
      <w:lvlText w:val=""/>
      <w:lvlJc w:val="left"/>
      <w:pPr>
        <w:ind w:left="6480" w:hanging="360"/>
      </w:pPr>
      <w:rPr>
        <w:rFonts w:ascii="Wingdings" w:hAnsi="Wingdings" w:hint="default"/>
      </w:rPr>
    </w:lvl>
  </w:abstractNum>
  <w:abstractNum w:abstractNumId="21" w15:restartNumberingAfterBreak="0">
    <w:nsid w:val="29CEE07F"/>
    <w:multiLevelType w:val="hybridMultilevel"/>
    <w:tmpl w:val="FFFFFFFF"/>
    <w:lvl w:ilvl="0" w:tplc="358CCA20">
      <w:start w:val="1"/>
      <w:numFmt w:val="bullet"/>
      <w:lvlText w:val="-"/>
      <w:lvlJc w:val="left"/>
      <w:pPr>
        <w:ind w:left="720" w:hanging="360"/>
      </w:pPr>
      <w:rPr>
        <w:rFonts w:ascii="Calibri" w:hAnsi="Calibri" w:hint="default"/>
      </w:rPr>
    </w:lvl>
    <w:lvl w:ilvl="1" w:tplc="CF766AFC">
      <w:start w:val="1"/>
      <w:numFmt w:val="bullet"/>
      <w:lvlText w:val="o"/>
      <w:lvlJc w:val="left"/>
      <w:pPr>
        <w:ind w:left="1440" w:hanging="360"/>
      </w:pPr>
      <w:rPr>
        <w:rFonts w:ascii="Courier New" w:hAnsi="Courier New" w:hint="default"/>
      </w:rPr>
    </w:lvl>
    <w:lvl w:ilvl="2" w:tplc="AD1E06BA">
      <w:start w:val="1"/>
      <w:numFmt w:val="bullet"/>
      <w:lvlText w:val=""/>
      <w:lvlJc w:val="left"/>
      <w:pPr>
        <w:ind w:left="2160" w:hanging="360"/>
      </w:pPr>
      <w:rPr>
        <w:rFonts w:ascii="Wingdings" w:hAnsi="Wingdings" w:hint="default"/>
      </w:rPr>
    </w:lvl>
    <w:lvl w:ilvl="3" w:tplc="91E4717A">
      <w:start w:val="1"/>
      <w:numFmt w:val="bullet"/>
      <w:lvlText w:val=""/>
      <w:lvlJc w:val="left"/>
      <w:pPr>
        <w:ind w:left="2880" w:hanging="360"/>
      </w:pPr>
      <w:rPr>
        <w:rFonts w:ascii="Symbol" w:hAnsi="Symbol" w:hint="default"/>
      </w:rPr>
    </w:lvl>
    <w:lvl w:ilvl="4" w:tplc="B82CF0CA">
      <w:start w:val="1"/>
      <w:numFmt w:val="bullet"/>
      <w:lvlText w:val="o"/>
      <w:lvlJc w:val="left"/>
      <w:pPr>
        <w:ind w:left="3600" w:hanging="360"/>
      </w:pPr>
      <w:rPr>
        <w:rFonts w:ascii="Courier New" w:hAnsi="Courier New" w:hint="default"/>
      </w:rPr>
    </w:lvl>
    <w:lvl w:ilvl="5" w:tplc="FC806948">
      <w:start w:val="1"/>
      <w:numFmt w:val="bullet"/>
      <w:lvlText w:val=""/>
      <w:lvlJc w:val="left"/>
      <w:pPr>
        <w:ind w:left="4320" w:hanging="360"/>
      </w:pPr>
      <w:rPr>
        <w:rFonts w:ascii="Wingdings" w:hAnsi="Wingdings" w:hint="default"/>
      </w:rPr>
    </w:lvl>
    <w:lvl w:ilvl="6" w:tplc="5B16B3D0">
      <w:start w:val="1"/>
      <w:numFmt w:val="bullet"/>
      <w:lvlText w:val=""/>
      <w:lvlJc w:val="left"/>
      <w:pPr>
        <w:ind w:left="5040" w:hanging="360"/>
      </w:pPr>
      <w:rPr>
        <w:rFonts w:ascii="Symbol" w:hAnsi="Symbol" w:hint="default"/>
      </w:rPr>
    </w:lvl>
    <w:lvl w:ilvl="7" w:tplc="A036A0BC">
      <w:start w:val="1"/>
      <w:numFmt w:val="bullet"/>
      <w:lvlText w:val="o"/>
      <w:lvlJc w:val="left"/>
      <w:pPr>
        <w:ind w:left="5760" w:hanging="360"/>
      </w:pPr>
      <w:rPr>
        <w:rFonts w:ascii="Courier New" w:hAnsi="Courier New" w:hint="default"/>
      </w:rPr>
    </w:lvl>
    <w:lvl w:ilvl="8" w:tplc="ECE843BA">
      <w:start w:val="1"/>
      <w:numFmt w:val="bullet"/>
      <w:lvlText w:val=""/>
      <w:lvlJc w:val="left"/>
      <w:pPr>
        <w:ind w:left="6480" w:hanging="360"/>
      </w:pPr>
      <w:rPr>
        <w:rFonts w:ascii="Wingdings" w:hAnsi="Wingdings" w:hint="default"/>
      </w:rPr>
    </w:lvl>
  </w:abstractNum>
  <w:abstractNum w:abstractNumId="22" w15:restartNumberingAfterBreak="0">
    <w:nsid w:val="29E8E952"/>
    <w:multiLevelType w:val="hybridMultilevel"/>
    <w:tmpl w:val="FFFFFFFF"/>
    <w:lvl w:ilvl="0" w:tplc="A4887A3A">
      <w:start w:val="1"/>
      <w:numFmt w:val="bullet"/>
      <w:lvlText w:val="-"/>
      <w:lvlJc w:val="left"/>
      <w:pPr>
        <w:ind w:left="720" w:hanging="360"/>
      </w:pPr>
      <w:rPr>
        <w:rFonts w:ascii="Calibri" w:hAnsi="Calibri" w:hint="default"/>
      </w:rPr>
    </w:lvl>
    <w:lvl w:ilvl="1" w:tplc="634859F8">
      <w:start w:val="1"/>
      <w:numFmt w:val="bullet"/>
      <w:lvlText w:val="o"/>
      <w:lvlJc w:val="left"/>
      <w:pPr>
        <w:ind w:left="1440" w:hanging="360"/>
      </w:pPr>
      <w:rPr>
        <w:rFonts w:ascii="Courier New" w:hAnsi="Courier New" w:hint="default"/>
      </w:rPr>
    </w:lvl>
    <w:lvl w:ilvl="2" w:tplc="E74007D4">
      <w:start w:val="1"/>
      <w:numFmt w:val="bullet"/>
      <w:lvlText w:val=""/>
      <w:lvlJc w:val="left"/>
      <w:pPr>
        <w:ind w:left="2160" w:hanging="360"/>
      </w:pPr>
      <w:rPr>
        <w:rFonts w:ascii="Wingdings" w:hAnsi="Wingdings" w:hint="default"/>
      </w:rPr>
    </w:lvl>
    <w:lvl w:ilvl="3" w:tplc="AC501EAC">
      <w:start w:val="1"/>
      <w:numFmt w:val="bullet"/>
      <w:lvlText w:val=""/>
      <w:lvlJc w:val="left"/>
      <w:pPr>
        <w:ind w:left="2880" w:hanging="360"/>
      </w:pPr>
      <w:rPr>
        <w:rFonts w:ascii="Symbol" w:hAnsi="Symbol" w:hint="default"/>
      </w:rPr>
    </w:lvl>
    <w:lvl w:ilvl="4" w:tplc="062280D4">
      <w:start w:val="1"/>
      <w:numFmt w:val="bullet"/>
      <w:lvlText w:val="o"/>
      <w:lvlJc w:val="left"/>
      <w:pPr>
        <w:ind w:left="3600" w:hanging="360"/>
      </w:pPr>
      <w:rPr>
        <w:rFonts w:ascii="Courier New" w:hAnsi="Courier New" w:hint="default"/>
      </w:rPr>
    </w:lvl>
    <w:lvl w:ilvl="5" w:tplc="B38ECA8E">
      <w:start w:val="1"/>
      <w:numFmt w:val="bullet"/>
      <w:lvlText w:val=""/>
      <w:lvlJc w:val="left"/>
      <w:pPr>
        <w:ind w:left="4320" w:hanging="360"/>
      </w:pPr>
      <w:rPr>
        <w:rFonts w:ascii="Wingdings" w:hAnsi="Wingdings" w:hint="default"/>
      </w:rPr>
    </w:lvl>
    <w:lvl w:ilvl="6" w:tplc="69122FE0">
      <w:start w:val="1"/>
      <w:numFmt w:val="bullet"/>
      <w:lvlText w:val=""/>
      <w:lvlJc w:val="left"/>
      <w:pPr>
        <w:ind w:left="5040" w:hanging="360"/>
      </w:pPr>
      <w:rPr>
        <w:rFonts w:ascii="Symbol" w:hAnsi="Symbol" w:hint="default"/>
      </w:rPr>
    </w:lvl>
    <w:lvl w:ilvl="7" w:tplc="F490B868">
      <w:start w:val="1"/>
      <w:numFmt w:val="bullet"/>
      <w:lvlText w:val="o"/>
      <w:lvlJc w:val="left"/>
      <w:pPr>
        <w:ind w:left="5760" w:hanging="360"/>
      </w:pPr>
      <w:rPr>
        <w:rFonts w:ascii="Courier New" w:hAnsi="Courier New" w:hint="default"/>
      </w:rPr>
    </w:lvl>
    <w:lvl w:ilvl="8" w:tplc="DB7E16EA">
      <w:start w:val="1"/>
      <w:numFmt w:val="bullet"/>
      <w:lvlText w:val=""/>
      <w:lvlJc w:val="left"/>
      <w:pPr>
        <w:ind w:left="6480" w:hanging="360"/>
      </w:pPr>
      <w:rPr>
        <w:rFonts w:ascii="Wingdings" w:hAnsi="Wingdings" w:hint="default"/>
      </w:rPr>
    </w:lvl>
  </w:abstractNum>
  <w:abstractNum w:abstractNumId="23" w15:restartNumberingAfterBreak="0">
    <w:nsid w:val="2BFE6D1A"/>
    <w:multiLevelType w:val="hybridMultilevel"/>
    <w:tmpl w:val="826872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C273D12"/>
    <w:multiLevelType w:val="hybridMultilevel"/>
    <w:tmpl w:val="E69A5BD6"/>
    <w:lvl w:ilvl="0" w:tplc="7BE6B042">
      <w:start w:val="1"/>
      <w:numFmt w:val="bullet"/>
      <w:lvlText w:val="-"/>
      <w:lvlJc w:val="left"/>
      <w:pPr>
        <w:ind w:left="720" w:hanging="360"/>
      </w:pPr>
      <w:rPr>
        <w:rFonts w:ascii="Calibri" w:hAnsi="Calibri" w:hint="default"/>
      </w:rPr>
    </w:lvl>
    <w:lvl w:ilvl="1" w:tplc="7098FE50">
      <w:start w:val="1"/>
      <w:numFmt w:val="bullet"/>
      <w:lvlText w:val="o"/>
      <w:lvlJc w:val="left"/>
      <w:pPr>
        <w:ind w:left="1440" w:hanging="360"/>
      </w:pPr>
      <w:rPr>
        <w:rFonts w:ascii="Courier New" w:hAnsi="Courier New" w:hint="default"/>
      </w:rPr>
    </w:lvl>
    <w:lvl w:ilvl="2" w:tplc="C834E79C">
      <w:start w:val="1"/>
      <w:numFmt w:val="bullet"/>
      <w:lvlText w:val=""/>
      <w:lvlJc w:val="left"/>
      <w:pPr>
        <w:ind w:left="2160" w:hanging="360"/>
      </w:pPr>
      <w:rPr>
        <w:rFonts w:ascii="Wingdings" w:hAnsi="Wingdings" w:hint="default"/>
      </w:rPr>
    </w:lvl>
    <w:lvl w:ilvl="3" w:tplc="0C9E705E">
      <w:start w:val="1"/>
      <w:numFmt w:val="bullet"/>
      <w:lvlText w:val=""/>
      <w:lvlJc w:val="left"/>
      <w:pPr>
        <w:ind w:left="2880" w:hanging="360"/>
      </w:pPr>
      <w:rPr>
        <w:rFonts w:ascii="Symbol" w:hAnsi="Symbol" w:hint="default"/>
      </w:rPr>
    </w:lvl>
    <w:lvl w:ilvl="4" w:tplc="35D0D9AE">
      <w:start w:val="1"/>
      <w:numFmt w:val="bullet"/>
      <w:lvlText w:val="o"/>
      <w:lvlJc w:val="left"/>
      <w:pPr>
        <w:ind w:left="3600" w:hanging="360"/>
      </w:pPr>
      <w:rPr>
        <w:rFonts w:ascii="Courier New" w:hAnsi="Courier New" w:hint="default"/>
      </w:rPr>
    </w:lvl>
    <w:lvl w:ilvl="5" w:tplc="87288FD2">
      <w:start w:val="1"/>
      <w:numFmt w:val="bullet"/>
      <w:lvlText w:val=""/>
      <w:lvlJc w:val="left"/>
      <w:pPr>
        <w:ind w:left="4320" w:hanging="360"/>
      </w:pPr>
      <w:rPr>
        <w:rFonts w:ascii="Wingdings" w:hAnsi="Wingdings" w:hint="default"/>
      </w:rPr>
    </w:lvl>
    <w:lvl w:ilvl="6" w:tplc="E0D03A1E">
      <w:start w:val="1"/>
      <w:numFmt w:val="bullet"/>
      <w:lvlText w:val=""/>
      <w:lvlJc w:val="left"/>
      <w:pPr>
        <w:ind w:left="5040" w:hanging="360"/>
      </w:pPr>
      <w:rPr>
        <w:rFonts w:ascii="Symbol" w:hAnsi="Symbol" w:hint="default"/>
      </w:rPr>
    </w:lvl>
    <w:lvl w:ilvl="7" w:tplc="0BE81964">
      <w:start w:val="1"/>
      <w:numFmt w:val="bullet"/>
      <w:lvlText w:val="o"/>
      <w:lvlJc w:val="left"/>
      <w:pPr>
        <w:ind w:left="5760" w:hanging="360"/>
      </w:pPr>
      <w:rPr>
        <w:rFonts w:ascii="Courier New" w:hAnsi="Courier New" w:hint="default"/>
      </w:rPr>
    </w:lvl>
    <w:lvl w:ilvl="8" w:tplc="89B8BB7E">
      <w:start w:val="1"/>
      <w:numFmt w:val="bullet"/>
      <w:lvlText w:val=""/>
      <w:lvlJc w:val="left"/>
      <w:pPr>
        <w:ind w:left="6480" w:hanging="360"/>
      </w:pPr>
      <w:rPr>
        <w:rFonts w:ascii="Wingdings" w:hAnsi="Wingdings" w:hint="default"/>
      </w:rPr>
    </w:lvl>
  </w:abstractNum>
  <w:abstractNum w:abstractNumId="25" w15:restartNumberingAfterBreak="0">
    <w:nsid w:val="2D7B7DD8"/>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DC11208"/>
    <w:multiLevelType w:val="hybridMultilevel"/>
    <w:tmpl w:val="FF309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E4A7CCE"/>
    <w:multiLevelType w:val="multilevel"/>
    <w:tmpl w:val="6B2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ADC865"/>
    <w:multiLevelType w:val="hybridMultilevel"/>
    <w:tmpl w:val="FFFFFFFF"/>
    <w:lvl w:ilvl="0" w:tplc="8A56908A">
      <w:start w:val="1"/>
      <w:numFmt w:val="bullet"/>
      <w:lvlText w:val="-"/>
      <w:lvlJc w:val="left"/>
      <w:pPr>
        <w:ind w:left="720" w:hanging="360"/>
      </w:pPr>
      <w:rPr>
        <w:rFonts w:ascii="Calibri" w:hAnsi="Calibri" w:hint="default"/>
      </w:rPr>
    </w:lvl>
    <w:lvl w:ilvl="1" w:tplc="78F23F24">
      <w:start w:val="1"/>
      <w:numFmt w:val="bullet"/>
      <w:lvlText w:val="o"/>
      <w:lvlJc w:val="left"/>
      <w:pPr>
        <w:ind w:left="1440" w:hanging="360"/>
      </w:pPr>
      <w:rPr>
        <w:rFonts w:ascii="Courier New" w:hAnsi="Courier New" w:hint="default"/>
      </w:rPr>
    </w:lvl>
    <w:lvl w:ilvl="2" w:tplc="ABBCF3A0">
      <w:start w:val="1"/>
      <w:numFmt w:val="bullet"/>
      <w:lvlText w:val=""/>
      <w:lvlJc w:val="left"/>
      <w:pPr>
        <w:ind w:left="2160" w:hanging="360"/>
      </w:pPr>
      <w:rPr>
        <w:rFonts w:ascii="Wingdings" w:hAnsi="Wingdings" w:hint="default"/>
      </w:rPr>
    </w:lvl>
    <w:lvl w:ilvl="3" w:tplc="F5008446">
      <w:start w:val="1"/>
      <w:numFmt w:val="bullet"/>
      <w:lvlText w:val=""/>
      <w:lvlJc w:val="left"/>
      <w:pPr>
        <w:ind w:left="2880" w:hanging="360"/>
      </w:pPr>
      <w:rPr>
        <w:rFonts w:ascii="Symbol" w:hAnsi="Symbol" w:hint="default"/>
      </w:rPr>
    </w:lvl>
    <w:lvl w:ilvl="4" w:tplc="DD84BB6C">
      <w:start w:val="1"/>
      <w:numFmt w:val="bullet"/>
      <w:lvlText w:val="o"/>
      <w:lvlJc w:val="left"/>
      <w:pPr>
        <w:ind w:left="3600" w:hanging="360"/>
      </w:pPr>
      <w:rPr>
        <w:rFonts w:ascii="Courier New" w:hAnsi="Courier New" w:hint="default"/>
      </w:rPr>
    </w:lvl>
    <w:lvl w:ilvl="5" w:tplc="BD3C374C">
      <w:start w:val="1"/>
      <w:numFmt w:val="bullet"/>
      <w:lvlText w:val=""/>
      <w:lvlJc w:val="left"/>
      <w:pPr>
        <w:ind w:left="4320" w:hanging="360"/>
      </w:pPr>
      <w:rPr>
        <w:rFonts w:ascii="Wingdings" w:hAnsi="Wingdings" w:hint="default"/>
      </w:rPr>
    </w:lvl>
    <w:lvl w:ilvl="6" w:tplc="EC2CEC2A">
      <w:start w:val="1"/>
      <w:numFmt w:val="bullet"/>
      <w:lvlText w:val=""/>
      <w:lvlJc w:val="left"/>
      <w:pPr>
        <w:ind w:left="5040" w:hanging="360"/>
      </w:pPr>
      <w:rPr>
        <w:rFonts w:ascii="Symbol" w:hAnsi="Symbol" w:hint="default"/>
      </w:rPr>
    </w:lvl>
    <w:lvl w:ilvl="7" w:tplc="94BA4354">
      <w:start w:val="1"/>
      <w:numFmt w:val="bullet"/>
      <w:lvlText w:val="o"/>
      <w:lvlJc w:val="left"/>
      <w:pPr>
        <w:ind w:left="5760" w:hanging="360"/>
      </w:pPr>
      <w:rPr>
        <w:rFonts w:ascii="Courier New" w:hAnsi="Courier New" w:hint="default"/>
      </w:rPr>
    </w:lvl>
    <w:lvl w:ilvl="8" w:tplc="44A86488">
      <w:start w:val="1"/>
      <w:numFmt w:val="bullet"/>
      <w:lvlText w:val=""/>
      <w:lvlJc w:val="left"/>
      <w:pPr>
        <w:ind w:left="6480" w:hanging="360"/>
      </w:pPr>
      <w:rPr>
        <w:rFonts w:ascii="Wingdings" w:hAnsi="Wingdings" w:hint="default"/>
      </w:rPr>
    </w:lvl>
  </w:abstractNum>
  <w:abstractNum w:abstractNumId="29" w15:restartNumberingAfterBreak="0">
    <w:nsid w:val="31584909"/>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7F87260"/>
    <w:multiLevelType w:val="hybridMultilevel"/>
    <w:tmpl w:val="682AAEE2"/>
    <w:lvl w:ilvl="0" w:tplc="C2CCAE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534DD"/>
    <w:multiLevelType w:val="hybridMultilevel"/>
    <w:tmpl w:val="FFFFFFFF"/>
    <w:lvl w:ilvl="0" w:tplc="580649AC">
      <w:start w:val="1"/>
      <w:numFmt w:val="bullet"/>
      <w:lvlText w:val="-"/>
      <w:lvlJc w:val="left"/>
      <w:pPr>
        <w:ind w:left="720" w:hanging="360"/>
      </w:pPr>
      <w:rPr>
        <w:rFonts w:ascii="Calibri" w:hAnsi="Calibri" w:hint="default"/>
      </w:rPr>
    </w:lvl>
    <w:lvl w:ilvl="1" w:tplc="AF062CFE">
      <w:start w:val="1"/>
      <w:numFmt w:val="bullet"/>
      <w:lvlText w:val="o"/>
      <w:lvlJc w:val="left"/>
      <w:pPr>
        <w:ind w:left="1440" w:hanging="360"/>
      </w:pPr>
      <w:rPr>
        <w:rFonts w:ascii="Courier New" w:hAnsi="Courier New" w:hint="default"/>
      </w:rPr>
    </w:lvl>
    <w:lvl w:ilvl="2" w:tplc="6A5A7F6E">
      <w:start w:val="1"/>
      <w:numFmt w:val="bullet"/>
      <w:lvlText w:val=""/>
      <w:lvlJc w:val="left"/>
      <w:pPr>
        <w:ind w:left="2160" w:hanging="360"/>
      </w:pPr>
      <w:rPr>
        <w:rFonts w:ascii="Wingdings" w:hAnsi="Wingdings" w:hint="default"/>
      </w:rPr>
    </w:lvl>
    <w:lvl w:ilvl="3" w:tplc="19681226">
      <w:start w:val="1"/>
      <w:numFmt w:val="bullet"/>
      <w:lvlText w:val=""/>
      <w:lvlJc w:val="left"/>
      <w:pPr>
        <w:ind w:left="2880" w:hanging="360"/>
      </w:pPr>
      <w:rPr>
        <w:rFonts w:ascii="Symbol" w:hAnsi="Symbol" w:hint="default"/>
      </w:rPr>
    </w:lvl>
    <w:lvl w:ilvl="4" w:tplc="7B4EE40E">
      <w:start w:val="1"/>
      <w:numFmt w:val="bullet"/>
      <w:lvlText w:val="o"/>
      <w:lvlJc w:val="left"/>
      <w:pPr>
        <w:ind w:left="3600" w:hanging="360"/>
      </w:pPr>
      <w:rPr>
        <w:rFonts w:ascii="Courier New" w:hAnsi="Courier New" w:hint="default"/>
      </w:rPr>
    </w:lvl>
    <w:lvl w:ilvl="5" w:tplc="B0DEC978">
      <w:start w:val="1"/>
      <w:numFmt w:val="bullet"/>
      <w:lvlText w:val=""/>
      <w:lvlJc w:val="left"/>
      <w:pPr>
        <w:ind w:left="4320" w:hanging="360"/>
      </w:pPr>
      <w:rPr>
        <w:rFonts w:ascii="Wingdings" w:hAnsi="Wingdings" w:hint="default"/>
      </w:rPr>
    </w:lvl>
    <w:lvl w:ilvl="6" w:tplc="B7C695F2">
      <w:start w:val="1"/>
      <w:numFmt w:val="bullet"/>
      <w:lvlText w:val=""/>
      <w:lvlJc w:val="left"/>
      <w:pPr>
        <w:ind w:left="5040" w:hanging="360"/>
      </w:pPr>
      <w:rPr>
        <w:rFonts w:ascii="Symbol" w:hAnsi="Symbol" w:hint="default"/>
      </w:rPr>
    </w:lvl>
    <w:lvl w:ilvl="7" w:tplc="EC8C6BC2">
      <w:start w:val="1"/>
      <w:numFmt w:val="bullet"/>
      <w:lvlText w:val="o"/>
      <w:lvlJc w:val="left"/>
      <w:pPr>
        <w:ind w:left="5760" w:hanging="360"/>
      </w:pPr>
      <w:rPr>
        <w:rFonts w:ascii="Courier New" w:hAnsi="Courier New" w:hint="default"/>
      </w:rPr>
    </w:lvl>
    <w:lvl w:ilvl="8" w:tplc="5950DBCE">
      <w:start w:val="1"/>
      <w:numFmt w:val="bullet"/>
      <w:lvlText w:val=""/>
      <w:lvlJc w:val="left"/>
      <w:pPr>
        <w:ind w:left="6480" w:hanging="360"/>
      </w:pPr>
      <w:rPr>
        <w:rFonts w:ascii="Wingdings" w:hAnsi="Wingdings" w:hint="default"/>
      </w:rPr>
    </w:lvl>
  </w:abstractNum>
  <w:abstractNum w:abstractNumId="32" w15:restartNumberingAfterBreak="0">
    <w:nsid w:val="3B36AD34"/>
    <w:multiLevelType w:val="hybridMultilevel"/>
    <w:tmpl w:val="FFFFFFFF"/>
    <w:lvl w:ilvl="0" w:tplc="A89CFBE4">
      <w:start w:val="1"/>
      <w:numFmt w:val="bullet"/>
      <w:lvlText w:val="-"/>
      <w:lvlJc w:val="left"/>
      <w:pPr>
        <w:ind w:left="720" w:hanging="360"/>
      </w:pPr>
      <w:rPr>
        <w:rFonts w:ascii="Calibri" w:hAnsi="Calibri" w:hint="default"/>
      </w:rPr>
    </w:lvl>
    <w:lvl w:ilvl="1" w:tplc="EF46FD06">
      <w:start w:val="1"/>
      <w:numFmt w:val="bullet"/>
      <w:lvlText w:val="o"/>
      <w:lvlJc w:val="left"/>
      <w:pPr>
        <w:ind w:left="1440" w:hanging="360"/>
      </w:pPr>
      <w:rPr>
        <w:rFonts w:ascii="Courier New" w:hAnsi="Courier New" w:hint="default"/>
      </w:rPr>
    </w:lvl>
    <w:lvl w:ilvl="2" w:tplc="8D7A212A">
      <w:start w:val="1"/>
      <w:numFmt w:val="bullet"/>
      <w:lvlText w:val=""/>
      <w:lvlJc w:val="left"/>
      <w:pPr>
        <w:ind w:left="2160" w:hanging="360"/>
      </w:pPr>
      <w:rPr>
        <w:rFonts w:ascii="Wingdings" w:hAnsi="Wingdings" w:hint="default"/>
      </w:rPr>
    </w:lvl>
    <w:lvl w:ilvl="3" w:tplc="A17E0618">
      <w:start w:val="1"/>
      <w:numFmt w:val="bullet"/>
      <w:lvlText w:val=""/>
      <w:lvlJc w:val="left"/>
      <w:pPr>
        <w:ind w:left="2880" w:hanging="360"/>
      </w:pPr>
      <w:rPr>
        <w:rFonts w:ascii="Symbol" w:hAnsi="Symbol" w:hint="default"/>
      </w:rPr>
    </w:lvl>
    <w:lvl w:ilvl="4" w:tplc="4118A1BC">
      <w:start w:val="1"/>
      <w:numFmt w:val="bullet"/>
      <w:lvlText w:val="o"/>
      <w:lvlJc w:val="left"/>
      <w:pPr>
        <w:ind w:left="3600" w:hanging="360"/>
      </w:pPr>
      <w:rPr>
        <w:rFonts w:ascii="Courier New" w:hAnsi="Courier New" w:hint="default"/>
      </w:rPr>
    </w:lvl>
    <w:lvl w:ilvl="5" w:tplc="43464CAE">
      <w:start w:val="1"/>
      <w:numFmt w:val="bullet"/>
      <w:lvlText w:val=""/>
      <w:lvlJc w:val="left"/>
      <w:pPr>
        <w:ind w:left="4320" w:hanging="360"/>
      </w:pPr>
      <w:rPr>
        <w:rFonts w:ascii="Wingdings" w:hAnsi="Wingdings" w:hint="default"/>
      </w:rPr>
    </w:lvl>
    <w:lvl w:ilvl="6" w:tplc="1EE6C896">
      <w:start w:val="1"/>
      <w:numFmt w:val="bullet"/>
      <w:lvlText w:val=""/>
      <w:lvlJc w:val="left"/>
      <w:pPr>
        <w:ind w:left="5040" w:hanging="360"/>
      </w:pPr>
      <w:rPr>
        <w:rFonts w:ascii="Symbol" w:hAnsi="Symbol" w:hint="default"/>
      </w:rPr>
    </w:lvl>
    <w:lvl w:ilvl="7" w:tplc="D42652B6">
      <w:start w:val="1"/>
      <w:numFmt w:val="bullet"/>
      <w:lvlText w:val="o"/>
      <w:lvlJc w:val="left"/>
      <w:pPr>
        <w:ind w:left="5760" w:hanging="360"/>
      </w:pPr>
      <w:rPr>
        <w:rFonts w:ascii="Courier New" w:hAnsi="Courier New" w:hint="default"/>
      </w:rPr>
    </w:lvl>
    <w:lvl w:ilvl="8" w:tplc="8DE2C086">
      <w:start w:val="1"/>
      <w:numFmt w:val="bullet"/>
      <w:lvlText w:val=""/>
      <w:lvlJc w:val="left"/>
      <w:pPr>
        <w:ind w:left="6480" w:hanging="360"/>
      </w:pPr>
      <w:rPr>
        <w:rFonts w:ascii="Wingdings" w:hAnsi="Wingdings" w:hint="default"/>
      </w:rPr>
    </w:lvl>
  </w:abstractNum>
  <w:abstractNum w:abstractNumId="33" w15:restartNumberingAfterBreak="0">
    <w:nsid w:val="3D3F4D90"/>
    <w:multiLevelType w:val="hybridMultilevel"/>
    <w:tmpl w:val="6FD0FEEC"/>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401D58D2"/>
    <w:multiLevelType w:val="hybridMultilevel"/>
    <w:tmpl w:val="8124E400"/>
    <w:lvl w:ilvl="0" w:tplc="0CEACD3E">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E54A10"/>
    <w:multiLevelType w:val="hybridMultilevel"/>
    <w:tmpl w:val="06845B2A"/>
    <w:lvl w:ilvl="0" w:tplc="63DC6B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F37608"/>
    <w:multiLevelType w:val="multilevel"/>
    <w:tmpl w:val="A7C6E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6605BC"/>
    <w:multiLevelType w:val="multilevel"/>
    <w:tmpl w:val="543E3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CEAB80"/>
    <w:multiLevelType w:val="hybridMultilevel"/>
    <w:tmpl w:val="FFFFFFFF"/>
    <w:lvl w:ilvl="0" w:tplc="B964AF10">
      <w:start w:val="1"/>
      <w:numFmt w:val="bullet"/>
      <w:lvlText w:val="-"/>
      <w:lvlJc w:val="left"/>
      <w:pPr>
        <w:ind w:left="720" w:hanging="360"/>
      </w:pPr>
      <w:rPr>
        <w:rFonts w:ascii="Calibri" w:hAnsi="Calibri" w:hint="default"/>
      </w:rPr>
    </w:lvl>
    <w:lvl w:ilvl="1" w:tplc="64104774">
      <w:start w:val="1"/>
      <w:numFmt w:val="bullet"/>
      <w:lvlText w:val="o"/>
      <w:lvlJc w:val="left"/>
      <w:pPr>
        <w:ind w:left="1440" w:hanging="360"/>
      </w:pPr>
      <w:rPr>
        <w:rFonts w:ascii="Courier New" w:hAnsi="Courier New" w:hint="default"/>
      </w:rPr>
    </w:lvl>
    <w:lvl w:ilvl="2" w:tplc="BF1AC31E">
      <w:start w:val="1"/>
      <w:numFmt w:val="bullet"/>
      <w:lvlText w:val=""/>
      <w:lvlJc w:val="left"/>
      <w:pPr>
        <w:ind w:left="2160" w:hanging="360"/>
      </w:pPr>
      <w:rPr>
        <w:rFonts w:ascii="Wingdings" w:hAnsi="Wingdings" w:hint="default"/>
      </w:rPr>
    </w:lvl>
    <w:lvl w:ilvl="3" w:tplc="DDE08A12">
      <w:start w:val="1"/>
      <w:numFmt w:val="bullet"/>
      <w:lvlText w:val=""/>
      <w:lvlJc w:val="left"/>
      <w:pPr>
        <w:ind w:left="2880" w:hanging="360"/>
      </w:pPr>
      <w:rPr>
        <w:rFonts w:ascii="Symbol" w:hAnsi="Symbol" w:hint="default"/>
      </w:rPr>
    </w:lvl>
    <w:lvl w:ilvl="4" w:tplc="799CF368">
      <w:start w:val="1"/>
      <w:numFmt w:val="bullet"/>
      <w:lvlText w:val="o"/>
      <w:lvlJc w:val="left"/>
      <w:pPr>
        <w:ind w:left="3600" w:hanging="360"/>
      </w:pPr>
      <w:rPr>
        <w:rFonts w:ascii="Courier New" w:hAnsi="Courier New" w:hint="default"/>
      </w:rPr>
    </w:lvl>
    <w:lvl w:ilvl="5" w:tplc="98ACA002">
      <w:start w:val="1"/>
      <w:numFmt w:val="bullet"/>
      <w:lvlText w:val=""/>
      <w:lvlJc w:val="left"/>
      <w:pPr>
        <w:ind w:left="4320" w:hanging="360"/>
      </w:pPr>
      <w:rPr>
        <w:rFonts w:ascii="Wingdings" w:hAnsi="Wingdings" w:hint="default"/>
      </w:rPr>
    </w:lvl>
    <w:lvl w:ilvl="6" w:tplc="DE6A3856">
      <w:start w:val="1"/>
      <w:numFmt w:val="bullet"/>
      <w:lvlText w:val=""/>
      <w:lvlJc w:val="left"/>
      <w:pPr>
        <w:ind w:left="5040" w:hanging="360"/>
      </w:pPr>
      <w:rPr>
        <w:rFonts w:ascii="Symbol" w:hAnsi="Symbol" w:hint="default"/>
      </w:rPr>
    </w:lvl>
    <w:lvl w:ilvl="7" w:tplc="C470A6B0">
      <w:start w:val="1"/>
      <w:numFmt w:val="bullet"/>
      <w:lvlText w:val="o"/>
      <w:lvlJc w:val="left"/>
      <w:pPr>
        <w:ind w:left="5760" w:hanging="360"/>
      </w:pPr>
      <w:rPr>
        <w:rFonts w:ascii="Courier New" w:hAnsi="Courier New" w:hint="default"/>
      </w:rPr>
    </w:lvl>
    <w:lvl w:ilvl="8" w:tplc="4942DE02">
      <w:start w:val="1"/>
      <w:numFmt w:val="bullet"/>
      <w:lvlText w:val=""/>
      <w:lvlJc w:val="left"/>
      <w:pPr>
        <w:ind w:left="6480" w:hanging="360"/>
      </w:pPr>
      <w:rPr>
        <w:rFonts w:ascii="Wingdings" w:hAnsi="Wingdings" w:hint="default"/>
      </w:rPr>
    </w:lvl>
  </w:abstractNum>
  <w:abstractNum w:abstractNumId="39" w15:restartNumberingAfterBreak="0">
    <w:nsid w:val="46213169"/>
    <w:multiLevelType w:val="multilevel"/>
    <w:tmpl w:val="7668F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3D5655"/>
    <w:multiLevelType w:val="multilevel"/>
    <w:tmpl w:val="788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6F11FC"/>
    <w:multiLevelType w:val="hybridMultilevel"/>
    <w:tmpl w:val="3E2A29B2"/>
    <w:lvl w:ilvl="0" w:tplc="237EDD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206503"/>
    <w:multiLevelType w:val="hybridMultilevel"/>
    <w:tmpl w:val="FFFFFFFF"/>
    <w:lvl w:ilvl="0" w:tplc="C928AC00">
      <w:start w:val="1"/>
      <w:numFmt w:val="bullet"/>
      <w:lvlText w:val="-"/>
      <w:lvlJc w:val="left"/>
      <w:pPr>
        <w:ind w:left="720" w:hanging="360"/>
      </w:pPr>
      <w:rPr>
        <w:rFonts w:ascii="&quot;Times New Roman&quot;,serif" w:hAnsi="&quot;Times New Roman&quot;,serif" w:hint="default"/>
      </w:rPr>
    </w:lvl>
    <w:lvl w:ilvl="1" w:tplc="F8964006">
      <w:start w:val="1"/>
      <w:numFmt w:val="bullet"/>
      <w:lvlText w:val="o"/>
      <w:lvlJc w:val="left"/>
      <w:pPr>
        <w:ind w:left="1440" w:hanging="360"/>
      </w:pPr>
      <w:rPr>
        <w:rFonts w:ascii="Courier New" w:hAnsi="Courier New" w:hint="default"/>
      </w:rPr>
    </w:lvl>
    <w:lvl w:ilvl="2" w:tplc="825EB39A">
      <w:start w:val="1"/>
      <w:numFmt w:val="bullet"/>
      <w:lvlText w:val=""/>
      <w:lvlJc w:val="left"/>
      <w:pPr>
        <w:ind w:left="2160" w:hanging="360"/>
      </w:pPr>
      <w:rPr>
        <w:rFonts w:ascii="Wingdings" w:hAnsi="Wingdings" w:hint="default"/>
      </w:rPr>
    </w:lvl>
    <w:lvl w:ilvl="3" w:tplc="B9CA21EE">
      <w:start w:val="1"/>
      <w:numFmt w:val="bullet"/>
      <w:lvlText w:val=""/>
      <w:lvlJc w:val="left"/>
      <w:pPr>
        <w:ind w:left="2880" w:hanging="360"/>
      </w:pPr>
      <w:rPr>
        <w:rFonts w:ascii="Symbol" w:hAnsi="Symbol" w:hint="default"/>
      </w:rPr>
    </w:lvl>
    <w:lvl w:ilvl="4" w:tplc="FB9AD00A">
      <w:start w:val="1"/>
      <w:numFmt w:val="bullet"/>
      <w:lvlText w:val="o"/>
      <w:lvlJc w:val="left"/>
      <w:pPr>
        <w:ind w:left="3600" w:hanging="360"/>
      </w:pPr>
      <w:rPr>
        <w:rFonts w:ascii="Courier New" w:hAnsi="Courier New" w:hint="default"/>
      </w:rPr>
    </w:lvl>
    <w:lvl w:ilvl="5" w:tplc="C87233F8">
      <w:start w:val="1"/>
      <w:numFmt w:val="bullet"/>
      <w:lvlText w:val=""/>
      <w:lvlJc w:val="left"/>
      <w:pPr>
        <w:ind w:left="4320" w:hanging="360"/>
      </w:pPr>
      <w:rPr>
        <w:rFonts w:ascii="Wingdings" w:hAnsi="Wingdings" w:hint="default"/>
      </w:rPr>
    </w:lvl>
    <w:lvl w:ilvl="6" w:tplc="10422B7E">
      <w:start w:val="1"/>
      <w:numFmt w:val="bullet"/>
      <w:lvlText w:val=""/>
      <w:lvlJc w:val="left"/>
      <w:pPr>
        <w:ind w:left="5040" w:hanging="360"/>
      </w:pPr>
      <w:rPr>
        <w:rFonts w:ascii="Symbol" w:hAnsi="Symbol" w:hint="default"/>
      </w:rPr>
    </w:lvl>
    <w:lvl w:ilvl="7" w:tplc="08306E36">
      <w:start w:val="1"/>
      <w:numFmt w:val="bullet"/>
      <w:lvlText w:val="o"/>
      <w:lvlJc w:val="left"/>
      <w:pPr>
        <w:ind w:left="5760" w:hanging="360"/>
      </w:pPr>
      <w:rPr>
        <w:rFonts w:ascii="Courier New" w:hAnsi="Courier New" w:hint="default"/>
      </w:rPr>
    </w:lvl>
    <w:lvl w:ilvl="8" w:tplc="A4A60E1E">
      <w:start w:val="1"/>
      <w:numFmt w:val="bullet"/>
      <w:lvlText w:val=""/>
      <w:lvlJc w:val="left"/>
      <w:pPr>
        <w:ind w:left="6480" w:hanging="360"/>
      </w:pPr>
      <w:rPr>
        <w:rFonts w:ascii="Wingdings" w:hAnsi="Wingdings" w:hint="default"/>
      </w:rPr>
    </w:lvl>
  </w:abstractNum>
  <w:abstractNum w:abstractNumId="43" w15:restartNumberingAfterBreak="0">
    <w:nsid w:val="4F1814D5"/>
    <w:multiLevelType w:val="multilevel"/>
    <w:tmpl w:val="A568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B46F3"/>
    <w:multiLevelType w:val="multilevel"/>
    <w:tmpl w:val="39B8B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944CF3"/>
    <w:multiLevelType w:val="multilevel"/>
    <w:tmpl w:val="9FAAE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F360FA"/>
    <w:multiLevelType w:val="multilevel"/>
    <w:tmpl w:val="7668F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673054"/>
    <w:multiLevelType w:val="multilevel"/>
    <w:tmpl w:val="6E7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939255"/>
    <w:multiLevelType w:val="hybridMultilevel"/>
    <w:tmpl w:val="FFFFFFFF"/>
    <w:lvl w:ilvl="0" w:tplc="88D86210">
      <w:start w:val="1"/>
      <w:numFmt w:val="bullet"/>
      <w:lvlText w:val="-"/>
      <w:lvlJc w:val="left"/>
      <w:pPr>
        <w:ind w:left="720" w:hanging="360"/>
      </w:pPr>
      <w:rPr>
        <w:rFonts w:ascii="&quot;Times New Roman&quot;,serif" w:hAnsi="&quot;Times New Roman&quot;,serif" w:hint="default"/>
      </w:rPr>
    </w:lvl>
    <w:lvl w:ilvl="1" w:tplc="8662D88C">
      <w:start w:val="1"/>
      <w:numFmt w:val="bullet"/>
      <w:lvlText w:val="o"/>
      <w:lvlJc w:val="left"/>
      <w:pPr>
        <w:ind w:left="1440" w:hanging="360"/>
      </w:pPr>
      <w:rPr>
        <w:rFonts w:ascii="Courier New" w:hAnsi="Courier New" w:hint="default"/>
      </w:rPr>
    </w:lvl>
    <w:lvl w:ilvl="2" w:tplc="173A881A">
      <w:start w:val="1"/>
      <w:numFmt w:val="bullet"/>
      <w:lvlText w:val=""/>
      <w:lvlJc w:val="left"/>
      <w:pPr>
        <w:ind w:left="2160" w:hanging="360"/>
      </w:pPr>
      <w:rPr>
        <w:rFonts w:ascii="Wingdings" w:hAnsi="Wingdings" w:hint="default"/>
      </w:rPr>
    </w:lvl>
    <w:lvl w:ilvl="3" w:tplc="E0E4178A">
      <w:start w:val="1"/>
      <w:numFmt w:val="bullet"/>
      <w:lvlText w:val=""/>
      <w:lvlJc w:val="left"/>
      <w:pPr>
        <w:ind w:left="2880" w:hanging="360"/>
      </w:pPr>
      <w:rPr>
        <w:rFonts w:ascii="Symbol" w:hAnsi="Symbol" w:hint="default"/>
      </w:rPr>
    </w:lvl>
    <w:lvl w:ilvl="4" w:tplc="46B6286C">
      <w:start w:val="1"/>
      <w:numFmt w:val="bullet"/>
      <w:lvlText w:val="o"/>
      <w:lvlJc w:val="left"/>
      <w:pPr>
        <w:ind w:left="3600" w:hanging="360"/>
      </w:pPr>
      <w:rPr>
        <w:rFonts w:ascii="Courier New" w:hAnsi="Courier New" w:hint="default"/>
      </w:rPr>
    </w:lvl>
    <w:lvl w:ilvl="5" w:tplc="21F657C2">
      <w:start w:val="1"/>
      <w:numFmt w:val="bullet"/>
      <w:lvlText w:val=""/>
      <w:lvlJc w:val="left"/>
      <w:pPr>
        <w:ind w:left="4320" w:hanging="360"/>
      </w:pPr>
      <w:rPr>
        <w:rFonts w:ascii="Wingdings" w:hAnsi="Wingdings" w:hint="default"/>
      </w:rPr>
    </w:lvl>
    <w:lvl w:ilvl="6" w:tplc="19A4F6CA">
      <w:start w:val="1"/>
      <w:numFmt w:val="bullet"/>
      <w:lvlText w:val=""/>
      <w:lvlJc w:val="left"/>
      <w:pPr>
        <w:ind w:left="5040" w:hanging="360"/>
      </w:pPr>
      <w:rPr>
        <w:rFonts w:ascii="Symbol" w:hAnsi="Symbol" w:hint="default"/>
      </w:rPr>
    </w:lvl>
    <w:lvl w:ilvl="7" w:tplc="6DC24000">
      <w:start w:val="1"/>
      <w:numFmt w:val="bullet"/>
      <w:lvlText w:val="o"/>
      <w:lvlJc w:val="left"/>
      <w:pPr>
        <w:ind w:left="5760" w:hanging="360"/>
      </w:pPr>
      <w:rPr>
        <w:rFonts w:ascii="Courier New" w:hAnsi="Courier New" w:hint="default"/>
      </w:rPr>
    </w:lvl>
    <w:lvl w:ilvl="8" w:tplc="8EF4907A">
      <w:start w:val="1"/>
      <w:numFmt w:val="bullet"/>
      <w:lvlText w:val=""/>
      <w:lvlJc w:val="left"/>
      <w:pPr>
        <w:ind w:left="6480" w:hanging="360"/>
      </w:pPr>
      <w:rPr>
        <w:rFonts w:ascii="Wingdings" w:hAnsi="Wingdings" w:hint="default"/>
      </w:rPr>
    </w:lvl>
  </w:abstractNum>
  <w:abstractNum w:abstractNumId="49" w15:restartNumberingAfterBreak="0">
    <w:nsid w:val="681A7049"/>
    <w:multiLevelType w:val="hybridMultilevel"/>
    <w:tmpl w:val="C1627BDE"/>
    <w:lvl w:ilvl="0" w:tplc="63DC6B9E">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DC7287"/>
    <w:multiLevelType w:val="multilevel"/>
    <w:tmpl w:val="FD7ABD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69FC2BF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F847AB0"/>
    <w:multiLevelType w:val="hybridMultilevel"/>
    <w:tmpl w:val="C4FA45C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3" w15:restartNumberingAfterBreak="0">
    <w:nsid w:val="6F8686DC"/>
    <w:multiLevelType w:val="hybridMultilevel"/>
    <w:tmpl w:val="FFFFFFFF"/>
    <w:lvl w:ilvl="0" w:tplc="82DCD31E">
      <w:start w:val="1"/>
      <w:numFmt w:val="bullet"/>
      <w:lvlText w:val="-"/>
      <w:lvlJc w:val="left"/>
      <w:pPr>
        <w:ind w:left="720" w:hanging="360"/>
      </w:pPr>
      <w:rPr>
        <w:rFonts w:ascii="&quot;Times New Roman&quot;,serif" w:hAnsi="&quot;Times New Roman&quot;,serif" w:hint="default"/>
      </w:rPr>
    </w:lvl>
    <w:lvl w:ilvl="1" w:tplc="AEE877A6">
      <w:start w:val="1"/>
      <w:numFmt w:val="bullet"/>
      <w:lvlText w:val="o"/>
      <w:lvlJc w:val="left"/>
      <w:pPr>
        <w:ind w:left="1440" w:hanging="360"/>
      </w:pPr>
      <w:rPr>
        <w:rFonts w:ascii="Courier New" w:hAnsi="Courier New" w:hint="default"/>
      </w:rPr>
    </w:lvl>
    <w:lvl w:ilvl="2" w:tplc="9DEAAF0A">
      <w:start w:val="1"/>
      <w:numFmt w:val="bullet"/>
      <w:lvlText w:val=""/>
      <w:lvlJc w:val="left"/>
      <w:pPr>
        <w:ind w:left="2160" w:hanging="360"/>
      </w:pPr>
      <w:rPr>
        <w:rFonts w:ascii="Wingdings" w:hAnsi="Wingdings" w:hint="default"/>
      </w:rPr>
    </w:lvl>
    <w:lvl w:ilvl="3" w:tplc="868074BC">
      <w:start w:val="1"/>
      <w:numFmt w:val="bullet"/>
      <w:lvlText w:val=""/>
      <w:lvlJc w:val="left"/>
      <w:pPr>
        <w:ind w:left="2880" w:hanging="360"/>
      </w:pPr>
      <w:rPr>
        <w:rFonts w:ascii="Symbol" w:hAnsi="Symbol" w:hint="default"/>
      </w:rPr>
    </w:lvl>
    <w:lvl w:ilvl="4" w:tplc="F4946A38">
      <w:start w:val="1"/>
      <w:numFmt w:val="bullet"/>
      <w:lvlText w:val="o"/>
      <w:lvlJc w:val="left"/>
      <w:pPr>
        <w:ind w:left="3600" w:hanging="360"/>
      </w:pPr>
      <w:rPr>
        <w:rFonts w:ascii="Courier New" w:hAnsi="Courier New" w:hint="default"/>
      </w:rPr>
    </w:lvl>
    <w:lvl w:ilvl="5" w:tplc="779C28A8">
      <w:start w:val="1"/>
      <w:numFmt w:val="bullet"/>
      <w:lvlText w:val=""/>
      <w:lvlJc w:val="left"/>
      <w:pPr>
        <w:ind w:left="4320" w:hanging="360"/>
      </w:pPr>
      <w:rPr>
        <w:rFonts w:ascii="Wingdings" w:hAnsi="Wingdings" w:hint="default"/>
      </w:rPr>
    </w:lvl>
    <w:lvl w:ilvl="6" w:tplc="394ED004">
      <w:start w:val="1"/>
      <w:numFmt w:val="bullet"/>
      <w:lvlText w:val=""/>
      <w:lvlJc w:val="left"/>
      <w:pPr>
        <w:ind w:left="5040" w:hanging="360"/>
      </w:pPr>
      <w:rPr>
        <w:rFonts w:ascii="Symbol" w:hAnsi="Symbol" w:hint="default"/>
      </w:rPr>
    </w:lvl>
    <w:lvl w:ilvl="7" w:tplc="A25C4F66">
      <w:start w:val="1"/>
      <w:numFmt w:val="bullet"/>
      <w:lvlText w:val="o"/>
      <w:lvlJc w:val="left"/>
      <w:pPr>
        <w:ind w:left="5760" w:hanging="360"/>
      </w:pPr>
      <w:rPr>
        <w:rFonts w:ascii="Courier New" w:hAnsi="Courier New" w:hint="default"/>
      </w:rPr>
    </w:lvl>
    <w:lvl w:ilvl="8" w:tplc="569C2932">
      <w:start w:val="1"/>
      <w:numFmt w:val="bullet"/>
      <w:lvlText w:val=""/>
      <w:lvlJc w:val="left"/>
      <w:pPr>
        <w:ind w:left="6480" w:hanging="360"/>
      </w:pPr>
      <w:rPr>
        <w:rFonts w:ascii="Wingdings" w:hAnsi="Wingdings" w:hint="default"/>
      </w:rPr>
    </w:lvl>
  </w:abstractNum>
  <w:abstractNum w:abstractNumId="54" w15:restartNumberingAfterBreak="0">
    <w:nsid w:val="730AC8AC"/>
    <w:multiLevelType w:val="hybridMultilevel"/>
    <w:tmpl w:val="FFFFFFFF"/>
    <w:lvl w:ilvl="0" w:tplc="4E30E5AC">
      <w:start w:val="1"/>
      <w:numFmt w:val="bullet"/>
      <w:lvlText w:val="-"/>
      <w:lvlJc w:val="left"/>
      <w:pPr>
        <w:ind w:left="720" w:hanging="360"/>
      </w:pPr>
      <w:rPr>
        <w:rFonts w:ascii="&quot;Times New Roman&quot;,serif" w:hAnsi="&quot;Times New Roman&quot;,serif" w:hint="default"/>
      </w:rPr>
    </w:lvl>
    <w:lvl w:ilvl="1" w:tplc="B8DEC904">
      <w:start w:val="1"/>
      <w:numFmt w:val="bullet"/>
      <w:lvlText w:val="o"/>
      <w:lvlJc w:val="left"/>
      <w:pPr>
        <w:ind w:left="1440" w:hanging="360"/>
      </w:pPr>
      <w:rPr>
        <w:rFonts w:ascii="Courier New" w:hAnsi="Courier New" w:hint="default"/>
      </w:rPr>
    </w:lvl>
    <w:lvl w:ilvl="2" w:tplc="23D6357C">
      <w:start w:val="1"/>
      <w:numFmt w:val="bullet"/>
      <w:lvlText w:val=""/>
      <w:lvlJc w:val="left"/>
      <w:pPr>
        <w:ind w:left="2160" w:hanging="360"/>
      </w:pPr>
      <w:rPr>
        <w:rFonts w:ascii="Wingdings" w:hAnsi="Wingdings" w:hint="default"/>
      </w:rPr>
    </w:lvl>
    <w:lvl w:ilvl="3" w:tplc="3ACE5CCA">
      <w:start w:val="1"/>
      <w:numFmt w:val="bullet"/>
      <w:lvlText w:val=""/>
      <w:lvlJc w:val="left"/>
      <w:pPr>
        <w:ind w:left="2880" w:hanging="360"/>
      </w:pPr>
      <w:rPr>
        <w:rFonts w:ascii="Symbol" w:hAnsi="Symbol" w:hint="default"/>
      </w:rPr>
    </w:lvl>
    <w:lvl w:ilvl="4" w:tplc="3E5A7BC4">
      <w:start w:val="1"/>
      <w:numFmt w:val="bullet"/>
      <w:lvlText w:val="o"/>
      <w:lvlJc w:val="left"/>
      <w:pPr>
        <w:ind w:left="3600" w:hanging="360"/>
      </w:pPr>
      <w:rPr>
        <w:rFonts w:ascii="Courier New" w:hAnsi="Courier New" w:hint="default"/>
      </w:rPr>
    </w:lvl>
    <w:lvl w:ilvl="5" w:tplc="8888539A">
      <w:start w:val="1"/>
      <w:numFmt w:val="bullet"/>
      <w:lvlText w:val=""/>
      <w:lvlJc w:val="left"/>
      <w:pPr>
        <w:ind w:left="4320" w:hanging="360"/>
      </w:pPr>
      <w:rPr>
        <w:rFonts w:ascii="Wingdings" w:hAnsi="Wingdings" w:hint="default"/>
      </w:rPr>
    </w:lvl>
    <w:lvl w:ilvl="6" w:tplc="95CAF670">
      <w:start w:val="1"/>
      <w:numFmt w:val="bullet"/>
      <w:lvlText w:val=""/>
      <w:lvlJc w:val="left"/>
      <w:pPr>
        <w:ind w:left="5040" w:hanging="360"/>
      </w:pPr>
      <w:rPr>
        <w:rFonts w:ascii="Symbol" w:hAnsi="Symbol" w:hint="default"/>
      </w:rPr>
    </w:lvl>
    <w:lvl w:ilvl="7" w:tplc="EB58154E">
      <w:start w:val="1"/>
      <w:numFmt w:val="bullet"/>
      <w:lvlText w:val="o"/>
      <w:lvlJc w:val="left"/>
      <w:pPr>
        <w:ind w:left="5760" w:hanging="360"/>
      </w:pPr>
      <w:rPr>
        <w:rFonts w:ascii="Courier New" w:hAnsi="Courier New" w:hint="default"/>
      </w:rPr>
    </w:lvl>
    <w:lvl w:ilvl="8" w:tplc="D0086CB4">
      <w:start w:val="1"/>
      <w:numFmt w:val="bullet"/>
      <w:lvlText w:val=""/>
      <w:lvlJc w:val="left"/>
      <w:pPr>
        <w:ind w:left="6480" w:hanging="360"/>
      </w:pPr>
      <w:rPr>
        <w:rFonts w:ascii="Wingdings" w:hAnsi="Wingdings" w:hint="default"/>
      </w:rPr>
    </w:lvl>
  </w:abstractNum>
  <w:abstractNum w:abstractNumId="55" w15:restartNumberingAfterBreak="0">
    <w:nsid w:val="74175447"/>
    <w:multiLevelType w:val="hybridMultilevel"/>
    <w:tmpl w:val="01080B98"/>
    <w:lvl w:ilvl="0" w:tplc="D2FEE684">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6E03D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7C34BB"/>
    <w:multiLevelType w:val="hybridMultilevel"/>
    <w:tmpl w:val="FFFFFFFF"/>
    <w:lvl w:ilvl="0" w:tplc="0BB0BEE8">
      <w:start w:val="1"/>
      <w:numFmt w:val="bullet"/>
      <w:lvlText w:val="-"/>
      <w:lvlJc w:val="left"/>
      <w:pPr>
        <w:ind w:left="720" w:hanging="360"/>
      </w:pPr>
      <w:rPr>
        <w:rFonts w:ascii="Calibri" w:hAnsi="Calibri" w:hint="default"/>
      </w:rPr>
    </w:lvl>
    <w:lvl w:ilvl="1" w:tplc="718697BE">
      <w:start w:val="1"/>
      <w:numFmt w:val="bullet"/>
      <w:lvlText w:val="o"/>
      <w:lvlJc w:val="left"/>
      <w:pPr>
        <w:ind w:left="1440" w:hanging="360"/>
      </w:pPr>
      <w:rPr>
        <w:rFonts w:ascii="Courier New" w:hAnsi="Courier New" w:hint="default"/>
      </w:rPr>
    </w:lvl>
    <w:lvl w:ilvl="2" w:tplc="C83EA4A8">
      <w:start w:val="1"/>
      <w:numFmt w:val="bullet"/>
      <w:lvlText w:val=""/>
      <w:lvlJc w:val="left"/>
      <w:pPr>
        <w:ind w:left="2160" w:hanging="360"/>
      </w:pPr>
      <w:rPr>
        <w:rFonts w:ascii="Wingdings" w:hAnsi="Wingdings" w:hint="default"/>
      </w:rPr>
    </w:lvl>
    <w:lvl w:ilvl="3" w:tplc="2B9A0830">
      <w:start w:val="1"/>
      <w:numFmt w:val="bullet"/>
      <w:lvlText w:val=""/>
      <w:lvlJc w:val="left"/>
      <w:pPr>
        <w:ind w:left="2880" w:hanging="360"/>
      </w:pPr>
      <w:rPr>
        <w:rFonts w:ascii="Symbol" w:hAnsi="Symbol" w:hint="default"/>
      </w:rPr>
    </w:lvl>
    <w:lvl w:ilvl="4" w:tplc="5956CA68">
      <w:start w:val="1"/>
      <w:numFmt w:val="bullet"/>
      <w:lvlText w:val="o"/>
      <w:lvlJc w:val="left"/>
      <w:pPr>
        <w:ind w:left="3600" w:hanging="360"/>
      </w:pPr>
      <w:rPr>
        <w:rFonts w:ascii="Courier New" w:hAnsi="Courier New" w:hint="default"/>
      </w:rPr>
    </w:lvl>
    <w:lvl w:ilvl="5" w:tplc="7270CDCE">
      <w:start w:val="1"/>
      <w:numFmt w:val="bullet"/>
      <w:lvlText w:val=""/>
      <w:lvlJc w:val="left"/>
      <w:pPr>
        <w:ind w:left="4320" w:hanging="360"/>
      </w:pPr>
      <w:rPr>
        <w:rFonts w:ascii="Wingdings" w:hAnsi="Wingdings" w:hint="default"/>
      </w:rPr>
    </w:lvl>
    <w:lvl w:ilvl="6" w:tplc="EC68FA6E">
      <w:start w:val="1"/>
      <w:numFmt w:val="bullet"/>
      <w:lvlText w:val=""/>
      <w:lvlJc w:val="left"/>
      <w:pPr>
        <w:ind w:left="5040" w:hanging="360"/>
      </w:pPr>
      <w:rPr>
        <w:rFonts w:ascii="Symbol" w:hAnsi="Symbol" w:hint="default"/>
      </w:rPr>
    </w:lvl>
    <w:lvl w:ilvl="7" w:tplc="FB045FE0">
      <w:start w:val="1"/>
      <w:numFmt w:val="bullet"/>
      <w:lvlText w:val="o"/>
      <w:lvlJc w:val="left"/>
      <w:pPr>
        <w:ind w:left="5760" w:hanging="360"/>
      </w:pPr>
      <w:rPr>
        <w:rFonts w:ascii="Courier New" w:hAnsi="Courier New" w:hint="default"/>
      </w:rPr>
    </w:lvl>
    <w:lvl w:ilvl="8" w:tplc="6AA2320E">
      <w:start w:val="1"/>
      <w:numFmt w:val="bullet"/>
      <w:lvlText w:val=""/>
      <w:lvlJc w:val="left"/>
      <w:pPr>
        <w:ind w:left="6480" w:hanging="360"/>
      </w:pPr>
      <w:rPr>
        <w:rFonts w:ascii="Wingdings" w:hAnsi="Wingdings" w:hint="default"/>
      </w:rPr>
    </w:lvl>
  </w:abstractNum>
  <w:abstractNum w:abstractNumId="58" w15:restartNumberingAfterBreak="0">
    <w:nsid w:val="75D3659A"/>
    <w:multiLevelType w:val="hybridMultilevel"/>
    <w:tmpl w:val="FA9CDD92"/>
    <w:lvl w:ilvl="0" w:tplc="22DEEC9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E3580B"/>
    <w:multiLevelType w:val="multilevel"/>
    <w:tmpl w:val="CD8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135343"/>
    <w:multiLevelType w:val="hybridMultilevel"/>
    <w:tmpl w:val="C8B68FC8"/>
    <w:lvl w:ilvl="0" w:tplc="5C1E3ED4">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8C36FDE"/>
    <w:multiLevelType w:val="hybridMultilevel"/>
    <w:tmpl w:val="FFFFFFFF"/>
    <w:lvl w:ilvl="0" w:tplc="FBCC7116">
      <w:start w:val="1"/>
      <w:numFmt w:val="bullet"/>
      <w:lvlText w:val="-"/>
      <w:lvlJc w:val="left"/>
      <w:pPr>
        <w:ind w:left="720" w:hanging="360"/>
      </w:pPr>
      <w:rPr>
        <w:rFonts w:ascii="Calibri" w:hAnsi="Calibri" w:hint="default"/>
      </w:rPr>
    </w:lvl>
    <w:lvl w:ilvl="1" w:tplc="D624D4EE">
      <w:start w:val="1"/>
      <w:numFmt w:val="bullet"/>
      <w:lvlText w:val="o"/>
      <w:lvlJc w:val="left"/>
      <w:pPr>
        <w:ind w:left="1440" w:hanging="360"/>
      </w:pPr>
      <w:rPr>
        <w:rFonts w:ascii="Courier New" w:hAnsi="Courier New" w:hint="default"/>
      </w:rPr>
    </w:lvl>
    <w:lvl w:ilvl="2" w:tplc="616CD542">
      <w:start w:val="1"/>
      <w:numFmt w:val="bullet"/>
      <w:lvlText w:val=""/>
      <w:lvlJc w:val="left"/>
      <w:pPr>
        <w:ind w:left="2160" w:hanging="360"/>
      </w:pPr>
      <w:rPr>
        <w:rFonts w:ascii="Wingdings" w:hAnsi="Wingdings" w:hint="default"/>
      </w:rPr>
    </w:lvl>
    <w:lvl w:ilvl="3" w:tplc="D03C4CD0">
      <w:start w:val="1"/>
      <w:numFmt w:val="bullet"/>
      <w:lvlText w:val=""/>
      <w:lvlJc w:val="left"/>
      <w:pPr>
        <w:ind w:left="2880" w:hanging="360"/>
      </w:pPr>
      <w:rPr>
        <w:rFonts w:ascii="Symbol" w:hAnsi="Symbol" w:hint="default"/>
      </w:rPr>
    </w:lvl>
    <w:lvl w:ilvl="4" w:tplc="1EF4E038">
      <w:start w:val="1"/>
      <w:numFmt w:val="bullet"/>
      <w:lvlText w:val="o"/>
      <w:lvlJc w:val="left"/>
      <w:pPr>
        <w:ind w:left="3600" w:hanging="360"/>
      </w:pPr>
      <w:rPr>
        <w:rFonts w:ascii="Courier New" w:hAnsi="Courier New" w:hint="default"/>
      </w:rPr>
    </w:lvl>
    <w:lvl w:ilvl="5" w:tplc="464C5076">
      <w:start w:val="1"/>
      <w:numFmt w:val="bullet"/>
      <w:lvlText w:val=""/>
      <w:lvlJc w:val="left"/>
      <w:pPr>
        <w:ind w:left="4320" w:hanging="360"/>
      </w:pPr>
      <w:rPr>
        <w:rFonts w:ascii="Wingdings" w:hAnsi="Wingdings" w:hint="default"/>
      </w:rPr>
    </w:lvl>
    <w:lvl w:ilvl="6" w:tplc="449A2C50">
      <w:start w:val="1"/>
      <w:numFmt w:val="bullet"/>
      <w:lvlText w:val=""/>
      <w:lvlJc w:val="left"/>
      <w:pPr>
        <w:ind w:left="5040" w:hanging="360"/>
      </w:pPr>
      <w:rPr>
        <w:rFonts w:ascii="Symbol" w:hAnsi="Symbol" w:hint="default"/>
      </w:rPr>
    </w:lvl>
    <w:lvl w:ilvl="7" w:tplc="4C12B412">
      <w:start w:val="1"/>
      <w:numFmt w:val="bullet"/>
      <w:lvlText w:val="o"/>
      <w:lvlJc w:val="left"/>
      <w:pPr>
        <w:ind w:left="5760" w:hanging="360"/>
      </w:pPr>
      <w:rPr>
        <w:rFonts w:ascii="Courier New" w:hAnsi="Courier New" w:hint="default"/>
      </w:rPr>
    </w:lvl>
    <w:lvl w:ilvl="8" w:tplc="9872DAF6">
      <w:start w:val="1"/>
      <w:numFmt w:val="bullet"/>
      <w:lvlText w:val=""/>
      <w:lvlJc w:val="left"/>
      <w:pPr>
        <w:ind w:left="6480" w:hanging="360"/>
      </w:pPr>
      <w:rPr>
        <w:rFonts w:ascii="Wingdings" w:hAnsi="Wingdings" w:hint="default"/>
      </w:rPr>
    </w:lvl>
  </w:abstractNum>
  <w:abstractNum w:abstractNumId="62" w15:restartNumberingAfterBreak="0">
    <w:nsid w:val="79E80E51"/>
    <w:multiLevelType w:val="hybridMultilevel"/>
    <w:tmpl w:val="B9046D76"/>
    <w:lvl w:ilvl="0" w:tplc="B6B0FF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7E7573"/>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B860B7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DE349B"/>
    <w:multiLevelType w:val="multilevel"/>
    <w:tmpl w:val="9F4E1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5907E6"/>
    <w:multiLevelType w:val="hybridMultilevel"/>
    <w:tmpl w:val="872AC48A"/>
    <w:lvl w:ilvl="0" w:tplc="B7720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014266"/>
    <w:multiLevelType w:val="multilevel"/>
    <w:tmpl w:val="1FB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C23D5C"/>
    <w:multiLevelType w:val="hybridMultilevel"/>
    <w:tmpl w:val="CA103F4A"/>
    <w:lvl w:ilvl="0" w:tplc="5BFC5B2A">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D6BDFF"/>
    <w:multiLevelType w:val="hybridMultilevel"/>
    <w:tmpl w:val="FFFFFFFF"/>
    <w:lvl w:ilvl="0" w:tplc="0584E84E">
      <w:start w:val="1"/>
      <w:numFmt w:val="bullet"/>
      <w:lvlText w:val="-"/>
      <w:lvlJc w:val="left"/>
      <w:pPr>
        <w:ind w:left="720" w:hanging="360"/>
      </w:pPr>
      <w:rPr>
        <w:rFonts w:ascii="Calibri" w:hAnsi="Calibri" w:hint="default"/>
      </w:rPr>
    </w:lvl>
    <w:lvl w:ilvl="1" w:tplc="A47828B8">
      <w:start w:val="1"/>
      <w:numFmt w:val="bullet"/>
      <w:lvlText w:val="o"/>
      <w:lvlJc w:val="left"/>
      <w:pPr>
        <w:ind w:left="1440" w:hanging="360"/>
      </w:pPr>
      <w:rPr>
        <w:rFonts w:ascii="Courier New" w:hAnsi="Courier New" w:hint="default"/>
      </w:rPr>
    </w:lvl>
    <w:lvl w:ilvl="2" w:tplc="785003AC">
      <w:start w:val="1"/>
      <w:numFmt w:val="bullet"/>
      <w:lvlText w:val=""/>
      <w:lvlJc w:val="left"/>
      <w:pPr>
        <w:ind w:left="2160" w:hanging="360"/>
      </w:pPr>
      <w:rPr>
        <w:rFonts w:ascii="Wingdings" w:hAnsi="Wingdings" w:hint="default"/>
      </w:rPr>
    </w:lvl>
    <w:lvl w:ilvl="3" w:tplc="47760230">
      <w:start w:val="1"/>
      <w:numFmt w:val="bullet"/>
      <w:lvlText w:val=""/>
      <w:lvlJc w:val="left"/>
      <w:pPr>
        <w:ind w:left="2880" w:hanging="360"/>
      </w:pPr>
      <w:rPr>
        <w:rFonts w:ascii="Symbol" w:hAnsi="Symbol" w:hint="default"/>
      </w:rPr>
    </w:lvl>
    <w:lvl w:ilvl="4" w:tplc="4A26100E">
      <w:start w:val="1"/>
      <w:numFmt w:val="bullet"/>
      <w:lvlText w:val="o"/>
      <w:lvlJc w:val="left"/>
      <w:pPr>
        <w:ind w:left="3600" w:hanging="360"/>
      </w:pPr>
      <w:rPr>
        <w:rFonts w:ascii="Courier New" w:hAnsi="Courier New" w:hint="default"/>
      </w:rPr>
    </w:lvl>
    <w:lvl w:ilvl="5" w:tplc="7098D2DE">
      <w:start w:val="1"/>
      <w:numFmt w:val="bullet"/>
      <w:lvlText w:val=""/>
      <w:lvlJc w:val="left"/>
      <w:pPr>
        <w:ind w:left="4320" w:hanging="360"/>
      </w:pPr>
      <w:rPr>
        <w:rFonts w:ascii="Wingdings" w:hAnsi="Wingdings" w:hint="default"/>
      </w:rPr>
    </w:lvl>
    <w:lvl w:ilvl="6" w:tplc="47E462E8">
      <w:start w:val="1"/>
      <w:numFmt w:val="bullet"/>
      <w:lvlText w:val=""/>
      <w:lvlJc w:val="left"/>
      <w:pPr>
        <w:ind w:left="5040" w:hanging="360"/>
      </w:pPr>
      <w:rPr>
        <w:rFonts w:ascii="Symbol" w:hAnsi="Symbol" w:hint="default"/>
      </w:rPr>
    </w:lvl>
    <w:lvl w:ilvl="7" w:tplc="B66CBE40">
      <w:start w:val="1"/>
      <w:numFmt w:val="bullet"/>
      <w:lvlText w:val="o"/>
      <w:lvlJc w:val="left"/>
      <w:pPr>
        <w:ind w:left="5760" w:hanging="360"/>
      </w:pPr>
      <w:rPr>
        <w:rFonts w:ascii="Courier New" w:hAnsi="Courier New" w:hint="default"/>
      </w:rPr>
    </w:lvl>
    <w:lvl w:ilvl="8" w:tplc="467EC2A0">
      <w:start w:val="1"/>
      <w:numFmt w:val="bullet"/>
      <w:lvlText w:val=""/>
      <w:lvlJc w:val="left"/>
      <w:pPr>
        <w:ind w:left="6480" w:hanging="360"/>
      </w:pPr>
      <w:rPr>
        <w:rFonts w:ascii="Wingdings" w:hAnsi="Wingdings" w:hint="default"/>
      </w:r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5"/>
  </w:num>
  <w:num w:numId="5">
    <w:abstractNumId w:val="63"/>
  </w:num>
  <w:num w:numId="6">
    <w:abstractNumId w:val="18"/>
  </w:num>
  <w:num w:numId="7">
    <w:abstractNumId w:val="29"/>
  </w:num>
  <w:num w:numId="8">
    <w:abstractNumId w:val="4"/>
  </w:num>
  <w:num w:numId="9">
    <w:abstractNumId w:val="10"/>
  </w:num>
  <w:num w:numId="10">
    <w:abstractNumId w:val="66"/>
  </w:num>
  <w:num w:numId="11">
    <w:abstractNumId w:val="33"/>
  </w:num>
  <w:num w:numId="12">
    <w:abstractNumId w:val="23"/>
  </w:num>
  <w:num w:numId="13">
    <w:abstractNumId w:val="15"/>
  </w:num>
  <w:num w:numId="14">
    <w:abstractNumId w:val="1"/>
  </w:num>
  <w:num w:numId="15">
    <w:abstractNumId w:val="30"/>
  </w:num>
  <w:num w:numId="16">
    <w:abstractNumId w:val="55"/>
  </w:num>
  <w:num w:numId="17">
    <w:abstractNumId w:val="34"/>
  </w:num>
  <w:num w:numId="18">
    <w:abstractNumId w:val="16"/>
  </w:num>
  <w:num w:numId="19">
    <w:abstractNumId w:val="5"/>
  </w:num>
  <w:num w:numId="20">
    <w:abstractNumId w:val="60"/>
  </w:num>
  <w:num w:numId="21">
    <w:abstractNumId w:val="58"/>
  </w:num>
  <w:num w:numId="22">
    <w:abstractNumId w:val="62"/>
  </w:num>
  <w:num w:numId="23">
    <w:abstractNumId w:val="52"/>
  </w:num>
  <w:num w:numId="24">
    <w:abstractNumId w:val="11"/>
  </w:num>
  <w:num w:numId="25">
    <w:abstractNumId w:val="13"/>
  </w:num>
  <w:num w:numId="26">
    <w:abstractNumId w:val="56"/>
  </w:num>
  <w:num w:numId="27">
    <w:abstractNumId w:val="64"/>
  </w:num>
  <w:num w:numId="28">
    <w:abstractNumId w:val="19"/>
  </w:num>
  <w:num w:numId="29">
    <w:abstractNumId w:val="41"/>
  </w:num>
  <w:num w:numId="30">
    <w:abstractNumId w:val="17"/>
  </w:num>
  <w:num w:numId="31">
    <w:abstractNumId w:val="59"/>
  </w:num>
  <w:num w:numId="32">
    <w:abstractNumId w:val="67"/>
  </w:num>
  <w:num w:numId="33">
    <w:abstractNumId w:val="27"/>
  </w:num>
  <w:num w:numId="34">
    <w:abstractNumId w:val="9"/>
  </w:num>
  <w:num w:numId="35">
    <w:abstractNumId w:val="2"/>
  </w:num>
  <w:num w:numId="36">
    <w:abstractNumId w:val="68"/>
  </w:num>
  <w:num w:numId="37">
    <w:abstractNumId w:val="49"/>
  </w:num>
  <w:num w:numId="38">
    <w:abstractNumId w:val="24"/>
  </w:num>
  <w:num w:numId="39">
    <w:abstractNumId w:val="54"/>
  </w:num>
  <w:num w:numId="40">
    <w:abstractNumId w:val="53"/>
  </w:num>
  <w:num w:numId="41">
    <w:abstractNumId w:val="42"/>
  </w:num>
  <w:num w:numId="42">
    <w:abstractNumId w:val="26"/>
  </w:num>
  <w:num w:numId="43">
    <w:abstractNumId w:val="48"/>
  </w:num>
  <w:num w:numId="44">
    <w:abstractNumId w:val="3"/>
  </w:num>
  <w:num w:numId="45">
    <w:abstractNumId w:val="37"/>
  </w:num>
  <w:num w:numId="46">
    <w:abstractNumId w:val="65"/>
  </w:num>
  <w:num w:numId="47">
    <w:abstractNumId w:val="43"/>
  </w:num>
  <w:num w:numId="48">
    <w:abstractNumId w:val="45"/>
  </w:num>
  <w:num w:numId="49">
    <w:abstractNumId w:val="39"/>
  </w:num>
  <w:num w:numId="50">
    <w:abstractNumId w:val="7"/>
  </w:num>
  <w:num w:numId="51">
    <w:abstractNumId w:val="40"/>
  </w:num>
  <w:num w:numId="52">
    <w:abstractNumId w:val="44"/>
  </w:num>
  <w:num w:numId="53">
    <w:abstractNumId w:val="36"/>
  </w:num>
  <w:num w:numId="54">
    <w:abstractNumId w:val="50"/>
  </w:num>
  <w:num w:numId="55">
    <w:abstractNumId w:val="8"/>
  </w:num>
  <w:num w:numId="56">
    <w:abstractNumId w:val="46"/>
  </w:num>
  <w:num w:numId="57">
    <w:abstractNumId w:val="47"/>
  </w:num>
  <w:num w:numId="58">
    <w:abstractNumId w:val="12"/>
  </w:num>
  <w:num w:numId="59">
    <w:abstractNumId w:val="32"/>
  </w:num>
  <w:num w:numId="60">
    <w:abstractNumId w:val="61"/>
  </w:num>
  <w:num w:numId="61">
    <w:abstractNumId w:val="28"/>
  </w:num>
  <w:num w:numId="62">
    <w:abstractNumId w:val="22"/>
  </w:num>
  <w:num w:numId="63">
    <w:abstractNumId w:val="6"/>
  </w:num>
  <w:num w:numId="64">
    <w:abstractNumId w:val="0"/>
  </w:num>
  <w:num w:numId="65">
    <w:abstractNumId w:val="51"/>
  </w:num>
  <w:num w:numId="66">
    <w:abstractNumId w:val="31"/>
  </w:num>
  <w:num w:numId="67">
    <w:abstractNumId w:val="38"/>
  </w:num>
  <w:num w:numId="68">
    <w:abstractNumId w:val="69"/>
  </w:num>
  <w:num w:numId="69">
    <w:abstractNumId w:val="21"/>
  </w:num>
  <w:num w:numId="70">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ACCOMPAGNANT.CP" w:val="   "/>
    <w:docVar w:name="LW_ANNEX_NBR_FIRST" w:val="1"/>
    <w:docVar w:name="LW_ANNEX_NBR_LAST" w:val="1"/>
    <w:docVar w:name="LW_ANNEX_UNIQUE" w:val="1"/>
    <w:docVar w:name="LW_CORRIGENDUM" w:val="&lt;UNUSED&gt;"/>
    <w:docVar w:name="LW_COVERPAGE_EXISTS" w:val="True"/>
    <w:docVar w:name="LW_COVERPAGE_GUID" w:val="240D849C-4757-40B2-81CE-4A6EBBC92591"/>
    <w:docVar w:name="LW_COVERPAGE_TYPE" w:val="1"/>
    <w:docVar w:name="LW_CROSSREFERENCE" w:val="{SWD(2023) 380 final}"/>
    <w:docVar w:name="LW_DocType" w:val="NORMAL"/>
    <w:docVar w:name="LW_EMISSION" w:val="21.11.2023."/>
    <w:docVar w:name="LW_EMISSION_ISODATE" w:val="2023-11-21"/>
    <w:docVar w:name="LW_EMISSION_LOCATION" w:val="BRX"/>
    <w:docVar w:name="LW_EMISSION_PREFIX" w:val="Bruxelles, "/>
    <w:docVar w:name="LW_EMISSION_SUFFIX" w:val="&lt;EMPTY&gt;"/>
    <w:docVar w:name="LW_ID_DOCTYPE_NONLW" w:val="CP-036"/>
    <w:docVar w:name="LW_LANGUE" w:val="HR"/>
    <w:docVar w:name="LW_LEVEL_OF_SENSITIVITY" w:val="Standard treatment"/>
    <w:docVar w:name="LW_NOM.INST" w:val="EUROPSKA KOMISIJA"/>
    <w:docVar w:name="LW_NOM.INST_JOINTDOC" w:val="&lt;EMPTY&gt;"/>
    <w:docVar w:name="LW_OBJETACTEPRINCIPAL.CP" w:val="o izmjeni Provedbene odluke (EU) (ST 10687/21 INIT; ST 10687/21 ADD 1) od 28. srpnja 2021. o odobrenju ocjene plana za oporavak i otpornost Hrvatske"/>
    <w:docVar w:name="LW_PART_NBR" w:val="1"/>
    <w:docVar w:name="LW_PART_NBR_TOTAL" w:val="1"/>
    <w:docVar w:name="LW_REF.INST.NEW" w:val="COM"/>
    <w:docVar w:name="LW_REF.INST.NEW_ADOPTED" w:val="final"/>
    <w:docVar w:name="LW_REF.INST.NEW_TEXT" w:val="(2023) 7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_x000b_"/>
    <w:docVar w:name="LW_TYPEACTEPRINCIPAL.CP" w:val="Prijedlogu PROVEDBENE ODLUKE VIJEĆA"/>
    <w:docVar w:name="LwApiVersions" w:val="LW4CoDe 1.23.2.0; LW 8.0, Build 20211117"/>
  </w:docVars>
  <w:rsids>
    <w:rsidRoot w:val="00733DCA"/>
    <w:rsid w:val="00000CF0"/>
    <w:rsid w:val="00001528"/>
    <w:rsid w:val="000016EA"/>
    <w:rsid w:val="00002754"/>
    <w:rsid w:val="00002B46"/>
    <w:rsid w:val="00003425"/>
    <w:rsid w:val="00003F0C"/>
    <w:rsid w:val="0000422A"/>
    <w:rsid w:val="000051DE"/>
    <w:rsid w:val="0000525E"/>
    <w:rsid w:val="000058A4"/>
    <w:rsid w:val="00005AA1"/>
    <w:rsid w:val="00006202"/>
    <w:rsid w:val="000067D4"/>
    <w:rsid w:val="00006BD4"/>
    <w:rsid w:val="00006D50"/>
    <w:rsid w:val="00006FC9"/>
    <w:rsid w:val="000072BA"/>
    <w:rsid w:val="00007C5F"/>
    <w:rsid w:val="00007DCD"/>
    <w:rsid w:val="00010065"/>
    <w:rsid w:val="00010716"/>
    <w:rsid w:val="00010CA3"/>
    <w:rsid w:val="000116EB"/>
    <w:rsid w:val="00011A87"/>
    <w:rsid w:val="00011CC8"/>
    <w:rsid w:val="00011F74"/>
    <w:rsid w:val="000122B1"/>
    <w:rsid w:val="0001256D"/>
    <w:rsid w:val="00012931"/>
    <w:rsid w:val="00012AB3"/>
    <w:rsid w:val="0001307C"/>
    <w:rsid w:val="00013299"/>
    <w:rsid w:val="00013359"/>
    <w:rsid w:val="000133AE"/>
    <w:rsid w:val="000139D4"/>
    <w:rsid w:val="00013B26"/>
    <w:rsid w:val="00013F4A"/>
    <w:rsid w:val="00013F68"/>
    <w:rsid w:val="0001477B"/>
    <w:rsid w:val="00015F74"/>
    <w:rsid w:val="00016262"/>
    <w:rsid w:val="0001627B"/>
    <w:rsid w:val="00016786"/>
    <w:rsid w:val="00020233"/>
    <w:rsid w:val="00020279"/>
    <w:rsid w:val="00021671"/>
    <w:rsid w:val="00021A13"/>
    <w:rsid w:val="00021A54"/>
    <w:rsid w:val="000225E6"/>
    <w:rsid w:val="0002290D"/>
    <w:rsid w:val="00022F61"/>
    <w:rsid w:val="00023287"/>
    <w:rsid w:val="0002339B"/>
    <w:rsid w:val="00023569"/>
    <w:rsid w:val="00023B5A"/>
    <w:rsid w:val="00023D78"/>
    <w:rsid w:val="0002420B"/>
    <w:rsid w:val="00024951"/>
    <w:rsid w:val="00024F3F"/>
    <w:rsid w:val="00025086"/>
    <w:rsid w:val="000254EB"/>
    <w:rsid w:val="000256FC"/>
    <w:rsid w:val="00025730"/>
    <w:rsid w:val="0002681A"/>
    <w:rsid w:val="00027EF8"/>
    <w:rsid w:val="00030D11"/>
    <w:rsid w:val="00031250"/>
    <w:rsid w:val="000317BB"/>
    <w:rsid w:val="0003181C"/>
    <w:rsid w:val="00031FD3"/>
    <w:rsid w:val="00032005"/>
    <w:rsid w:val="000325BB"/>
    <w:rsid w:val="00033D5D"/>
    <w:rsid w:val="000348AF"/>
    <w:rsid w:val="00035937"/>
    <w:rsid w:val="00035CAC"/>
    <w:rsid w:val="00035E1E"/>
    <w:rsid w:val="000365AC"/>
    <w:rsid w:val="0003746C"/>
    <w:rsid w:val="00037589"/>
    <w:rsid w:val="00037D16"/>
    <w:rsid w:val="000404F7"/>
    <w:rsid w:val="00040C08"/>
    <w:rsid w:val="00040C45"/>
    <w:rsid w:val="00041656"/>
    <w:rsid w:val="0004165A"/>
    <w:rsid w:val="00041988"/>
    <w:rsid w:val="00041B5A"/>
    <w:rsid w:val="00041CE6"/>
    <w:rsid w:val="00041F47"/>
    <w:rsid w:val="00041FF2"/>
    <w:rsid w:val="00042078"/>
    <w:rsid w:val="00042467"/>
    <w:rsid w:val="00042920"/>
    <w:rsid w:val="0004298D"/>
    <w:rsid w:val="000431CE"/>
    <w:rsid w:val="000431E5"/>
    <w:rsid w:val="00043A1A"/>
    <w:rsid w:val="00044325"/>
    <w:rsid w:val="000444D9"/>
    <w:rsid w:val="00045005"/>
    <w:rsid w:val="000459FE"/>
    <w:rsid w:val="00045FC4"/>
    <w:rsid w:val="000465D2"/>
    <w:rsid w:val="00046C70"/>
    <w:rsid w:val="00047823"/>
    <w:rsid w:val="00050185"/>
    <w:rsid w:val="00050252"/>
    <w:rsid w:val="00050F7C"/>
    <w:rsid w:val="00051160"/>
    <w:rsid w:val="00051576"/>
    <w:rsid w:val="00051EAB"/>
    <w:rsid w:val="00052099"/>
    <w:rsid w:val="00052D95"/>
    <w:rsid w:val="00052E2B"/>
    <w:rsid w:val="00053859"/>
    <w:rsid w:val="00053F80"/>
    <w:rsid w:val="0005575A"/>
    <w:rsid w:val="00055982"/>
    <w:rsid w:val="00055A3A"/>
    <w:rsid w:val="00056125"/>
    <w:rsid w:val="00056369"/>
    <w:rsid w:val="00056DCC"/>
    <w:rsid w:val="0005758C"/>
    <w:rsid w:val="000577BE"/>
    <w:rsid w:val="00057C1D"/>
    <w:rsid w:val="00060229"/>
    <w:rsid w:val="00060960"/>
    <w:rsid w:val="00060B1A"/>
    <w:rsid w:val="00061BF0"/>
    <w:rsid w:val="00061E04"/>
    <w:rsid w:val="0006261D"/>
    <w:rsid w:val="00062D24"/>
    <w:rsid w:val="00062E60"/>
    <w:rsid w:val="000633BB"/>
    <w:rsid w:val="00063496"/>
    <w:rsid w:val="000638A5"/>
    <w:rsid w:val="00063BA3"/>
    <w:rsid w:val="000640E4"/>
    <w:rsid w:val="000647A6"/>
    <w:rsid w:val="0006480F"/>
    <w:rsid w:val="000650F0"/>
    <w:rsid w:val="000658E3"/>
    <w:rsid w:val="000661F0"/>
    <w:rsid w:val="00066490"/>
    <w:rsid w:val="00066C62"/>
    <w:rsid w:val="00067519"/>
    <w:rsid w:val="000676D9"/>
    <w:rsid w:val="00070DAF"/>
    <w:rsid w:val="0007124E"/>
    <w:rsid w:val="00071693"/>
    <w:rsid w:val="00072031"/>
    <w:rsid w:val="00072D48"/>
    <w:rsid w:val="00072F32"/>
    <w:rsid w:val="00073D3A"/>
    <w:rsid w:val="0007471E"/>
    <w:rsid w:val="00074A21"/>
    <w:rsid w:val="00074CCC"/>
    <w:rsid w:val="00074D01"/>
    <w:rsid w:val="00075399"/>
    <w:rsid w:val="000754FE"/>
    <w:rsid w:val="0007567B"/>
    <w:rsid w:val="000756AA"/>
    <w:rsid w:val="0007612C"/>
    <w:rsid w:val="000763AE"/>
    <w:rsid w:val="00076504"/>
    <w:rsid w:val="0007704F"/>
    <w:rsid w:val="00080097"/>
    <w:rsid w:val="000805CF"/>
    <w:rsid w:val="00081BDF"/>
    <w:rsid w:val="00082076"/>
    <w:rsid w:val="000822AA"/>
    <w:rsid w:val="0008247E"/>
    <w:rsid w:val="00082F1A"/>
    <w:rsid w:val="000832F3"/>
    <w:rsid w:val="00083679"/>
    <w:rsid w:val="00083CCE"/>
    <w:rsid w:val="00084311"/>
    <w:rsid w:val="00084769"/>
    <w:rsid w:val="00084A56"/>
    <w:rsid w:val="00084C4F"/>
    <w:rsid w:val="00085695"/>
    <w:rsid w:val="000858F5"/>
    <w:rsid w:val="00086594"/>
    <w:rsid w:val="00087071"/>
    <w:rsid w:val="000903F0"/>
    <w:rsid w:val="00090761"/>
    <w:rsid w:val="0009139F"/>
    <w:rsid w:val="00091F69"/>
    <w:rsid w:val="000927A8"/>
    <w:rsid w:val="00093587"/>
    <w:rsid w:val="0009384C"/>
    <w:rsid w:val="000946A6"/>
    <w:rsid w:val="00094CF9"/>
    <w:rsid w:val="00094E66"/>
    <w:rsid w:val="00094E90"/>
    <w:rsid w:val="00095045"/>
    <w:rsid w:val="00095369"/>
    <w:rsid w:val="000955DE"/>
    <w:rsid w:val="00095A56"/>
    <w:rsid w:val="00095F49"/>
    <w:rsid w:val="00096338"/>
    <w:rsid w:val="00096783"/>
    <w:rsid w:val="000A0267"/>
    <w:rsid w:val="000A03C0"/>
    <w:rsid w:val="000A1761"/>
    <w:rsid w:val="000A1809"/>
    <w:rsid w:val="000A1B57"/>
    <w:rsid w:val="000A1ED3"/>
    <w:rsid w:val="000A2901"/>
    <w:rsid w:val="000A323C"/>
    <w:rsid w:val="000A32E1"/>
    <w:rsid w:val="000A331C"/>
    <w:rsid w:val="000A33EC"/>
    <w:rsid w:val="000A3913"/>
    <w:rsid w:val="000A3CF6"/>
    <w:rsid w:val="000A3D51"/>
    <w:rsid w:val="000A5497"/>
    <w:rsid w:val="000A5CD8"/>
    <w:rsid w:val="000A652C"/>
    <w:rsid w:val="000A6AC3"/>
    <w:rsid w:val="000A769D"/>
    <w:rsid w:val="000B0160"/>
    <w:rsid w:val="000B0E0C"/>
    <w:rsid w:val="000B1340"/>
    <w:rsid w:val="000B18F6"/>
    <w:rsid w:val="000B2154"/>
    <w:rsid w:val="000B222B"/>
    <w:rsid w:val="000B2EC3"/>
    <w:rsid w:val="000B3207"/>
    <w:rsid w:val="000B3329"/>
    <w:rsid w:val="000B3A6F"/>
    <w:rsid w:val="000B43F7"/>
    <w:rsid w:val="000B4EFD"/>
    <w:rsid w:val="000B5408"/>
    <w:rsid w:val="000B5E35"/>
    <w:rsid w:val="000B5F22"/>
    <w:rsid w:val="000B61A4"/>
    <w:rsid w:val="000B6817"/>
    <w:rsid w:val="000B6B49"/>
    <w:rsid w:val="000C046A"/>
    <w:rsid w:val="000C1AE9"/>
    <w:rsid w:val="000C212F"/>
    <w:rsid w:val="000C3AE1"/>
    <w:rsid w:val="000C424F"/>
    <w:rsid w:val="000C4ECF"/>
    <w:rsid w:val="000C50C8"/>
    <w:rsid w:val="000C5246"/>
    <w:rsid w:val="000C6B50"/>
    <w:rsid w:val="000C6E13"/>
    <w:rsid w:val="000C75F0"/>
    <w:rsid w:val="000C77E7"/>
    <w:rsid w:val="000C7873"/>
    <w:rsid w:val="000D09DA"/>
    <w:rsid w:val="000D0D02"/>
    <w:rsid w:val="000D167C"/>
    <w:rsid w:val="000D1FB9"/>
    <w:rsid w:val="000D2402"/>
    <w:rsid w:val="000D2475"/>
    <w:rsid w:val="000D28B6"/>
    <w:rsid w:val="000D2BA4"/>
    <w:rsid w:val="000D2F5E"/>
    <w:rsid w:val="000D3178"/>
    <w:rsid w:val="000D449F"/>
    <w:rsid w:val="000D44E3"/>
    <w:rsid w:val="000D456B"/>
    <w:rsid w:val="000D4647"/>
    <w:rsid w:val="000D47A2"/>
    <w:rsid w:val="000D49B7"/>
    <w:rsid w:val="000D52AD"/>
    <w:rsid w:val="000D5699"/>
    <w:rsid w:val="000D5F7F"/>
    <w:rsid w:val="000D66A7"/>
    <w:rsid w:val="000D66F1"/>
    <w:rsid w:val="000D6753"/>
    <w:rsid w:val="000D7781"/>
    <w:rsid w:val="000E0415"/>
    <w:rsid w:val="000E1294"/>
    <w:rsid w:val="000E13AE"/>
    <w:rsid w:val="000E1424"/>
    <w:rsid w:val="000E2ABD"/>
    <w:rsid w:val="000E316B"/>
    <w:rsid w:val="000E3B78"/>
    <w:rsid w:val="000E4D31"/>
    <w:rsid w:val="000E5E32"/>
    <w:rsid w:val="000E608E"/>
    <w:rsid w:val="000E63A9"/>
    <w:rsid w:val="000E6A2F"/>
    <w:rsid w:val="000E6AE8"/>
    <w:rsid w:val="000E7089"/>
    <w:rsid w:val="000E7A49"/>
    <w:rsid w:val="000E7ACB"/>
    <w:rsid w:val="000E7E4D"/>
    <w:rsid w:val="000F0859"/>
    <w:rsid w:val="000F0940"/>
    <w:rsid w:val="000F133C"/>
    <w:rsid w:val="000F156F"/>
    <w:rsid w:val="000F186B"/>
    <w:rsid w:val="000F222F"/>
    <w:rsid w:val="000F2ECA"/>
    <w:rsid w:val="000F3089"/>
    <w:rsid w:val="000F30D1"/>
    <w:rsid w:val="000F34E8"/>
    <w:rsid w:val="000F3851"/>
    <w:rsid w:val="000F3F46"/>
    <w:rsid w:val="000F4BF2"/>
    <w:rsid w:val="000F52BC"/>
    <w:rsid w:val="000F54B6"/>
    <w:rsid w:val="000F5ED7"/>
    <w:rsid w:val="000F7FBB"/>
    <w:rsid w:val="0010034D"/>
    <w:rsid w:val="00100C52"/>
    <w:rsid w:val="00100D83"/>
    <w:rsid w:val="00100E4F"/>
    <w:rsid w:val="00101620"/>
    <w:rsid w:val="001026EE"/>
    <w:rsid w:val="00102A3D"/>
    <w:rsid w:val="00105A28"/>
    <w:rsid w:val="0010661B"/>
    <w:rsid w:val="00106727"/>
    <w:rsid w:val="00106D2B"/>
    <w:rsid w:val="00107744"/>
    <w:rsid w:val="00111023"/>
    <w:rsid w:val="001110D4"/>
    <w:rsid w:val="00111E15"/>
    <w:rsid w:val="001120E5"/>
    <w:rsid w:val="00112313"/>
    <w:rsid w:val="00112423"/>
    <w:rsid w:val="00112453"/>
    <w:rsid w:val="001127A1"/>
    <w:rsid w:val="00112F33"/>
    <w:rsid w:val="001137D0"/>
    <w:rsid w:val="00114C40"/>
    <w:rsid w:val="0011584F"/>
    <w:rsid w:val="00115F2E"/>
    <w:rsid w:val="00116A02"/>
    <w:rsid w:val="00120334"/>
    <w:rsid w:val="001210B1"/>
    <w:rsid w:val="00121745"/>
    <w:rsid w:val="001246B2"/>
    <w:rsid w:val="00126B5B"/>
    <w:rsid w:val="001275EC"/>
    <w:rsid w:val="001304A1"/>
    <w:rsid w:val="0013080C"/>
    <w:rsid w:val="001310AB"/>
    <w:rsid w:val="00131593"/>
    <w:rsid w:val="00131E2E"/>
    <w:rsid w:val="0013261E"/>
    <w:rsid w:val="001329C2"/>
    <w:rsid w:val="00133656"/>
    <w:rsid w:val="00133AC4"/>
    <w:rsid w:val="00133E32"/>
    <w:rsid w:val="00133E67"/>
    <w:rsid w:val="00134B89"/>
    <w:rsid w:val="001350BA"/>
    <w:rsid w:val="001357BA"/>
    <w:rsid w:val="00135FDB"/>
    <w:rsid w:val="001367B0"/>
    <w:rsid w:val="00136845"/>
    <w:rsid w:val="00136C3D"/>
    <w:rsid w:val="00136CD3"/>
    <w:rsid w:val="00136FE8"/>
    <w:rsid w:val="00141448"/>
    <w:rsid w:val="00141DCF"/>
    <w:rsid w:val="00143A09"/>
    <w:rsid w:val="00145EC2"/>
    <w:rsid w:val="00146C1C"/>
    <w:rsid w:val="001474E1"/>
    <w:rsid w:val="00147D51"/>
    <w:rsid w:val="00147F6C"/>
    <w:rsid w:val="00151830"/>
    <w:rsid w:val="00151911"/>
    <w:rsid w:val="00151D1C"/>
    <w:rsid w:val="00151ECA"/>
    <w:rsid w:val="001523B5"/>
    <w:rsid w:val="001523E9"/>
    <w:rsid w:val="00152CAB"/>
    <w:rsid w:val="001531AC"/>
    <w:rsid w:val="00155559"/>
    <w:rsid w:val="00155ACC"/>
    <w:rsid w:val="00155DDC"/>
    <w:rsid w:val="00156144"/>
    <w:rsid w:val="00156442"/>
    <w:rsid w:val="00156910"/>
    <w:rsid w:val="001600CC"/>
    <w:rsid w:val="0016030C"/>
    <w:rsid w:val="0016057F"/>
    <w:rsid w:val="0016096C"/>
    <w:rsid w:val="00160B75"/>
    <w:rsid w:val="001624DE"/>
    <w:rsid w:val="00162E62"/>
    <w:rsid w:val="001636EC"/>
    <w:rsid w:val="00163B8D"/>
    <w:rsid w:val="00163D33"/>
    <w:rsid w:val="00164929"/>
    <w:rsid w:val="00164B91"/>
    <w:rsid w:val="00164C1D"/>
    <w:rsid w:val="0016582D"/>
    <w:rsid w:val="00165846"/>
    <w:rsid w:val="001674AD"/>
    <w:rsid w:val="001675D0"/>
    <w:rsid w:val="0016797A"/>
    <w:rsid w:val="0017019F"/>
    <w:rsid w:val="00170236"/>
    <w:rsid w:val="00170684"/>
    <w:rsid w:val="00170D2A"/>
    <w:rsid w:val="001715A2"/>
    <w:rsid w:val="0017253E"/>
    <w:rsid w:val="00172D51"/>
    <w:rsid w:val="00173BD6"/>
    <w:rsid w:val="00173E61"/>
    <w:rsid w:val="00174BD5"/>
    <w:rsid w:val="0017503E"/>
    <w:rsid w:val="001756F7"/>
    <w:rsid w:val="0017680B"/>
    <w:rsid w:val="0017688D"/>
    <w:rsid w:val="00180A16"/>
    <w:rsid w:val="00181585"/>
    <w:rsid w:val="00182067"/>
    <w:rsid w:val="001820FF"/>
    <w:rsid w:val="00182A17"/>
    <w:rsid w:val="001834CB"/>
    <w:rsid w:val="0018434B"/>
    <w:rsid w:val="00184660"/>
    <w:rsid w:val="0018497F"/>
    <w:rsid w:val="00184A13"/>
    <w:rsid w:val="00184BFD"/>
    <w:rsid w:val="00184EB6"/>
    <w:rsid w:val="00184F54"/>
    <w:rsid w:val="00185D4F"/>
    <w:rsid w:val="00185FA1"/>
    <w:rsid w:val="00186367"/>
    <w:rsid w:val="0018657B"/>
    <w:rsid w:val="00186A71"/>
    <w:rsid w:val="00186AAA"/>
    <w:rsid w:val="001873ED"/>
    <w:rsid w:val="0018743D"/>
    <w:rsid w:val="0018760B"/>
    <w:rsid w:val="001876E0"/>
    <w:rsid w:val="00187E5F"/>
    <w:rsid w:val="0019027F"/>
    <w:rsid w:val="00191A6C"/>
    <w:rsid w:val="001921C0"/>
    <w:rsid w:val="00192A2F"/>
    <w:rsid w:val="00192C81"/>
    <w:rsid w:val="00192F16"/>
    <w:rsid w:val="001940CD"/>
    <w:rsid w:val="001945BB"/>
    <w:rsid w:val="00194733"/>
    <w:rsid w:val="00195631"/>
    <w:rsid w:val="00195653"/>
    <w:rsid w:val="00196077"/>
    <w:rsid w:val="00196210"/>
    <w:rsid w:val="00196CA3"/>
    <w:rsid w:val="00196F55"/>
    <w:rsid w:val="00197C60"/>
    <w:rsid w:val="00197C8C"/>
    <w:rsid w:val="001A021D"/>
    <w:rsid w:val="001A18A0"/>
    <w:rsid w:val="001A1A72"/>
    <w:rsid w:val="001A29D1"/>
    <w:rsid w:val="001A3DDF"/>
    <w:rsid w:val="001A51D8"/>
    <w:rsid w:val="001A664A"/>
    <w:rsid w:val="001A6ED6"/>
    <w:rsid w:val="001A7EC8"/>
    <w:rsid w:val="001B03EC"/>
    <w:rsid w:val="001B041B"/>
    <w:rsid w:val="001B10E6"/>
    <w:rsid w:val="001B1387"/>
    <w:rsid w:val="001B24DD"/>
    <w:rsid w:val="001B2733"/>
    <w:rsid w:val="001B2741"/>
    <w:rsid w:val="001B2991"/>
    <w:rsid w:val="001B2BEF"/>
    <w:rsid w:val="001B377D"/>
    <w:rsid w:val="001B4305"/>
    <w:rsid w:val="001B4D3E"/>
    <w:rsid w:val="001B5090"/>
    <w:rsid w:val="001B5183"/>
    <w:rsid w:val="001B5967"/>
    <w:rsid w:val="001B598F"/>
    <w:rsid w:val="001B60AA"/>
    <w:rsid w:val="001B6273"/>
    <w:rsid w:val="001B6CDC"/>
    <w:rsid w:val="001B7005"/>
    <w:rsid w:val="001B764D"/>
    <w:rsid w:val="001B7B15"/>
    <w:rsid w:val="001C0F7A"/>
    <w:rsid w:val="001C11BE"/>
    <w:rsid w:val="001C1428"/>
    <w:rsid w:val="001C309D"/>
    <w:rsid w:val="001C32A0"/>
    <w:rsid w:val="001C44A5"/>
    <w:rsid w:val="001C487B"/>
    <w:rsid w:val="001C4AB9"/>
    <w:rsid w:val="001C5D72"/>
    <w:rsid w:val="001C5F4C"/>
    <w:rsid w:val="001C5FE5"/>
    <w:rsid w:val="001C7793"/>
    <w:rsid w:val="001C781D"/>
    <w:rsid w:val="001D003F"/>
    <w:rsid w:val="001D0368"/>
    <w:rsid w:val="001D09A6"/>
    <w:rsid w:val="001D0FC5"/>
    <w:rsid w:val="001D1DAA"/>
    <w:rsid w:val="001D256B"/>
    <w:rsid w:val="001D35D5"/>
    <w:rsid w:val="001D3723"/>
    <w:rsid w:val="001D4090"/>
    <w:rsid w:val="001D5113"/>
    <w:rsid w:val="001D5371"/>
    <w:rsid w:val="001D6262"/>
    <w:rsid w:val="001D7538"/>
    <w:rsid w:val="001D7AF6"/>
    <w:rsid w:val="001D7C9F"/>
    <w:rsid w:val="001E06B3"/>
    <w:rsid w:val="001E0ACC"/>
    <w:rsid w:val="001E0E66"/>
    <w:rsid w:val="001E1B8D"/>
    <w:rsid w:val="001E1BE2"/>
    <w:rsid w:val="001E2378"/>
    <w:rsid w:val="001E255A"/>
    <w:rsid w:val="001E2C51"/>
    <w:rsid w:val="001E3482"/>
    <w:rsid w:val="001E3C7C"/>
    <w:rsid w:val="001E3E15"/>
    <w:rsid w:val="001E3F92"/>
    <w:rsid w:val="001E54BA"/>
    <w:rsid w:val="001E6195"/>
    <w:rsid w:val="001E6304"/>
    <w:rsid w:val="001E6815"/>
    <w:rsid w:val="001E6EC9"/>
    <w:rsid w:val="001E6F09"/>
    <w:rsid w:val="001E74E3"/>
    <w:rsid w:val="001E7533"/>
    <w:rsid w:val="001E7978"/>
    <w:rsid w:val="001F094E"/>
    <w:rsid w:val="001F0A33"/>
    <w:rsid w:val="001F136F"/>
    <w:rsid w:val="001F2136"/>
    <w:rsid w:val="001F315D"/>
    <w:rsid w:val="001F329A"/>
    <w:rsid w:val="001F32C4"/>
    <w:rsid w:val="001F34F6"/>
    <w:rsid w:val="001F3993"/>
    <w:rsid w:val="001F422B"/>
    <w:rsid w:val="001F4239"/>
    <w:rsid w:val="001F483E"/>
    <w:rsid w:val="001F4AE1"/>
    <w:rsid w:val="001F5B8F"/>
    <w:rsid w:val="001F6364"/>
    <w:rsid w:val="001F68F2"/>
    <w:rsid w:val="001F7317"/>
    <w:rsid w:val="001F74FF"/>
    <w:rsid w:val="001F78E3"/>
    <w:rsid w:val="00200D6A"/>
    <w:rsid w:val="002014D3"/>
    <w:rsid w:val="00201919"/>
    <w:rsid w:val="00202828"/>
    <w:rsid w:val="00202933"/>
    <w:rsid w:val="00202A3C"/>
    <w:rsid w:val="002035B5"/>
    <w:rsid w:val="00203C72"/>
    <w:rsid w:val="00203FC9"/>
    <w:rsid w:val="0020443E"/>
    <w:rsid w:val="00204695"/>
    <w:rsid w:val="0020500A"/>
    <w:rsid w:val="002052DA"/>
    <w:rsid w:val="002055B3"/>
    <w:rsid w:val="00205A61"/>
    <w:rsid w:val="00205E7B"/>
    <w:rsid w:val="002061BE"/>
    <w:rsid w:val="00207333"/>
    <w:rsid w:val="00207716"/>
    <w:rsid w:val="00207E43"/>
    <w:rsid w:val="00207EAA"/>
    <w:rsid w:val="00210852"/>
    <w:rsid w:val="0021230B"/>
    <w:rsid w:val="00213651"/>
    <w:rsid w:val="002138F2"/>
    <w:rsid w:val="0021435F"/>
    <w:rsid w:val="002144E8"/>
    <w:rsid w:val="00214568"/>
    <w:rsid w:val="002148BF"/>
    <w:rsid w:val="00214953"/>
    <w:rsid w:val="00215999"/>
    <w:rsid w:val="00215DFD"/>
    <w:rsid w:val="0021630A"/>
    <w:rsid w:val="0021681F"/>
    <w:rsid w:val="002169B9"/>
    <w:rsid w:val="00216EF5"/>
    <w:rsid w:val="00217E73"/>
    <w:rsid w:val="002218DC"/>
    <w:rsid w:val="00221E2F"/>
    <w:rsid w:val="00221FB4"/>
    <w:rsid w:val="00222A80"/>
    <w:rsid w:val="00223006"/>
    <w:rsid w:val="00223872"/>
    <w:rsid w:val="002241BD"/>
    <w:rsid w:val="00224AAB"/>
    <w:rsid w:val="00224E84"/>
    <w:rsid w:val="0022543C"/>
    <w:rsid w:val="0022573A"/>
    <w:rsid w:val="002258EE"/>
    <w:rsid w:val="00226A67"/>
    <w:rsid w:val="002275CD"/>
    <w:rsid w:val="00227849"/>
    <w:rsid w:val="00227ABC"/>
    <w:rsid w:val="00230954"/>
    <w:rsid w:val="00230C52"/>
    <w:rsid w:val="0023148D"/>
    <w:rsid w:val="002314B4"/>
    <w:rsid w:val="002317BF"/>
    <w:rsid w:val="00231905"/>
    <w:rsid w:val="00231F60"/>
    <w:rsid w:val="002336DA"/>
    <w:rsid w:val="00233DDC"/>
    <w:rsid w:val="00233ED8"/>
    <w:rsid w:val="0023455C"/>
    <w:rsid w:val="002347C0"/>
    <w:rsid w:val="002350AF"/>
    <w:rsid w:val="002358C0"/>
    <w:rsid w:val="00235CD3"/>
    <w:rsid w:val="00235FEE"/>
    <w:rsid w:val="00236090"/>
    <w:rsid w:val="0023609B"/>
    <w:rsid w:val="00236606"/>
    <w:rsid w:val="00236646"/>
    <w:rsid w:val="00236BDA"/>
    <w:rsid w:val="0023723D"/>
    <w:rsid w:val="002376B3"/>
    <w:rsid w:val="00237E07"/>
    <w:rsid w:val="002400E3"/>
    <w:rsid w:val="00241094"/>
    <w:rsid w:val="00241693"/>
    <w:rsid w:val="00241E81"/>
    <w:rsid w:val="0024245B"/>
    <w:rsid w:val="00242549"/>
    <w:rsid w:val="002433E4"/>
    <w:rsid w:val="002439D8"/>
    <w:rsid w:val="00243AD6"/>
    <w:rsid w:val="00243F01"/>
    <w:rsid w:val="00244550"/>
    <w:rsid w:val="002445FF"/>
    <w:rsid w:val="002448E0"/>
    <w:rsid w:val="002450EA"/>
    <w:rsid w:val="002452B9"/>
    <w:rsid w:val="00245E03"/>
    <w:rsid w:val="002478C4"/>
    <w:rsid w:val="00247D2F"/>
    <w:rsid w:val="00250752"/>
    <w:rsid w:val="002512C1"/>
    <w:rsid w:val="00251304"/>
    <w:rsid w:val="002513AC"/>
    <w:rsid w:val="0025185E"/>
    <w:rsid w:val="00251A26"/>
    <w:rsid w:val="00252096"/>
    <w:rsid w:val="00252248"/>
    <w:rsid w:val="00252D52"/>
    <w:rsid w:val="00252EC4"/>
    <w:rsid w:val="002532FA"/>
    <w:rsid w:val="00253639"/>
    <w:rsid w:val="002536AF"/>
    <w:rsid w:val="00253AA5"/>
    <w:rsid w:val="00254E1E"/>
    <w:rsid w:val="00255B81"/>
    <w:rsid w:val="00255D0A"/>
    <w:rsid w:val="00256DA5"/>
    <w:rsid w:val="002612B5"/>
    <w:rsid w:val="0026142C"/>
    <w:rsid w:val="002617FB"/>
    <w:rsid w:val="00261B6D"/>
    <w:rsid w:val="002620D1"/>
    <w:rsid w:val="002633E4"/>
    <w:rsid w:val="00263617"/>
    <w:rsid w:val="00263AB4"/>
    <w:rsid w:val="00264289"/>
    <w:rsid w:val="00264E9F"/>
    <w:rsid w:val="00265CD5"/>
    <w:rsid w:val="00266081"/>
    <w:rsid w:val="00266959"/>
    <w:rsid w:val="00266CC5"/>
    <w:rsid w:val="00266D19"/>
    <w:rsid w:val="002670D3"/>
    <w:rsid w:val="002671A1"/>
    <w:rsid w:val="002673D6"/>
    <w:rsid w:val="00267882"/>
    <w:rsid w:val="0026798E"/>
    <w:rsid w:val="00267D1D"/>
    <w:rsid w:val="00271A12"/>
    <w:rsid w:val="002722F6"/>
    <w:rsid w:val="00272C31"/>
    <w:rsid w:val="00273502"/>
    <w:rsid w:val="00273539"/>
    <w:rsid w:val="00273906"/>
    <w:rsid w:val="00274160"/>
    <w:rsid w:val="00274286"/>
    <w:rsid w:val="002743D1"/>
    <w:rsid w:val="00274621"/>
    <w:rsid w:val="002746C5"/>
    <w:rsid w:val="00274D43"/>
    <w:rsid w:val="00274F03"/>
    <w:rsid w:val="00275303"/>
    <w:rsid w:val="00275DFE"/>
    <w:rsid w:val="002766D6"/>
    <w:rsid w:val="00276D74"/>
    <w:rsid w:val="002772A4"/>
    <w:rsid w:val="00277AA9"/>
    <w:rsid w:val="00280993"/>
    <w:rsid w:val="00280F39"/>
    <w:rsid w:val="002810BF"/>
    <w:rsid w:val="002813AD"/>
    <w:rsid w:val="0028214D"/>
    <w:rsid w:val="002822C5"/>
    <w:rsid w:val="00283019"/>
    <w:rsid w:val="00284A94"/>
    <w:rsid w:val="00284B9C"/>
    <w:rsid w:val="00285CD2"/>
    <w:rsid w:val="00286097"/>
    <w:rsid w:val="0028635E"/>
    <w:rsid w:val="0028773F"/>
    <w:rsid w:val="0028774D"/>
    <w:rsid w:val="00287AAB"/>
    <w:rsid w:val="00287E95"/>
    <w:rsid w:val="00291317"/>
    <w:rsid w:val="0029140B"/>
    <w:rsid w:val="00291661"/>
    <w:rsid w:val="00294FA0"/>
    <w:rsid w:val="00295E94"/>
    <w:rsid w:val="00296955"/>
    <w:rsid w:val="00296F3A"/>
    <w:rsid w:val="0029755B"/>
    <w:rsid w:val="002A0B27"/>
    <w:rsid w:val="002A0CB3"/>
    <w:rsid w:val="002A0E68"/>
    <w:rsid w:val="002A0EF6"/>
    <w:rsid w:val="002A160F"/>
    <w:rsid w:val="002A1712"/>
    <w:rsid w:val="002A24E2"/>
    <w:rsid w:val="002A2B13"/>
    <w:rsid w:val="002A4131"/>
    <w:rsid w:val="002A4819"/>
    <w:rsid w:val="002A57D9"/>
    <w:rsid w:val="002A5CDC"/>
    <w:rsid w:val="002A5D6D"/>
    <w:rsid w:val="002A5FA6"/>
    <w:rsid w:val="002A612D"/>
    <w:rsid w:val="002A6ACD"/>
    <w:rsid w:val="002A6E91"/>
    <w:rsid w:val="002A74E4"/>
    <w:rsid w:val="002A7636"/>
    <w:rsid w:val="002A763D"/>
    <w:rsid w:val="002A7E35"/>
    <w:rsid w:val="002B04CE"/>
    <w:rsid w:val="002B1F8E"/>
    <w:rsid w:val="002B2428"/>
    <w:rsid w:val="002B2CF6"/>
    <w:rsid w:val="002B3E0A"/>
    <w:rsid w:val="002B3FD6"/>
    <w:rsid w:val="002B5A61"/>
    <w:rsid w:val="002B649C"/>
    <w:rsid w:val="002B669D"/>
    <w:rsid w:val="002B7834"/>
    <w:rsid w:val="002C050D"/>
    <w:rsid w:val="002C0CF3"/>
    <w:rsid w:val="002C11CB"/>
    <w:rsid w:val="002C158B"/>
    <w:rsid w:val="002C19CB"/>
    <w:rsid w:val="002C23D9"/>
    <w:rsid w:val="002C2D78"/>
    <w:rsid w:val="002C2E14"/>
    <w:rsid w:val="002C2E2A"/>
    <w:rsid w:val="002C30B6"/>
    <w:rsid w:val="002C30D2"/>
    <w:rsid w:val="002C4015"/>
    <w:rsid w:val="002C42DB"/>
    <w:rsid w:val="002C4C0C"/>
    <w:rsid w:val="002C4E47"/>
    <w:rsid w:val="002C5053"/>
    <w:rsid w:val="002C5717"/>
    <w:rsid w:val="002C64DE"/>
    <w:rsid w:val="002C6D13"/>
    <w:rsid w:val="002C7494"/>
    <w:rsid w:val="002C7D7D"/>
    <w:rsid w:val="002C7D8B"/>
    <w:rsid w:val="002C7E4E"/>
    <w:rsid w:val="002D05CC"/>
    <w:rsid w:val="002D0BB0"/>
    <w:rsid w:val="002D0F98"/>
    <w:rsid w:val="002D19B4"/>
    <w:rsid w:val="002D1B13"/>
    <w:rsid w:val="002D2305"/>
    <w:rsid w:val="002D2515"/>
    <w:rsid w:val="002D2BE8"/>
    <w:rsid w:val="002D2C77"/>
    <w:rsid w:val="002D359F"/>
    <w:rsid w:val="002D35BF"/>
    <w:rsid w:val="002D3D00"/>
    <w:rsid w:val="002D475E"/>
    <w:rsid w:val="002D479C"/>
    <w:rsid w:val="002D5B2F"/>
    <w:rsid w:val="002D5F4E"/>
    <w:rsid w:val="002D62BC"/>
    <w:rsid w:val="002D7517"/>
    <w:rsid w:val="002D7928"/>
    <w:rsid w:val="002D79C3"/>
    <w:rsid w:val="002E029D"/>
    <w:rsid w:val="002E098F"/>
    <w:rsid w:val="002E1063"/>
    <w:rsid w:val="002E167D"/>
    <w:rsid w:val="002E1A35"/>
    <w:rsid w:val="002E1A7C"/>
    <w:rsid w:val="002E1C7A"/>
    <w:rsid w:val="002E248B"/>
    <w:rsid w:val="002E28ED"/>
    <w:rsid w:val="002E2E9B"/>
    <w:rsid w:val="002E37EE"/>
    <w:rsid w:val="002E38C9"/>
    <w:rsid w:val="002E3BFF"/>
    <w:rsid w:val="002E3C4A"/>
    <w:rsid w:val="002E4038"/>
    <w:rsid w:val="002E47B0"/>
    <w:rsid w:val="002E48FD"/>
    <w:rsid w:val="002E52AA"/>
    <w:rsid w:val="002E56B9"/>
    <w:rsid w:val="002E5963"/>
    <w:rsid w:val="002E67FA"/>
    <w:rsid w:val="002E6EBC"/>
    <w:rsid w:val="002E779E"/>
    <w:rsid w:val="002F113F"/>
    <w:rsid w:val="002F27FF"/>
    <w:rsid w:val="002F28B5"/>
    <w:rsid w:val="002F2D1D"/>
    <w:rsid w:val="002F382D"/>
    <w:rsid w:val="002F4832"/>
    <w:rsid w:val="002F5C4F"/>
    <w:rsid w:val="002F5E14"/>
    <w:rsid w:val="002F72CD"/>
    <w:rsid w:val="00300019"/>
    <w:rsid w:val="00300B06"/>
    <w:rsid w:val="00301C24"/>
    <w:rsid w:val="00301E7A"/>
    <w:rsid w:val="003022A0"/>
    <w:rsid w:val="003026B2"/>
    <w:rsid w:val="00302891"/>
    <w:rsid w:val="00303219"/>
    <w:rsid w:val="00303309"/>
    <w:rsid w:val="00303C4E"/>
    <w:rsid w:val="00304A48"/>
    <w:rsid w:val="00304D69"/>
    <w:rsid w:val="003053F6"/>
    <w:rsid w:val="003054EE"/>
    <w:rsid w:val="0030644F"/>
    <w:rsid w:val="00306DE4"/>
    <w:rsid w:val="003106BF"/>
    <w:rsid w:val="0031096A"/>
    <w:rsid w:val="003118A2"/>
    <w:rsid w:val="00311B48"/>
    <w:rsid w:val="00311B8B"/>
    <w:rsid w:val="00312059"/>
    <w:rsid w:val="003121CB"/>
    <w:rsid w:val="003122E2"/>
    <w:rsid w:val="003124BA"/>
    <w:rsid w:val="003134DC"/>
    <w:rsid w:val="00313741"/>
    <w:rsid w:val="003139E2"/>
    <w:rsid w:val="00313B83"/>
    <w:rsid w:val="00313D32"/>
    <w:rsid w:val="00313FD6"/>
    <w:rsid w:val="003140FC"/>
    <w:rsid w:val="003142F0"/>
    <w:rsid w:val="00314F42"/>
    <w:rsid w:val="00315F12"/>
    <w:rsid w:val="003160EE"/>
    <w:rsid w:val="003170DF"/>
    <w:rsid w:val="003174A8"/>
    <w:rsid w:val="0031755C"/>
    <w:rsid w:val="00317D3A"/>
    <w:rsid w:val="0032038C"/>
    <w:rsid w:val="003203C3"/>
    <w:rsid w:val="00321745"/>
    <w:rsid w:val="003219B8"/>
    <w:rsid w:val="0032202E"/>
    <w:rsid w:val="003228E7"/>
    <w:rsid w:val="0032298E"/>
    <w:rsid w:val="00322A4C"/>
    <w:rsid w:val="00322C60"/>
    <w:rsid w:val="00323229"/>
    <w:rsid w:val="0032330E"/>
    <w:rsid w:val="0032371F"/>
    <w:rsid w:val="00323742"/>
    <w:rsid w:val="00323868"/>
    <w:rsid w:val="00325221"/>
    <w:rsid w:val="003257A7"/>
    <w:rsid w:val="00326862"/>
    <w:rsid w:val="00327E92"/>
    <w:rsid w:val="003307A0"/>
    <w:rsid w:val="003315A1"/>
    <w:rsid w:val="00331D10"/>
    <w:rsid w:val="00331E43"/>
    <w:rsid w:val="00333C67"/>
    <w:rsid w:val="0033411F"/>
    <w:rsid w:val="00334255"/>
    <w:rsid w:val="00334432"/>
    <w:rsid w:val="0033466E"/>
    <w:rsid w:val="00334FEF"/>
    <w:rsid w:val="003354B8"/>
    <w:rsid w:val="003356AE"/>
    <w:rsid w:val="00336316"/>
    <w:rsid w:val="003366CA"/>
    <w:rsid w:val="00336E82"/>
    <w:rsid w:val="00337315"/>
    <w:rsid w:val="0033735F"/>
    <w:rsid w:val="003406E1"/>
    <w:rsid w:val="003409E2"/>
    <w:rsid w:val="003417D0"/>
    <w:rsid w:val="0034206A"/>
    <w:rsid w:val="00342F9F"/>
    <w:rsid w:val="003436EE"/>
    <w:rsid w:val="00343F9B"/>
    <w:rsid w:val="00344EF6"/>
    <w:rsid w:val="00345ED5"/>
    <w:rsid w:val="00346D23"/>
    <w:rsid w:val="003476C6"/>
    <w:rsid w:val="003502FC"/>
    <w:rsid w:val="00350837"/>
    <w:rsid w:val="00351157"/>
    <w:rsid w:val="00351B24"/>
    <w:rsid w:val="00351B91"/>
    <w:rsid w:val="0035315F"/>
    <w:rsid w:val="003535D5"/>
    <w:rsid w:val="00354103"/>
    <w:rsid w:val="00355177"/>
    <w:rsid w:val="0035527B"/>
    <w:rsid w:val="0035541B"/>
    <w:rsid w:val="00355B62"/>
    <w:rsid w:val="00356981"/>
    <w:rsid w:val="00356A58"/>
    <w:rsid w:val="00356A7E"/>
    <w:rsid w:val="00356C97"/>
    <w:rsid w:val="00356FB6"/>
    <w:rsid w:val="003573FF"/>
    <w:rsid w:val="00357469"/>
    <w:rsid w:val="003575FF"/>
    <w:rsid w:val="003577AB"/>
    <w:rsid w:val="00357934"/>
    <w:rsid w:val="0035795E"/>
    <w:rsid w:val="00357E1F"/>
    <w:rsid w:val="00360823"/>
    <w:rsid w:val="0036191C"/>
    <w:rsid w:val="00361E58"/>
    <w:rsid w:val="00361EF2"/>
    <w:rsid w:val="00362012"/>
    <w:rsid w:val="003623CE"/>
    <w:rsid w:val="003637D2"/>
    <w:rsid w:val="00363C13"/>
    <w:rsid w:val="00365123"/>
    <w:rsid w:val="00365C74"/>
    <w:rsid w:val="003660ED"/>
    <w:rsid w:val="00366749"/>
    <w:rsid w:val="00366CB6"/>
    <w:rsid w:val="003673DB"/>
    <w:rsid w:val="00367425"/>
    <w:rsid w:val="0037160E"/>
    <w:rsid w:val="00371795"/>
    <w:rsid w:val="00372029"/>
    <w:rsid w:val="003745DA"/>
    <w:rsid w:val="00374A42"/>
    <w:rsid w:val="00374A50"/>
    <w:rsid w:val="00374FEF"/>
    <w:rsid w:val="003752C8"/>
    <w:rsid w:val="00375F76"/>
    <w:rsid w:val="003762BD"/>
    <w:rsid w:val="00376829"/>
    <w:rsid w:val="00376E9E"/>
    <w:rsid w:val="003777E0"/>
    <w:rsid w:val="00377F43"/>
    <w:rsid w:val="0038050B"/>
    <w:rsid w:val="00380E99"/>
    <w:rsid w:val="00380EBA"/>
    <w:rsid w:val="00381333"/>
    <w:rsid w:val="0038180E"/>
    <w:rsid w:val="0038250D"/>
    <w:rsid w:val="00382685"/>
    <w:rsid w:val="003838C7"/>
    <w:rsid w:val="00383CD2"/>
    <w:rsid w:val="003855CF"/>
    <w:rsid w:val="003860E1"/>
    <w:rsid w:val="00386295"/>
    <w:rsid w:val="00386F55"/>
    <w:rsid w:val="0038735D"/>
    <w:rsid w:val="003873AC"/>
    <w:rsid w:val="0039003D"/>
    <w:rsid w:val="00390ED6"/>
    <w:rsid w:val="00390F36"/>
    <w:rsid w:val="00391982"/>
    <w:rsid w:val="00392004"/>
    <w:rsid w:val="003924BC"/>
    <w:rsid w:val="00392A2D"/>
    <w:rsid w:val="00392A38"/>
    <w:rsid w:val="00393615"/>
    <w:rsid w:val="00393E05"/>
    <w:rsid w:val="00394FD6"/>
    <w:rsid w:val="0039506B"/>
    <w:rsid w:val="0039555E"/>
    <w:rsid w:val="00395B0C"/>
    <w:rsid w:val="003961A8"/>
    <w:rsid w:val="0039711A"/>
    <w:rsid w:val="00397BC3"/>
    <w:rsid w:val="003A121C"/>
    <w:rsid w:val="003A24F4"/>
    <w:rsid w:val="003A3144"/>
    <w:rsid w:val="003A3DCE"/>
    <w:rsid w:val="003A66C5"/>
    <w:rsid w:val="003A794F"/>
    <w:rsid w:val="003B1294"/>
    <w:rsid w:val="003B1AD3"/>
    <w:rsid w:val="003B21F3"/>
    <w:rsid w:val="003B2DA0"/>
    <w:rsid w:val="003B3082"/>
    <w:rsid w:val="003B310F"/>
    <w:rsid w:val="003B3663"/>
    <w:rsid w:val="003B3D47"/>
    <w:rsid w:val="003B42A1"/>
    <w:rsid w:val="003B5390"/>
    <w:rsid w:val="003B594D"/>
    <w:rsid w:val="003B6F87"/>
    <w:rsid w:val="003C03CF"/>
    <w:rsid w:val="003C0515"/>
    <w:rsid w:val="003C10A1"/>
    <w:rsid w:val="003C120F"/>
    <w:rsid w:val="003C122A"/>
    <w:rsid w:val="003C169F"/>
    <w:rsid w:val="003C18FC"/>
    <w:rsid w:val="003C1E5C"/>
    <w:rsid w:val="003C1FED"/>
    <w:rsid w:val="003C23E4"/>
    <w:rsid w:val="003C2777"/>
    <w:rsid w:val="003C2D41"/>
    <w:rsid w:val="003C2E11"/>
    <w:rsid w:val="003C311A"/>
    <w:rsid w:val="003C321D"/>
    <w:rsid w:val="003C3B53"/>
    <w:rsid w:val="003C3F15"/>
    <w:rsid w:val="003C413E"/>
    <w:rsid w:val="003C4B67"/>
    <w:rsid w:val="003C4BEA"/>
    <w:rsid w:val="003C4C9D"/>
    <w:rsid w:val="003C50A8"/>
    <w:rsid w:val="003C5669"/>
    <w:rsid w:val="003C64AB"/>
    <w:rsid w:val="003C6535"/>
    <w:rsid w:val="003C6FCF"/>
    <w:rsid w:val="003C7263"/>
    <w:rsid w:val="003C7BF5"/>
    <w:rsid w:val="003C7BFA"/>
    <w:rsid w:val="003D0649"/>
    <w:rsid w:val="003D0A51"/>
    <w:rsid w:val="003D0AF0"/>
    <w:rsid w:val="003D0E14"/>
    <w:rsid w:val="003D1267"/>
    <w:rsid w:val="003D1E32"/>
    <w:rsid w:val="003D1F58"/>
    <w:rsid w:val="003D200B"/>
    <w:rsid w:val="003D251E"/>
    <w:rsid w:val="003D2ECD"/>
    <w:rsid w:val="003D31DD"/>
    <w:rsid w:val="003D3A50"/>
    <w:rsid w:val="003D3B99"/>
    <w:rsid w:val="003D48F5"/>
    <w:rsid w:val="003D4BFF"/>
    <w:rsid w:val="003D4D83"/>
    <w:rsid w:val="003D552E"/>
    <w:rsid w:val="003D686A"/>
    <w:rsid w:val="003D68A4"/>
    <w:rsid w:val="003D6F0D"/>
    <w:rsid w:val="003E014D"/>
    <w:rsid w:val="003E09D7"/>
    <w:rsid w:val="003E0BEB"/>
    <w:rsid w:val="003E15EC"/>
    <w:rsid w:val="003E211F"/>
    <w:rsid w:val="003E24BD"/>
    <w:rsid w:val="003E278D"/>
    <w:rsid w:val="003E3EEA"/>
    <w:rsid w:val="003E4214"/>
    <w:rsid w:val="003E46C0"/>
    <w:rsid w:val="003E4F1F"/>
    <w:rsid w:val="003E4F5A"/>
    <w:rsid w:val="003E5076"/>
    <w:rsid w:val="003E56F6"/>
    <w:rsid w:val="003E62CB"/>
    <w:rsid w:val="003E64CE"/>
    <w:rsid w:val="003E6AF4"/>
    <w:rsid w:val="003E6B61"/>
    <w:rsid w:val="003E6CEA"/>
    <w:rsid w:val="003E7286"/>
    <w:rsid w:val="003E74CF"/>
    <w:rsid w:val="003E7A15"/>
    <w:rsid w:val="003F0C9B"/>
    <w:rsid w:val="003F10E8"/>
    <w:rsid w:val="003F1507"/>
    <w:rsid w:val="003F1A21"/>
    <w:rsid w:val="003F1AD0"/>
    <w:rsid w:val="003F27FB"/>
    <w:rsid w:val="003F317F"/>
    <w:rsid w:val="003F3297"/>
    <w:rsid w:val="003F3632"/>
    <w:rsid w:val="003F381C"/>
    <w:rsid w:val="003F4060"/>
    <w:rsid w:val="003F4756"/>
    <w:rsid w:val="003F4E9F"/>
    <w:rsid w:val="003F5369"/>
    <w:rsid w:val="003F6266"/>
    <w:rsid w:val="003F67FF"/>
    <w:rsid w:val="003F7573"/>
    <w:rsid w:val="00400154"/>
    <w:rsid w:val="0040135A"/>
    <w:rsid w:val="004018F7"/>
    <w:rsid w:val="0040197D"/>
    <w:rsid w:val="00401E93"/>
    <w:rsid w:val="00402242"/>
    <w:rsid w:val="00402BBD"/>
    <w:rsid w:val="00403F8C"/>
    <w:rsid w:val="004043BF"/>
    <w:rsid w:val="00404D1F"/>
    <w:rsid w:val="00405CF7"/>
    <w:rsid w:val="00405D73"/>
    <w:rsid w:val="00405EA2"/>
    <w:rsid w:val="004060C6"/>
    <w:rsid w:val="0040672B"/>
    <w:rsid w:val="00406B0B"/>
    <w:rsid w:val="00406BD7"/>
    <w:rsid w:val="0040700C"/>
    <w:rsid w:val="00407149"/>
    <w:rsid w:val="0040730B"/>
    <w:rsid w:val="004073B2"/>
    <w:rsid w:val="00407EC0"/>
    <w:rsid w:val="0041098A"/>
    <w:rsid w:val="00410C01"/>
    <w:rsid w:val="00410C56"/>
    <w:rsid w:val="00410FC7"/>
    <w:rsid w:val="00411670"/>
    <w:rsid w:val="00411ADA"/>
    <w:rsid w:val="004122D8"/>
    <w:rsid w:val="00412D77"/>
    <w:rsid w:val="004137DB"/>
    <w:rsid w:val="00413AA5"/>
    <w:rsid w:val="00413C4F"/>
    <w:rsid w:val="00413D26"/>
    <w:rsid w:val="00413D3C"/>
    <w:rsid w:val="004140D4"/>
    <w:rsid w:val="004142AC"/>
    <w:rsid w:val="004155EC"/>
    <w:rsid w:val="00416105"/>
    <w:rsid w:val="00416587"/>
    <w:rsid w:val="00416938"/>
    <w:rsid w:val="00417435"/>
    <w:rsid w:val="0041749E"/>
    <w:rsid w:val="004176E4"/>
    <w:rsid w:val="00417C4B"/>
    <w:rsid w:val="0042088F"/>
    <w:rsid w:val="004208F0"/>
    <w:rsid w:val="004209E6"/>
    <w:rsid w:val="004213CB"/>
    <w:rsid w:val="00424188"/>
    <w:rsid w:val="004250A3"/>
    <w:rsid w:val="004253D5"/>
    <w:rsid w:val="00425CAC"/>
    <w:rsid w:val="004260F8"/>
    <w:rsid w:val="0042681A"/>
    <w:rsid w:val="00426CDE"/>
    <w:rsid w:val="00426D0B"/>
    <w:rsid w:val="0042772D"/>
    <w:rsid w:val="00427F34"/>
    <w:rsid w:val="004305A4"/>
    <w:rsid w:val="004306E1"/>
    <w:rsid w:val="004308C7"/>
    <w:rsid w:val="004310B9"/>
    <w:rsid w:val="0043130F"/>
    <w:rsid w:val="004318CA"/>
    <w:rsid w:val="00431A7A"/>
    <w:rsid w:val="004320EB"/>
    <w:rsid w:val="0043299A"/>
    <w:rsid w:val="00432EB8"/>
    <w:rsid w:val="004333F2"/>
    <w:rsid w:val="004334C7"/>
    <w:rsid w:val="004336F4"/>
    <w:rsid w:val="0043469C"/>
    <w:rsid w:val="004351EF"/>
    <w:rsid w:val="00435790"/>
    <w:rsid w:val="00435FDD"/>
    <w:rsid w:val="00436506"/>
    <w:rsid w:val="00436952"/>
    <w:rsid w:val="00436E64"/>
    <w:rsid w:val="004375DE"/>
    <w:rsid w:val="004416A2"/>
    <w:rsid w:val="00441C01"/>
    <w:rsid w:val="00442504"/>
    <w:rsid w:val="004426C1"/>
    <w:rsid w:val="00442AB9"/>
    <w:rsid w:val="00442CFC"/>
    <w:rsid w:val="00442E82"/>
    <w:rsid w:val="00443021"/>
    <w:rsid w:val="00443D9F"/>
    <w:rsid w:val="00444087"/>
    <w:rsid w:val="00444830"/>
    <w:rsid w:val="00447789"/>
    <w:rsid w:val="00447939"/>
    <w:rsid w:val="00447D11"/>
    <w:rsid w:val="00447ECA"/>
    <w:rsid w:val="004504D2"/>
    <w:rsid w:val="00450534"/>
    <w:rsid w:val="0045071A"/>
    <w:rsid w:val="00452267"/>
    <w:rsid w:val="00452B22"/>
    <w:rsid w:val="00452BC5"/>
    <w:rsid w:val="004530CC"/>
    <w:rsid w:val="00453B34"/>
    <w:rsid w:val="00453BF0"/>
    <w:rsid w:val="00453EE3"/>
    <w:rsid w:val="00454766"/>
    <w:rsid w:val="00454B13"/>
    <w:rsid w:val="004553A9"/>
    <w:rsid w:val="004566BA"/>
    <w:rsid w:val="00457630"/>
    <w:rsid w:val="00457DFF"/>
    <w:rsid w:val="004601C2"/>
    <w:rsid w:val="0046032D"/>
    <w:rsid w:val="00460570"/>
    <w:rsid w:val="00460ABA"/>
    <w:rsid w:val="00460CEE"/>
    <w:rsid w:val="00461010"/>
    <w:rsid w:val="00461044"/>
    <w:rsid w:val="0046136A"/>
    <w:rsid w:val="00462170"/>
    <w:rsid w:val="004625AE"/>
    <w:rsid w:val="0046302F"/>
    <w:rsid w:val="00463299"/>
    <w:rsid w:val="00464220"/>
    <w:rsid w:val="00465116"/>
    <w:rsid w:val="0046557D"/>
    <w:rsid w:val="00465C1B"/>
    <w:rsid w:val="00465F7E"/>
    <w:rsid w:val="004661A0"/>
    <w:rsid w:val="004667F0"/>
    <w:rsid w:val="00466958"/>
    <w:rsid w:val="00466A1F"/>
    <w:rsid w:val="004674EE"/>
    <w:rsid w:val="004677FB"/>
    <w:rsid w:val="00467964"/>
    <w:rsid w:val="004679AD"/>
    <w:rsid w:val="00470036"/>
    <w:rsid w:val="0047095F"/>
    <w:rsid w:val="00470BB6"/>
    <w:rsid w:val="00470C02"/>
    <w:rsid w:val="00470FCE"/>
    <w:rsid w:val="004717D0"/>
    <w:rsid w:val="00472909"/>
    <w:rsid w:val="00472BDA"/>
    <w:rsid w:val="00473E8A"/>
    <w:rsid w:val="004745FC"/>
    <w:rsid w:val="00474AE7"/>
    <w:rsid w:val="0047555B"/>
    <w:rsid w:val="00475D9F"/>
    <w:rsid w:val="00476110"/>
    <w:rsid w:val="0047615F"/>
    <w:rsid w:val="004761E0"/>
    <w:rsid w:val="00476375"/>
    <w:rsid w:val="0047667C"/>
    <w:rsid w:val="004767B5"/>
    <w:rsid w:val="00477D03"/>
    <w:rsid w:val="004817E7"/>
    <w:rsid w:val="00481A52"/>
    <w:rsid w:val="00481ED5"/>
    <w:rsid w:val="004823F9"/>
    <w:rsid w:val="00482668"/>
    <w:rsid w:val="004827A9"/>
    <w:rsid w:val="004827D3"/>
    <w:rsid w:val="004830DE"/>
    <w:rsid w:val="004848AE"/>
    <w:rsid w:val="00484CA6"/>
    <w:rsid w:val="00484FF0"/>
    <w:rsid w:val="004850CA"/>
    <w:rsid w:val="00485193"/>
    <w:rsid w:val="00485486"/>
    <w:rsid w:val="004858C8"/>
    <w:rsid w:val="00485CB7"/>
    <w:rsid w:val="00486014"/>
    <w:rsid w:val="00486576"/>
    <w:rsid w:val="004867F1"/>
    <w:rsid w:val="00486CCE"/>
    <w:rsid w:val="00487FD2"/>
    <w:rsid w:val="0049018D"/>
    <w:rsid w:val="0049027D"/>
    <w:rsid w:val="00490906"/>
    <w:rsid w:val="00490908"/>
    <w:rsid w:val="0049123F"/>
    <w:rsid w:val="00491469"/>
    <w:rsid w:val="00491658"/>
    <w:rsid w:val="00492AC0"/>
    <w:rsid w:val="0049337C"/>
    <w:rsid w:val="004943D7"/>
    <w:rsid w:val="00494B37"/>
    <w:rsid w:val="00494DE8"/>
    <w:rsid w:val="00495473"/>
    <w:rsid w:val="0049557B"/>
    <w:rsid w:val="00495FAE"/>
    <w:rsid w:val="0049612C"/>
    <w:rsid w:val="00497967"/>
    <w:rsid w:val="004A024F"/>
    <w:rsid w:val="004A054B"/>
    <w:rsid w:val="004A0C94"/>
    <w:rsid w:val="004A0FCF"/>
    <w:rsid w:val="004A155D"/>
    <w:rsid w:val="004A1686"/>
    <w:rsid w:val="004A24A9"/>
    <w:rsid w:val="004A2C6D"/>
    <w:rsid w:val="004A3707"/>
    <w:rsid w:val="004A38B0"/>
    <w:rsid w:val="004A410D"/>
    <w:rsid w:val="004A4C40"/>
    <w:rsid w:val="004A4D81"/>
    <w:rsid w:val="004A52A7"/>
    <w:rsid w:val="004A6CBE"/>
    <w:rsid w:val="004A6D10"/>
    <w:rsid w:val="004B0C29"/>
    <w:rsid w:val="004B1151"/>
    <w:rsid w:val="004B13FE"/>
    <w:rsid w:val="004B2181"/>
    <w:rsid w:val="004B22B9"/>
    <w:rsid w:val="004B2CC4"/>
    <w:rsid w:val="004B2FD7"/>
    <w:rsid w:val="004B38A9"/>
    <w:rsid w:val="004B4F04"/>
    <w:rsid w:val="004B5C33"/>
    <w:rsid w:val="004B5E91"/>
    <w:rsid w:val="004B629E"/>
    <w:rsid w:val="004B632D"/>
    <w:rsid w:val="004B664C"/>
    <w:rsid w:val="004B6BD6"/>
    <w:rsid w:val="004B6DE6"/>
    <w:rsid w:val="004B7238"/>
    <w:rsid w:val="004B729E"/>
    <w:rsid w:val="004B7AFE"/>
    <w:rsid w:val="004B7DF7"/>
    <w:rsid w:val="004C1BC4"/>
    <w:rsid w:val="004C1DD6"/>
    <w:rsid w:val="004C23C0"/>
    <w:rsid w:val="004C3747"/>
    <w:rsid w:val="004C3764"/>
    <w:rsid w:val="004C3F08"/>
    <w:rsid w:val="004C4CF8"/>
    <w:rsid w:val="004C59E0"/>
    <w:rsid w:val="004C5A1E"/>
    <w:rsid w:val="004C5EFA"/>
    <w:rsid w:val="004C6D4F"/>
    <w:rsid w:val="004C71A6"/>
    <w:rsid w:val="004C7257"/>
    <w:rsid w:val="004C7702"/>
    <w:rsid w:val="004C7904"/>
    <w:rsid w:val="004C79BF"/>
    <w:rsid w:val="004D0AEC"/>
    <w:rsid w:val="004D0C14"/>
    <w:rsid w:val="004D103E"/>
    <w:rsid w:val="004D149B"/>
    <w:rsid w:val="004D16F9"/>
    <w:rsid w:val="004D1C9C"/>
    <w:rsid w:val="004D206B"/>
    <w:rsid w:val="004D315F"/>
    <w:rsid w:val="004D3822"/>
    <w:rsid w:val="004D3996"/>
    <w:rsid w:val="004D470A"/>
    <w:rsid w:val="004D486F"/>
    <w:rsid w:val="004D6633"/>
    <w:rsid w:val="004E01DB"/>
    <w:rsid w:val="004E0CC6"/>
    <w:rsid w:val="004E12A7"/>
    <w:rsid w:val="004E2640"/>
    <w:rsid w:val="004E2724"/>
    <w:rsid w:val="004E2C08"/>
    <w:rsid w:val="004E38A7"/>
    <w:rsid w:val="004E3D8A"/>
    <w:rsid w:val="004E40BB"/>
    <w:rsid w:val="004E4145"/>
    <w:rsid w:val="004E4188"/>
    <w:rsid w:val="004E4357"/>
    <w:rsid w:val="004E4521"/>
    <w:rsid w:val="004E471D"/>
    <w:rsid w:val="004E49B7"/>
    <w:rsid w:val="004E4BE2"/>
    <w:rsid w:val="004E51DB"/>
    <w:rsid w:val="004E5386"/>
    <w:rsid w:val="004E6E05"/>
    <w:rsid w:val="004E76A7"/>
    <w:rsid w:val="004E796A"/>
    <w:rsid w:val="004E7A56"/>
    <w:rsid w:val="004E7C07"/>
    <w:rsid w:val="004E7FC7"/>
    <w:rsid w:val="004F0096"/>
    <w:rsid w:val="004F10C6"/>
    <w:rsid w:val="004F1A5D"/>
    <w:rsid w:val="004F1B28"/>
    <w:rsid w:val="004F1BFB"/>
    <w:rsid w:val="004F1F49"/>
    <w:rsid w:val="004F28B5"/>
    <w:rsid w:val="004F2DAB"/>
    <w:rsid w:val="004F3684"/>
    <w:rsid w:val="004F3C3F"/>
    <w:rsid w:val="004F3E73"/>
    <w:rsid w:val="004F3F20"/>
    <w:rsid w:val="004F4444"/>
    <w:rsid w:val="004F48E8"/>
    <w:rsid w:val="004F499E"/>
    <w:rsid w:val="004F52A2"/>
    <w:rsid w:val="004F5412"/>
    <w:rsid w:val="004F546E"/>
    <w:rsid w:val="004F5E76"/>
    <w:rsid w:val="004F729A"/>
    <w:rsid w:val="004F74AB"/>
    <w:rsid w:val="00500FFC"/>
    <w:rsid w:val="00501007"/>
    <w:rsid w:val="00501AAF"/>
    <w:rsid w:val="00502091"/>
    <w:rsid w:val="0050241D"/>
    <w:rsid w:val="00502828"/>
    <w:rsid w:val="00502A0C"/>
    <w:rsid w:val="005030EE"/>
    <w:rsid w:val="0050354F"/>
    <w:rsid w:val="00503E0D"/>
    <w:rsid w:val="005041B4"/>
    <w:rsid w:val="005065D1"/>
    <w:rsid w:val="00507082"/>
    <w:rsid w:val="00507128"/>
    <w:rsid w:val="00507401"/>
    <w:rsid w:val="00507956"/>
    <w:rsid w:val="00507CEA"/>
    <w:rsid w:val="005104EF"/>
    <w:rsid w:val="00510FD9"/>
    <w:rsid w:val="00511E21"/>
    <w:rsid w:val="00512358"/>
    <w:rsid w:val="00513B56"/>
    <w:rsid w:val="00514133"/>
    <w:rsid w:val="00514330"/>
    <w:rsid w:val="00515048"/>
    <w:rsid w:val="005157AB"/>
    <w:rsid w:val="005159CD"/>
    <w:rsid w:val="00515B13"/>
    <w:rsid w:val="0051629A"/>
    <w:rsid w:val="005167C8"/>
    <w:rsid w:val="00516E3B"/>
    <w:rsid w:val="005171D6"/>
    <w:rsid w:val="005173FC"/>
    <w:rsid w:val="00517A54"/>
    <w:rsid w:val="00517F87"/>
    <w:rsid w:val="005207A6"/>
    <w:rsid w:val="00520E6E"/>
    <w:rsid w:val="005210D0"/>
    <w:rsid w:val="00521BF4"/>
    <w:rsid w:val="00521D27"/>
    <w:rsid w:val="00521FB7"/>
    <w:rsid w:val="00523E16"/>
    <w:rsid w:val="00523F1E"/>
    <w:rsid w:val="005241AD"/>
    <w:rsid w:val="00524EF6"/>
    <w:rsid w:val="00525850"/>
    <w:rsid w:val="00525B3B"/>
    <w:rsid w:val="00525BF2"/>
    <w:rsid w:val="005264CF"/>
    <w:rsid w:val="00526D6B"/>
    <w:rsid w:val="00526FB8"/>
    <w:rsid w:val="00527097"/>
    <w:rsid w:val="005270E6"/>
    <w:rsid w:val="005272EA"/>
    <w:rsid w:val="00527A00"/>
    <w:rsid w:val="00527C30"/>
    <w:rsid w:val="00530182"/>
    <w:rsid w:val="005316C1"/>
    <w:rsid w:val="005323F5"/>
    <w:rsid w:val="00533EE6"/>
    <w:rsid w:val="005341C7"/>
    <w:rsid w:val="00535E8F"/>
    <w:rsid w:val="00536648"/>
    <w:rsid w:val="00536D71"/>
    <w:rsid w:val="005372DA"/>
    <w:rsid w:val="00537D52"/>
    <w:rsid w:val="00540209"/>
    <w:rsid w:val="00540C29"/>
    <w:rsid w:val="00540C7B"/>
    <w:rsid w:val="00540F6C"/>
    <w:rsid w:val="00542296"/>
    <w:rsid w:val="00542657"/>
    <w:rsid w:val="00542BA6"/>
    <w:rsid w:val="00542EB1"/>
    <w:rsid w:val="00543207"/>
    <w:rsid w:val="0054324F"/>
    <w:rsid w:val="005435ED"/>
    <w:rsid w:val="0054513C"/>
    <w:rsid w:val="00546114"/>
    <w:rsid w:val="00546A22"/>
    <w:rsid w:val="00546EEB"/>
    <w:rsid w:val="00546FDD"/>
    <w:rsid w:val="005504BE"/>
    <w:rsid w:val="00550A40"/>
    <w:rsid w:val="00551BEE"/>
    <w:rsid w:val="00551D9F"/>
    <w:rsid w:val="00552036"/>
    <w:rsid w:val="0055255D"/>
    <w:rsid w:val="00552A4C"/>
    <w:rsid w:val="00553547"/>
    <w:rsid w:val="0055398D"/>
    <w:rsid w:val="00553A04"/>
    <w:rsid w:val="00554CBC"/>
    <w:rsid w:val="00555711"/>
    <w:rsid w:val="005572B8"/>
    <w:rsid w:val="00557C5E"/>
    <w:rsid w:val="00561907"/>
    <w:rsid w:val="00561C4C"/>
    <w:rsid w:val="00561F77"/>
    <w:rsid w:val="00562038"/>
    <w:rsid w:val="00562614"/>
    <w:rsid w:val="00562B84"/>
    <w:rsid w:val="00563141"/>
    <w:rsid w:val="005632B3"/>
    <w:rsid w:val="0056331B"/>
    <w:rsid w:val="005635BC"/>
    <w:rsid w:val="00563CE9"/>
    <w:rsid w:val="00564241"/>
    <w:rsid w:val="00564471"/>
    <w:rsid w:val="00564746"/>
    <w:rsid w:val="00564A36"/>
    <w:rsid w:val="00564E2B"/>
    <w:rsid w:val="00565B99"/>
    <w:rsid w:val="00566F47"/>
    <w:rsid w:val="005670D3"/>
    <w:rsid w:val="005677F7"/>
    <w:rsid w:val="005706F7"/>
    <w:rsid w:val="0057147C"/>
    <w:rsid w:val="00571CEA"/>
    <w:rsid w:val="00572E0B"/>
    <w:rsid w:val="005730A2"/>
    <w:rsid w:val="0057333B"/>
    <w:rsid w:val="00573435"/>
    <w:rsid w:val="00574466"/>
    <w:rsid w:val="0057479E"/>
    <w:rsid w:val="00574D42"/>
    <w:rsid w:val="00575373"/>
    <w:rsid w:val="00575823"/>
    <w:rsid w:val="0057582C"/>
    <w:rsid w:val="00575A11"/>
    <w:rsid w:val="00576142"/>
    <w:rsid w:val="00576DC2"/>
    <w:rsid w:val="00577FE3"/>
    <w:rsid w:val="0058017E"/>
    <w:rsid w:val="00580B1B"/>
    <w:rsid w:val="00580BCE"/>
    <w:rsid w:val="00580CE2"/>
    <w:rsid w:val="00581265"/>
    <w:rsid w:val="005813E8"/>
    <w:rsid w:val="005818F1"/>
    <w:rsid w:val="0058196C"/>
    <w:rsid w:val="00582337"/>
    <w:rsid w:val="00582DE0"/>
    <w:rsid w:val="00583106"/>
    <w:rsid w:val="00583918"/>
    <w:rsid w:val="00583BCD"/>
    <w:rsid w:val="00583DFA"/>
    <w:rsid w:val="00583FC5"/>
    <w:rsid w:val="005849CD"/>
    <w:rsid w:val="00584E50"/>
    <w:rsid w:val="00586A45"/>
    <w:rsid w:val="00586CDF"/>
    <w:rsid w:val="00586FB1"/>
    <w:rsid w:val="0058747E"/>
    <w:rsid w:val="00587B94"/>
    <w:rsid w:val="00590305"/>
    <w:rsid w:val="00590473"/>
    <w:rsid w:val="00590770"/>
    <w:rsid w:val="00590980"/>
    <w:rsid w:val="00590D0A"/>
    <w:rsid w:val="00591ECD"/>
    <w:rsid w:val="0059239E"/>
    <w:rsid w:val="00593402"/>
    <w:rsid w:val="005937BE"/>
    <w:rsid w:val="00593C40"/>
    <w:rsid w:val="00593D44"/>
    <w:rsid w:val="00595B52"/>
    <w:rsid w:val="005962B5"/>
    <w:rsid w:val="00596A03"/>
    <w:rsid w:val="00596BF1"/>
    <w:rsid w:val="005974D3"/>
    <w:rsid w:val="005A01E7"/>
    <w:rsid w:val="005A0590"/>
    <w:rsid w:val="005A0D9D"/>
    <w:rsid w:val="005A1011"/>
    <w:rsid w:val="005A25B0"/>
    <w:rsid w:val="005A3019"/>
    <w:rsid w:val="005A3875"/>
    <w:rsid w:val="005A3C2D"/>
    <w:rsid w:val="005A3D89"/>
    <w:rsid w:val="005A4286"/>
    <w:rsid w:val="005A462F"/>
    <w:rsid w:val="005A4B11"/>
    <w:rsid w:val="005A5ADB"/>
    <w:rsid w:val="005A5C9E"/>
    <w:rsid w:val="005A5CB7"/>
    <w:rsid w:val="005A5E07"/>
    <w:rsid w:val="005A71EA"/>
    <w:rsid w:val="005A79E3"/>
    <w:rsid w:val="005B0892"/>
    <w:rsid w:val="005B09C2"/>
    <w:rsid w:val="005B1398"/>
    <w:rsid w:val="005B143A"/>
    <w:rsid w:val="005B17D4"/>
    <w:rsid w:val="005B4042"/>
    <w:rsid w:val="005B40AB"/>
    <w:rsid w:val="005B41C9"/>
    <w:rsid w:val="005B52D7"/>
    <w:rsid w:val="005B5333"/>
    <w:rsid w:val="005B538F"/>
    <w:rsid w:val="005B7000"/>
    <w:rsid w:val="005B70CA"/>
    <w:rsid w:val="005B7C2D"/>
    <w:rsid w:val="005B7D08"/>
    <w:rsid w:val="005B7DD5"/>
    <w:rsid w:val="005C015D"/>
    <w:rsid w:val="005C08D1"/>
    <w:rsid w:val="005C145C"/>
    <w:rsid w:val="005C2167"/>
    <w:rsid w:val="005C2532"/>
    <w:rsid w:val="005C3281"/>
    <w:rsid w:val="005C3786"/>
    <w:rsid w:val="005C3CE0"/>
    <w:rsid w:val="005C4D7A"/>
    <w:rsid w:val="005C5247"/>
    <w:rsid w:val="005C5303"/>
    <w:rsid w:val="005C6508"/>
    <w:rsid w:val="005C6C9E"/>
    <w:rsid w:val="005C700B"/>
    <w:rsid w:val="005C705C"/>
    <w:rsid w:val="005C7106"/>
    <w:rsid w:val="005C7562"/>
    <w:rsid w:val="005C77BC"/>
    <w:rsid w:val="005C7C70"/>
    <w:rsid w:val="005C7CA0"/>
    <w:rsid w:val="005D04C1"/>
    <w:rsid w:val="005D0972"/>
    <w:rsid w:val="005D0973"/>
    <w:rsid w:val="005D0BED"/>
    <w:rsid w:val="005D0C11"/>
    <w:rsid w:val="005D2227"/>
    <w:rsid w:val="005D2313"/>
    <w:rsid w:val="005D268B"/>
    <w:rsid w:val="005D31B3"/>
    <w:rsid w:val="005D35CD"/>
    <w:rsid w:val="005D3C11"/>
    <w:rsid w:val="005D3E12"/>
    <w:rsid w:val="005D4ADF"/>
    <w:rsid w:val="005D4B78"/>
    <w:rsid w:val="005D5149"/>
    <w:rsid w:val="005D5384"/>
    <w:rsid w:val="005D5EF4"/>
    <w:rsid w:val="005D6DE1"/>
    <w:rsid w:val="005D7385"/>
    <w:rsid w:val="005D7781"/>
    <w:rsid w:val="005D79DA"/>
    <w:rsid w:val="005E1E44"/>
    <w:rsid w:val="005E22D9"/>
    <w:rsid w:val="005E2E83"/>
    <w:rsid w:val="005E313A"/>
    <w:rsid w:val="005E38CA"/>
    <w:rsid w:val="005E3A06"/>
    <w:rsid w:val="005E3B33"/>
    <w:rsid w:val="005E476F"/>
    <w:rsid w:val="005E487E"/>
    <w:rsid w:val="005E4DC3"/>
    <w:rsid w:val="005E4FA9"/>
    <w:rsid w:val="005E516B"/>
    <w:rsid w:val="005E5444"/>
    <w:rsid w:val="005E627F"/>
    <w:rsid w:val="005E6E4D"/>
    <w:rsid w:val="005E75E3"/>
    <w:rsid w:val="005F00C2"/>
    <w:rsid w:val="005F1583"/>
    <w:rsid w:val="005F1BC3"/>
    <w:rsid w:val="005F23C4"/>
    <w:rsid w:val="005F2E33"/>
    <w:rsid w:val="005F5013"/>
    <w:rsid w:val="005F53A7"/>
    <w:rsid w:val="005F571C"/>
    <w:rsid w:val="005F591C"/>
    <w:rsid w:val="005F5C93"/>
    <w:rsid w:val="005F5CFE"/>
    <w:rsid w:val="005F5E52"/>
    <w:rsid w:val="005F65D0"/>
    <w:rsid w:val="005F70E1"/>
    <w:rsid w:val="005F77AC"/>
    <w:rsid w:val="00600088"/>
    <w:rsid w:val="0060090F"/>
    <w:rsid w:val="006010B1"/>
    <w:rsid w:val="00601193"/>
    <w:rsid w:val="0060129F"/>
    <w:rsid w:val="0060219B"/>
    <w:rsid w:val="006024EC"/>
    <w:rsid w:val="006027E2"/>
    <w:rsid w:val="00602A72"/>
    <w:rsid w:val="0060392D"/>
    <w:rsid w:val="00603D40"/>
    <w:rsid w:val="0060551E"/>
    <w:rsid w:val="00605739"/>
    <w:rsid w:val="00605AA5"/>
    <w:rsid w:val="006064A6"/>
    <w:rsid w:val="00606774"/>
    <w:rsid w:val="00606EA8"/>
    <w:rsid w:val="0060740B"/>
    <w:rsid w:val="00607974"/>
    <w:rsid w:val="00610520"/>
    <w:rsid w:val="00610A57"/>
    <w:rsid w:val="00610BDD"/>
    <w:rsid w:val="00611125"/>
    <w:rsid w:val="006111C3"/>
    <w:rsid w:val="00611971"/>
    <w:rsid w:val="006121B4"/>
    <w:rsid w:val="00613157"/>
    <w:rsid w:val="00613364"/>
    <w:rsid w:val="006144A3"/>
    <w:rsid w:val="00614773"/>
    <w:rsid w:val="00615C69"/>
    <w:rsid w:val="00615D90"/>
    <w:rsid w:val="006161E2"/>
    <w:rsid w:val="006162F3"/>
    <w:rsid w:val="00616800"/>
    <w:rsid w:val="00616946"/>
    <w:rsid w:val="006170BA"/>
    <w:rsid w:val="006172F0"/>
    <w:rsid w:val="0061742C"/>
    <w:rsid w:val="00617513"/>
    <w:rsid w:val="00617892"/>
    <w:rsid w:val="00617D27"/>
    <w:rsid w:val="006207CD"/>
    <w:rsid w:val="00620D56"/>
    <w:rsid w:val="006215F3"/>
    <w:rsid w:val="006222C9"/>
    <w:rsid w:val="006225A4"/>
    <w:rsid w:val="006229CA"/>
    <w:rsid w:val="0062320C"/>
    <w:rsid w:val="006237E7"/>
    <w:rsid w:val="0062380D"/>
    <w:rsid w:val="00623E65"/>
    <w:rsid w:val="006249C1"/>
    <w:rsid w:val="00624A53"/>
    <w:rsid w:val="006257C9"/>
    <w:rsid w:val="0062725D"/>
    <w:rsid w:val="006274AB"/>
    <w:rsid w:val="00630988"/>
    <w:rsid w:val="00630FCF"/>
    <w:rsid w:val="006313C4"/>
    <w:rsid w:val="00632AA1"/>
    <w:rsid w:val="00632E05"/>
    <w:rsid w:val="00632EB2"/>
    <w:rsid w:val="00633809"/>
    <w:rsid w:val="006347B9"/>
    <w:rsid w:val="006351EA"/>
    <w:rsid w:val="006359A7"/>
    <w:rsid w:val="00635AD7"/>
    <w:rsid w:val="006362DE"/>
    <w:rsid w:val="00636429"/>
    <w:rsid w:val="006378F6"/>
    <w:rsid w:val="00637E36"/>
    <w:rsid w:val="00640386"/>
    <w:rsid w:val="0064168F"/>
    <w:rsid w:val="006417CA"/>
    <w:rsid w:val="0064251A"/>
    <w:rsid w:val="00642CCA"/>
    <w:rsid w:val="00642FED"/>
    <w:rsid w:val="006441D2"/>
    <w:rsid w:val="006445A5"/>
    <w:rsid w:val="00644ACD"/>
    <w:rsid w:val="00644AF8"/>
    <w:rsid w:val="00644D63"/>
    <w:rsid w:val="00645061"/>
    <w:rsid w:val="006457EF"/>
    <w:rsid w:val="006459AA"/>
    <w:rsid w:val="00645E83"/>
    <w:rsid w:val="00646F17"/>
    <w:rsid w:val="00647637"/>
    <w:rsid w:val="006504F1"/>
    <w:rsid w:val="00651930"/>
    <w:rsid w:val="00651945"/>
    <w:rsid w:val="00651CD2"/>
    <w:rsid w:val="00651E60"/>
    <w:rsid w:val="00652A26"/>
    <w:rsid w:val="006548C6"/>
    <w:rsid w:val="006570C7"/>
    <w:rsid w:val="006575D5"/>
    <w:rsid w:val="006579F7"/>
    <w:rsid w:val="006603F4"/>
    <w:rsid w:val="00660CC2"/>
    <w:rsid w:val="0066174F"/>
    <w:rsid w:val="00661F60"/>
    <w:rsid w:val="00662273"/>
    <w:rsid w:val="00662463"/>
    <w:rsid w:val="00662DF0"/>
    <w:rsid w:val="00662F7F"/>
    <w:rsid w:val="00663390"/>
    <w:rsid w:val="006637F3"/>
    <w:rsid w:val="00663AFC"/>
    <w:rsid w:val="00664A98"/>
    <w:rsid w:val="006650DD"/>
    <w:rsid w:val="00665751"/>
    <w:rsid w:val="00665B0E"/>
    <w:rsid w:val="00665DEB"/>
    <w:rsid w:val="00666195"/>
    <w:rsid w:val="006668C1"/>
    <w:rsid w:val="00666BED"/>
    <w:rsid w:val="0066781E"/>
    <w:rsid w:val="006706A9"/>
    <w:rsid w:val="006717C9"/>
    <w:rsid w:val="00671B83"/>
    <w:rsid w:val="00671E42"/>
    <w:rsid w:val="00672513"/>
    <w:rsid w:val="0067274C"/>
    <w:rsid w:val="00673377"/>
    <w:rsid w:val="006739FE"/>
    <w:rsid w:val="00674DD6"/>
    <w:rsid w:val="00674FF0"/>
    <w:rsid w:val="00675D79"/>
    <w:rsid w:val="006779C9"/>
    <w:rsid w:val="00677F4C"/>
    <w:rsid w:val="006805A5"/>
    <w:rsid w:val="0068078B"/>
    <w:rsid w:val="006809C8"/>
    <w:rsid w:val="006810E2"/>
    <w:rsid w:val="00681C20"/>
    <w:rsid w:val="00682744"/>
    <w:rsid w:val="00682CCE"/>
    <w:rsid w:val="0068645A"/>
    <w:rsid w:val="006867E3"/>
    <w:rsid w:val="00686B1C"/>
    <w:rsid w:val="00690FDF"/>
    <w:rsid w:val="006913B8"/>
    <w:rsid w:val="006915CA"/>
    <w:rsid w:val="006921F4"/>
    <w:rsid w:val="006929CA"/>
    <w:rsid w:val="00692EA9"/>
    <w:rsid w:val="00693A5A"/>
    <w:rsid w:val="00694433"/>
    <w:rsid w:val="00694489"/>
    <w:rsid w:val="006948A0"/>
    <w:rsid w:val="00694986"/>
    <w:rsid w:val="006949C6"/>
    <w:rsid w:val="00694D48"/>
    <w:rsid w:val="00694EAC"/>
    <w:rsid w:val="00695677"/>
    <w:rsid w:val="00695DB6"/>
    <w:rsid w:val="00696905"/>
    <w:rsid w:val="006977B8"/>
    <w:rsid w:val="00697FAF"/>
    <w:rsid w:val="006A14EA"/>
    <w:rsid w:val="006A182F"/>
    <w:rsid w:val="006A213B"/>
    <w:rsid w:val="006A2C1C"/>
    <w:rsid w:val="006A5261"/>
    <w:rsid w:val="006A5F62"/>
    <w:rsid w:val="006A6714"/>
    <w:rsid w:val="006A692F"/>
    <w:rsid w:val="006A76F8"/>
    <w:rsid w:val="006A7760"/>
    <w:rsid w:val="006A77C5"/>
    <w:rsid w:val="006A7825"/>
    <w:rsid w:val="006B04EB"/>
    <w:rsid w:val="006B0B06"/>
    <w:rsid w:val="006B2697"/>
    <w:rsid w:val="006B2899"/>
    <w:rsid w:val="006B2A9F"/>
    <w:rsid w:val="006B2C42"/>
    <w:rsid w:val="006B3C14"/>
    <w:rsid w:val="006B3C93"/>
    <w:rsid w:val="006B43B7"/>
    <w:rsid w:val="006B44EB"/>
    <w:rsid w:val="006B4944"/>
    <w:rsid w:val="006B4B51"/>
    <w:rsid w:val="006B4D28"/>
    <w:rsid w:val="006B518B"/>
    <w:rsid w:val="006B53EE"/>
    <w:rsid w:val="006B5621"/>
    <w:rsid w:val="006B674F"/>
    <w:rsid w:val="006B6C30"/>
    <w:rsid w:val="006B709F"/>
    <w:rsid w:val="006B7729"/>
    <w:rsid w:val="006B7F25"/>
    <w:rsid w:val="006C0D26"/>
    <w:rsid w:val="006C1008"/>
    <w:rsid w:val="006C1AA1"/>
    <w:rsid w:val="006C1D2E"/>
    <w:rsid w:val="006C26E1"/>
    <w:rsid w:val="006C2751"/>
    <w:rsid w:val="006C3DA8"/>
    <w:rsid w:val="006C4015"/>
    <w:rsid w:val="006C45A4"/>
    <w:rsid w:val="006C4CED"/>
    <w:rsid w:val="006C5069"/>
    <w:rsid w:val="006C57E2"/>
    <w:rsid w:val="006C5D44"/>
    <w:rsid w:val="006C65A7"/>
    <w:rsid w:val="006C65D7"/>
    <w:rsid w:val="006C7D6D"/>
    <w:rsid w:val="006D0A57"/>
    <w:rsid w:val="006D1444"/>
    <w:rsid w:val="006D16CB"/>
    <w:rsid w:val="006D26A1"/>
    <w:rsid w:val="006D316A"/>
    <w:rsid w:val="006D366B"/>
    <w:rsid w:val="006D4515"/>
    <w:rsid w:val="006D4B1B"/>
    <w:rsid w:val="006D54EA"/>
    <w:rsid w:val="006D59BA"/>
    <w:rsid w:val="006D6982"/>
    <w:rsid w:val="006D6BAF"/>
    <w:rsid w:val="006D6D6A"/>
    <w:rsid w:val="006D707A"/>
    <w:rsid w:val="006D73F4"/>
    <w:rsid w:val="006D7AF9"/>
    <w:rsid w:val="006E097E"/>
    <w:rsid w:val="006E33B9"/>
    <w:rsid w:val="006E3AC3"/>
    <w:rsid w:val="006E4087"/>
    <w:rsid w:val="006E41C8"/>
    <w:rsid w:val="006E5B98"/>
    <w:rsid w:val="006E6149"/>
    <w:rsid w:val="006E624A"/>
    <w:rsid w:val="006E65AF"/>
    <w:rsid w:val="006E6D2D"/>
    <w:rsid w:val="006E6E34"/>
    <w:rsid w:val="006E713B"/>
    <w:rsid w:val="006E7536"/>
    <w:rsid w:val="006E7627"/>
    <w:rsid w:val="006E77BC"/>
    <w:rsid w:val="006E7D05"/>
    <w:rsid w:val="006E7EEF"/>
    <w:rsid w:val="006F011C"/>
    <w:rsid w:val="006F10E4"/>
    <w:rsid w:val="006F1135"/>
    <w:rsid w:val="006F1622"/>
    <w:rsid w:val="006F1EEE"/>
    <w:rsid w:val="006F206C"/>
    <w:rsid w:val="006F2DC9"/>
    <w:rsid w:val="006F2FD6"/>
    <w:rsid w:val="006F30E8"/>
    <w:rsid w:val="006F31C1"/>
    <w:rsid w:val="006F377B"/>
    <w:rsid w:val="006F3C8E"/>
    <w:rsid w:val="006F4E60"/>
    <w:rsid w:val="006F4FB8"/>
    <w:rsid w:val="006F518F"/>
    <w:rsid w:val="006F62E1"/>
    <w:rsid w:val="006F6A33"/>
    <w:rsid w:val="00700FCF"/>
    <w:rsid w:val="0070129A"/>
    <w:rsid w:val="00701444"/>
    <w:rsid w:val="0070181D"/>
    <w:rsid w:val="00701EF7"/>
    <w:rsid w:val="00702322"/>
    <w:rsid w:val="00702A4C"/>
    <w:rsid w:val="00702E86"/>
    <w:rsid w:val="00703055"/>
    <w:rsid w:val="007033AC"/>
    <w:rsid w:val="007035D7"/>
    <w:rsid w:val="00704690"/>
    <w:rsid w:val="00704B3A"/>
    <w:rsid w:val="00704C3E"/>
    <w:rsid w:val="0070514C"/>
    <w:rsid w:val="007064D9"/>
    <w:rsid w:val="00706C96"/>
    <w:rsid w:val="00706E3E"/>
    <w:rsid w:val="00707480"/>
    <w:rsid w:val="007074D3"/>
    <w:rsid w:val="007077BE"/>
    <w:rsid w:val="00707840"/>
    <w:rsid w:val="007078F2"/>
    <w:rsid w:val="00710863"/>
    <w:rsid w:val="00710D88"/>
    <w:rsid w:val="00710E84"/>
    <w:rsid w:val="00710EDB"/>
    <w:rsid w:val="00710EEB"/>
    <w:rsid w:val="00711A7D"/>
    <w:rsid w:val="00711FE2"/>
    <w:rsid w:val="00712199"/>
    <w:rsid w:val="00713675"/>
    <w:rsid w:val="007138B4"/>
    <w:rsid w:val="007138EF"/>
    <w:rsid w:val="0071427B"/>
    <w:rsid w:val="00714F5A"/>
    <w:rsid w:val="0071559B"/>
    <w:rsid w:val="00715734"/>
    <w:rsid w:val="00715A38"/>
    <w:rsid w:val="00715BAE"/>
    <w:rsid w:val="00715BDE"/>
    <w:rsid w:val="0071653A"/>
    <w:rsid w:val="007166B1"/>
    <w:rsid w:val="00716D0E"/>
    <w:rsid w:val="00716F64"/>
    <w:rsid w:val="00720D6F"/>
    <w:rsid w:val="0072149C"/>
    <w:rsid w:val="00721B08"/>
    <w:rsid w:val="00721BF1"/>
    <w:rsid w:val="00723B4E"/>
    <w:rsid w:val="00723C08"/>
    <w:rsid w:val="00724467"/>
    <w:rsid w:val="00724655"/>
    <w:rsid w:val="007265A3"/>
    <w:rsid w:val="007266D0"/>
    <w:rsid w:val="00726E74"/>
    <w:rsid w:val="00727301"/>
    <w:rsid w:val="00727D94"/>
    <w:rsid w:val="00727FF8"/>
    <w:rsid w:val="00730338"/>
    <w:rsid w:val="00730568"/>
    <w:rsid w:val="007306B5"/>
    <w:rsid w:val="007320FD"/>
    <w:rsid w:val="00732B28"/>
    <w:rsid w:val="00732B7D"/>
    <w:rsid w:val="00732B86"/>
    <w:rsid w:val="00733DCA"/>
    <w:rsid w:val="00734043"/>
    <w:rsid w:val="00734A9A"/>
    <w:rsid w:val="00734CB3"/>
    <w:rsid w:val="00734EAC"/>
    <w:rsid w:val="00735384"/>
    <w:rsid w:val="0073578F"/>
    <w:rsid w:val="00735B49"/>
    <w:rsid w:val="00735CA3"/>
    <w:rsid w:val="007368DB"/>
    <w:rsid w:val="00737587"/>
    <w:rsid w:val="00737A86"/>
    <w:rsid w:val="00737C5A"/>
    <w:rsid w:val="00740778"/>
    <w:rsid w:val="00741920"/>
    <w:rsid w:val="00741BBE"/>
    <w:rsid w:val="00741FCB"/>
    <w:rsid w:val="0074217F"/>
    <w:rsid w:val="0074329A"/>
    <w:rsid w:val="00743362"/>
    <w:rsid w:val="00744DBC"/>
    <w:rsid w:val="007451F4"/>
    <w:rsid w:val="00745346"/>
    <w:rsid w:val="00745442"/>
    <w:rsid w:val="00745CC2"/>
    <w:rsid w:val="00746F9A"/>
    <w:rsid w:val="007473BD"/>
    <w:rsid w:val="00750016"/>
    <w:rsid w:val="0075064A"/>
    <w:rsid w:val="00750EEC"/>
    <w:rsid w:val="007510E1"/>
    <w:rsid w:val="00751112"/>
    <w:rsid w:val="0075121F"/>
    <w:rsid w:val="00751306"/>
    <w:rsid w:val="007515DE"/>
    <w:rsid w:val="00751835"/>
    <w:rsid w:val="00752D2D"/>
    <w:rsid w:val="00754198"/>
    <w:rsid w:val="0075501D"/>
    <w:rsid w:val="007552D9"/>
    <w:rsid w:val="00755313"/>
    <w:rsid w:val="00756EB0"/>
    <w:rsid w:val="007575F5"/>
    <w:rsid w:val="00757AE1"/>
    <w:rsid w:val="0076053D"/>
    <w:rsid w:val="007606A4"/>
    <w:rsid w:val="00760781"/>
    <w:rsid w:val="00760A20"/>
    <w:rsid w:val="00761405"/>
    <w:rsid w:val="00761DE2"/>
    <w:rsid w:val="007620AA"/>
    <w:rsid w:val="007621A0"/>
    <w:rsid w:val="007631BA"/>
    <w:rsid w:val="0076373A"/>
    <w:rsid w:val="00763BBC"/>
    <w:rsid w:val="007646F4"/>
    <w:rsid w:val="00764A45"/>
    <w:rsid w:val="00764B82"/>
    <w:rsid w:val="00764DD4"/>
    <w:rsid w:val="0076579D"/>
    <w:rsid w:val="007670C8"/>
    <w:rsid w:val="00767E0A"/>
    <w:rsid w:val="00767F48"/>
    <w:rsid w:val="00770186"/>
    <w:rsid w:val="007704E7"/>
    <w:rsid w:val="00770D88"/>
    <w:rsid w:val="007716FD"/>
    <w:rsid w:val="007717E6"/>
    <w:rsid w:val="0077198E"/>
    <w:rsid w:val="00772020"/>
    <w:rsid w:val="0077317B"/>
    <w:rsid w:val="00773FA5"/>
    <w:rsid w:val="00774FA2"/>
    <w:rsid w:val="00774FE4"/>
    <w:rsid w:val="00775064"/>
    <w:rsid w:val="007754F0"/>
    <w:rsid w:val="0077644A"/>
    <w:rsid w:val="00776F77"/>
    <w:rsid w:val="007771DB"/>
    <w:rsid w:val="00777FFD"/>
    <w:rsid w:val="00780ADA"/>
    <w:rsid w:val="00781143"/>
    <w:rsid w:val="007811A3"/>
    <w:rsid w:val="007811B2"/>
    <w:rsid w:val="00783045"/>
    <w:rsid w:val="0078349F"/>
    <w:rsid w:val="00783BD9"/>
    <w:rsid w:val="00783FEB"/>
    <w:rsid w:val="0078415B"/>
    <w:rsid w:val="00785488"/>
    <w:rsid w:val="00785A7A"/>
    <w:rsid w:val="00786765"/>
    <w:rsid w:val="00787B76"/>
    <w:rsid w:val="00787D0E"/>
    <w:rsid w:val="0079018B"/>
    <w:rsid w:val="007906DB"/>
    <w:rsid w:val="0079088A"/>
    <w:rsid w:val="00790C47"/>
    <w:rsid w:val="00791DFD"/>
    <w:rsid w:val="00792B19"/>
    <w:rsid w:val="0079372C"/>
    <w:rsid w:val="007947A4"/>
    <w:rsid w:val="00795067"/>
    <w:rsid w:val="0079508B"/>
    <w:rsid w:val="0079530C"/>
    <w:rsid w:val="00795874"/>
    <w:rsid w:val="00795CA6"/>
    <w:rsid w:val="00796B0B"/>
    <w:rsid w:val="0079749B"/>
    <w:rsid w:val="007A1547"/>
    <w:rsid w:val="007A18EC"/>
    <w:rsid w:val="007A1AD7"/>
    <w:rsid w:val="007A383C"/>
    <w:rsid w:val="007A3D05"/>
    <w:rsid w:val="007A3D98"/>
    <w:rsid w:val="007A4430"/>
    <w:rsid w:val="007A4C0B"/>
    <w:rsid w:val="007A6AF6"/>
    <w:rsid w:val="007A6E77"/>
    <w:rsid w:val="007A7139"/>
    <w:rsid w:val="007A74FB"/>
    <w:rsid w:val="007B0432"/>
    <w:rsid w:val="007B09D3"/>
    <w:rsid w:val="007B16F8"/>
    <w:rsid w:val="007B23AC"/>
    <w:rsid w:val="007B386A"/>
    <w:rsid w:val="007B3CAE"/>
    <w:rsid w:val="007B4489"/>
    <w:rsid w:val="007B5583"/>
    <w:rsid w:val="007B5770"/>
    <w:rsid w:val="007B6486"/>
    <w:rsid w:val="007B789B"/>
    <w:rsid w:val="007B78AC"/>
    <w:rsid w:val="007B7BFE"/>
    <w:rsid w:val="007C0595"/>
    <w:rsid w:val="007C29C0"/>
    <w:rsid w:val="007C3874"/>
    <w:rsid w:val="007C48C3"/>
    <w:rsid w:val="007C4E98"/>
    <w:rsid w:val="007C5C3A"/>
    <w:rsid w:val="007C5F27"/>
    <w:rsid w:val="007C60A7"/>
    <w:rsid w:val="007C6190"/>
    <w:rsid w:val="007C79B0"/>
    <w:rsid w:val="007C7D10"/>
    <w:rsid w:val="007D0DFD"/>
    <w:rsid w:val="007D0EA6"/>
    <w:rsid w:val="007D1D2C"/>
    <w:rsid w:val="007D1FA8"/>
    <w:rsid w:val="007D212C"/>
    <w:rsid w:val="007D3281"/>
    <w:rsid w:val="007D55EC"/>
    <w:rsid w:val="007D5AAA"/>
    <w:rsid w:val="007D6386"/>
    <w:rsid w:val="007D71EE"/>
    <w:rsid w:val="007D7979"/>
    <w:rsid w:val="007E0823"/>
    <w:rsid w:val="007E0990"/>
    <w:rsid w:val="007E1181"/>
    <w:rsid w:val="007E1652"/>
    <w:rsid w:val="007E1EA7"/>
    <w:rsid w:val="007E2A31"/>
    <w:rsid w:val="007E2E35"/>
    <w:rsid w:val="007E3327"/>
    <w:rsid w:val="007E391A"/>
    <w:rsid w:val="007E3CFF"/>
    <w:rsid w:val="007E4155"/>
    <w:rsid w:val="007E4653"/>
    <w:rsid w:val="007E483F"/>
    <w:rsid w:val="007E4902"/>
    <w:rsid w:val="007E4B7E"/>
    <w:rsid w:val="007E4D61"/>
    <w:rsid w:val="007E5B33"/>
    <w:rsid w:val="007E6086"/>
    <w:rsid w:val="007E71C5"/>
    <w:rsid w:val="007E73CF"/>
    <w:rsid w:val="007F036E"/>
    <w:rsid w:val="007F049D"/>
    <w:rsid w:val="007F19ED"/>
    <w:rsid w:val="007F1E56"/>
    <w:rsid w:val="007F3504"/>
    <w:rsid w:val="007F3766"/>
    <w:rsid w:val="007F3BCD"/>
    <w:rsid w:val="007F4024"/>
    <w:rsid w:val="007F4A48"/>
    <w:rsid w:val="007F4BEC"/>
    <w:rsid w:val="007F4CAF"/>
    <w:rsid w:val="007F540C"/>
    <w:rsid w:val="007F559B"/>
    <w:rsid w:val="007F57B5"/>
    <w:rsid w:val="007F5C20"/>
    <w:rsid w:val="007F5D14"/>
    <w:rsid w:val="007F5D4D"/>
    <w:rsid w:val="007F5E73"/>
    <w:rsid w:val="007F6C5B"/>
    <w:rsid w:val="008000B6"/>
    <w:rsid w:val="008019D8"/>
    <w:rsid w:val="00801F3D"/>
    <w:rsid w:val="00802079"/>
    <w:rsid w:val="00802546"/>
    <w:rsid w:val="0080259A"/>
    <w:rsid w:val="008028E0"/>
    <w:rsid w:val="00803238"/>
    <w:rsid w:val="00803554"/>
    <w:rsid w:val="00804707"/>
    <w:rsid w:val="00804FC6"/>
    <w:rsid w:val="00805257"/>
    <w:rsid w:val="00805CE7"/>
    <w:rsid w:val="00805E8D"/>
    <w:rsid w:val="00806C2A"/>
    <w:rsid w:val="0081025E"/>
    <w:rsid w:val="00810776"/>
    <w:rsid w:val="008107DA"/>
    <w:rsid w:val="00810EB3"/>
    <w:rsid w:val="00810F71"/>
    <w:rsid w:val="00811FB6"/>
    <w:rsid w:val="00812858"/>
    <w:rsid w:val="008145C4"/>
    <w:rsid w:val="00814601"/>
    <w:rsid w:val="00814B33"/>
    <w:rsid w:val="00814C16"/>
    <w:rsid w:val="00815497"/>
    <w:rsid w:val="00815C5A"/>
    <w:rsid w:val="0081671B"/>
    <w:rsid w:val="0081708F"/>
    <w:rsid w:val="008173AD"/>
    <w:rsid w:val="00820109"/>
    <w:rsid w:val="0082075C"/>
    <w:rsid w:val="00821384"/>
    <w:rsid w:val="00823853"/>
    <w:rsid w:val="00823B3C"/>
    <w:rsid w:val="00824628"/>
    <w:rsid w:val="00825D60"/>
    <w:rsid w:val="008266F0"/>
    <w:rsid w:val="00826E5A"/>
    <w:rsid w:val="0082741B"/>
    <w:rsid w:val="0082756C"/>
    <w:rsid w:val="008304C3"/>
    <w:rsid w:val="00830768"/>
    <w:rsid w:val="0083076E"/>
    <w:rsid w:val="00830938"/>
    <w:rsid w:val="00830AF9"/>
    <w:rsid w:val="0083101C"/>
    <w:rsid w:val="008317E9"/>
    <w:rsid w:val="008320FB"/>
    <w:rsid w:val="00832249"/>
    <w:rsid w:val="00832371"/>
    <w:rsid w:val="00832874"/>
    <w:rsid w:val="008332A4"/>
    <w:rsid w:val="00833537"/>
    <w:rsid w:val="00833D67"/>
    <w:rsid w:val="00834316"/>
    <w:rsid w:val="0083449B"/>
    <w:rsid w:val="008349CD"/>
    <w:rsid w:val="00834CD1"/>
    <w:rsid w:val="00836653"/>
    <w:rsid w:val="0084056E"/>
    <w:rsid w:val="008408B0"/>
    <w:rsid w:val="00840B39"/>
    <w:rsid w:val="00841444"/>
    <w:rsid w:val="00841675"/>
    <w:rsid w:val="00841B02"/>
    <w:rsid w:val="00841C74"/>
    <w:rsid w:val="00842288"/>
    <w:rsid w:val="008423C1"/>
    <w:rsid w:val="008429D4"/>
    <w:rsid w:val="00842CA0"/>
    <w:rsid w:val="00843789"/>
    <w:rsid w:val="00843CFA"/>
    <w:rsid w:val="008440EC"/>
    <w:rsid w:val="008441B0"/>
    <w:rsid w:val="00844315"/>
    <w:rsid w:val="008447F8"/>
    <w:rsid w:val="008449C1"/>
    <w:rsid w:val="00845775"/>
    <w:rsid w:val="008460EE"/>
    <w:rsid w:val="00846150"/>
    <w:rsid w:val="00846599"/>
    <w:rsid w:val="0084663A"/>
    <w:rsid w:val="00846AE1"/>
    <w:rsid w:val="00846B95"/>
    <w:rsid w:val="00846E08"/>
    <w:rsid w:val="008475A7"/>
    <w:rsid w:val="00847D5D"/>
    <w:rsid w:val="008501CC"/>
    <w:rsid w:val="0085029F"/>
    <w:rsid w:val="00850E94"/>
    <w:rsid w:val="00850F4F"/>
    <w:rsid w:val="00851062"/>
    <w:rsid w:val="00851704"/>
    <w:rsid w:val="00851E84"/>
    <w:rsid w:val="00853B68"/>
    <w:rsid w:val="00853EFC"/>
    <w:rsid w:val="00854094"/>
    <w:rsid w:val="00854BC4"/>
    <w:rsid w:val="00854DF7"/>
    <w:rsid w:val="00855226"/>
    <w:rsid w:val="00855510"/>
    <w:rsid w:val="008557A5"/>
    <w:rsid w:val="00857219"/>
    <w:rsid w:val="00857D68"/>
    <w:rsid w:val="00857F35"/>
    <w:rsid w:val="0086140E"/>
    <w:rsid w:val="0086140F"/>
    <w:rsid w:val="0086156B"/>
    <w:rsid w:val="00863849"/>
    <w:rsid w:val="00864129"/>
    <w:rsid w:val="0086431E"/>
    <w:rsid w:val="0086444B"/>
    <w:rsid w:val="00864847"/>
    <w:rsid w:val="00864A6E"/>
    <w:rsid w:val="00865021"/>
    <w:rsid w:val="008653FD"/>
    <w:rsid w:val="00865670"/>
    <w:rsid w:val="0086587D"/>
    <w:rsid w:val="00865883"/>
    <w:rsid w:val="00865950"/>
    <w:rsid w:val="008661F1"/>
    <w:rsid w:val="008663FE"/>
    <w:rsid w:val="008667EC"/>
    <w:rsid w:val="008669C5"/>
    <w:rsid w:val="00867372"/>
    <w:rsid w:val="00867DFE"/>
    <w:rsid w:val="008705D8"/>
    <w:rsid w:val="00870823"/>
    <w:rsid w:val="0087107C"/>
    <w:rsid w:val="008710DB"/>
    <w:rsid w:val="008710FA"/>
    <w:rsid w:val="008717D7"/>
    <w:rsid w:val="00871ADB"/>
    <w:rsid w:val="0087248B"/>
    <w:rsid w:val="00872518"/>
    <w:rsid w:val="00872757"/>
    <w:rsid w:val="00872A84"/>
    <w:rsid w:val="0087511E"/>
    <w:rsid w:val="008762B9"/>
    <w:rsid w:val="008765CA"/>
    <w:rsid w:val="00876A2A"/>
    <w:rsid w:val="00876A76"/>
    <w:rsid w:val="00876DBA"/>
    <w:rsid w:val="00876EE2"/>
    <w:rsid w:val="008770A6"/>
    <w:rsid w:val="00877347"/>
    <w:rsid w:val="00877842"/>
    <w:rsid w:val="00880470"/>
    <w:rsid w:val="0088059D"/>
    <w:rsid w:val="00880737"/>
    <w:rsid w:val="00880FD2"/>
    <w:rsid w:val="00881701"/>
    <w:rsid w:val="00881721"/>
    <w:rsid w:val="00882587"/>
    <w:rsid w:val="008830A7"/>
    <w:rsid w:val="0088376F"/>
    <w:rsid w:val="0088405F"/>
    <w:rsid w:val="00884B8F"/>
    <w:rsid w:val="0088502A"/>
    <w:rsid w:val="00885D0E"/>
    <w:rsid w:val="00886292"/>
    <w:rsid w:val="00887A0E"/>
    <w:rsid w:val="00887A65"/>
    <w:rsid w:val="00887B98"/>
    <w:rsid w:val="008901DA"/>
    <w:rsid w:val="008901E6"/>
    <w:rsid w:val="008906BC"/>
    <w:rsid w:val="00890ABD"/>
    <w:rsid w:val="00890E1B"/>
    <w:rsid w:val="008913BE"/>
    <w:rsid w:val="00891E20"/>
    <w:rsid w:val="00892277"/>
    <w:rsid w:val="0089274A"/>
    <w:rsid w:val="00892BF5"/>
    <w:rsid w:val="00892FEC"/>
    <w:rsid w:val="00893531"/>
    <w:rsid w:val="00895630"/>
    <w:rsid w:val="0089583E"/>
    <w:rsid w:val="00895A87"/>
    <w:rsid w:val="00895EA9"/>
    <w:rsid w:val="00895F3A"/>
    <w:rsid w:val="0089676C"/>
    <w:rsid w:val="00896ED5"/>
    <w:rsid w:val="008978B7"/>
    <w:rsid w:val="008A0003"/>
    <w:rsid w:val="008A192F"/>
    <w:rsid w:val="008A21AF"/>
    <w:rsid w:val="008A2775"/>
    <w:rsid w:val="008A2B4D"/>
    <w:rsid w:val="008A45AB"/>
    <w:rsid w:val="008A46B9"/>
    <w:rsid w:val="008A549A"/>
    <w:rsid w:val="008A5673"/>
    <w:rsid w:val="008A5A4B"/>
    <w:rsid w:val="008A5A67"/>
    <w:rsid w:val="008A60D8"/>
    <w:rsid w:val="008A6615"/>
    <w:rsid w:val="008A6D26"/>
    <w:rsid w:val="008A78F2"/>
    <w:rsid w:val="008A7A53"/>
    <w:rsid w:val="008A7CC7"/>
    <w:rsid w:val="008B05D6"/>
    <w:rsid w:val="008B1D69"/>
    <w:rsid w:val="008B2C7C"/>
    <w:rsid w:val="008B31BB"/>
    <w:rsid w:val="008B4D41"/>
    <w:rsid w:val="008B4EDC"/>
    <w:rsid w:val="008B4F77"/>
    <w:rsid w:val="008B5B07"/>
    <w:rsid w:val="008B624A"/>
    <w:rsid w:val="008B62C2"/>
    <w:rsid w:val="008B6AD1"/>
    <w:rsid w:val="008B6E1A"/>
    <w:rsid w:val="008B6E2A"/>
    <w:rsid w:val="008C0081"/>
    <w:rsid w:val="008C0F34"/>
    <w:rsid w:val="008C10E9"/>
    <w:rsid w:val="008C1917"/>
    <w:rsid w:val="008C3383"/>
    <w:rsid w:val="008C35CC"/>
    <w:rsid w:val="008C4BA2"/>
    <w:rsid w:val="008C4EB3"/>
    <w:rsid w:val="008C52B0"/>
    <w:rsid w:val="008C5D92"/>
    <w:rsid w:val="008C5EDC"/>
    <w:rsid w:val="008C610C"/>
    <w:rsid w:val="008C6213"/>
    <w:rsid w:val="008C71D8"/>
    <w:rsid w:val="008C7221"/>
    <w:rsid w:val="008C745D"/>
    <w:rsid w:val="008C7890"/>
    <w:rsid w:val="008C7D48"/>
    <w:rsid w:val="008D01E2"/>
    <w:rsid w:val="008D066F"/>
    <w:rsid w:val="008D18BF"/>
    <w:rsid w:val="008D1CCB"/>
    <w:rsid w:val="008D3181"/>
    <w:rsid w:val="008D533E"/>
    <w:rsid w:val="008D56CB"/>
    <w:rsid w:val="008D56EB"/>
    <w:rsid w:val="008D63C5"/>
    <w:rsid w:val="008D6528"/>
    <w:rsid w:val="008D7238"/>
    <w:rsid w:val="008D72FB"/>
    <w:rsid w:val="008D73B8"/>
    <w:rsid w:val="008D74EC"/>
    <w:rsid w:val="008D78B9"/>
    <w:rsid w:val="008D7909"/>
    <w:rsid w:val="008D7BFE"/>
    <w:rsid w:val="008E031F"/>
    <w:rsid w:val="008E09B0"/>
    <w:rsid w:val="008E196D"/>
    <w:rsid w:val="008E1BC1"/>
    <w:rsid w:val="008E1CD6"/>
    <w:rsid w:val="008E277D"/>
    <w:rsid w:val="008E2874"/>
    <w:rsid w:val="008E2995"/>
    <w:rsid w:val="008E2A23"/>
    <w:rsid w:val="008E494D"/>
    <w:rsid w:val="008E5095"/>
    <w:rsid w:val="008E5F26"/>
    <w:rsid w:val="008E6510"/>
    <w:rsid w:val="008E65F1"/>
    <w:rsid w:val="008E6C06"/>
    <w:rsid w:val="008E6E6D"/>
    <w:rsid w:val="008E70B2"/>
    <w:rsid w:val="008E773E"/>
    <w:rsid w:val="008E7964"/>
    <w:rsid w:val="008E7C53"/>
    <w:rsid w:val="008F06C5"/>
    <w:rsid w:val="008F0AA9"/>
    <w:rsid w:val="008F1246"/>
    <w:rsid w:val="008F1566"/>
    <w:rsid w:val="008F2EF1"/>
    <w:rsid w:val="008F35E6"/>
    <w:rsid w:val="008F38AC"/>
    <w:rsid w:val="008F425C"/>
    <w:rsid w:val="008F440B"/>
    <w:rsid w:val="008F45F6"/>
    <w:rsid w:val="008F597E"/>
    <w:rsid w:val="008F63A7"/>
    <w:rsid w:val="008F6FBE"/>
    <w:rsid w:val="008F7DBB"/>
    <w:rsid w:val="00900F41"/>
    <w:rsid w:val="00901A52"/>
    <w:rsid w:val="00901AA8"/>
    <w:rsid w:val="00901BD4"/>
    <w:rsid w:val="00902732"/>
    <w:rsid w:val="00902DFF"/>
    <w:rsid w:val="0090502E"/>
    <w:rsid w:val="0090512B"/>
    <w:rsid w:val="0090674E"/>
    <w:rsid w:val="00907188"/>
    <w:rsid w:val="0090791A"/>
    <w:rsid w:val="00910349"/>
    <w:rsid w:val="00910425"/>
    <w:rsid w:val="00910A46"/>
    <w:rsid w:val="00910B7A"/>
    <w:rsid w:val="00911543"/>
    <w:rsid w:val="0091164C"/>
    <w:rsid w:val="00912ADF"/>
    <w:rsid w:val="00913040"/>
    <w:rsid w:val="009135D1"/>
    <w:rsid w:val="009141D6"/>
    <w:rsid w:val="0091446C"/>
    <w:rsid w:val="00914FA7"/>
    <w:rsid w:val="00915CF3"/>
    <w:rsid w:val="00916454"/>
    <w:rsid w:val="00916BDD"/>
    <w:rsid w:val="00917444"/>
    <w:rsid w:val="00917490"/>
    <w:rsid w:val="009174E9"/>
    <w:rsid w:val="009179CA"/>
    <w:rsid w:val="00917A31"/>
    <w:rsid w:val="00917C42"/>
    <w:rsid w:val="009204F1"/>
    <w:rsid w:val="00921BB9"/>
    <w:rsid w:val="00921CAA"/>
    <w:rsid w:val="00921FDD"/>
    <w:rsid w:val="00922926"/>
    <w:rsid w:val="00922930"/>
    <w:rsid w:val="00922CC9"/>
    <w:rsid w:val="009233EB"/>
    <w:rsid w:val="0092399D"/>
    <w:rsid w:val="00923D4E"/>
    <w:rsid w:val="00924DE5"/>
    <w:rsid w:val="00924FF8"/>
    <w:rsid w:val="00925084"/>
    <w:rsid w:val="009258C8"/>
    <w:rsid w:val="0092597A"/>
    <w:rsid w:val="00925A6C"/>
    <w:rsid w:val="00925B6E"/>
    <w:rsid w:val="00926437"/>
    <w:rsid w:val="00926826"/>
    <w:rsid w:val="00927664"/>
    <w:rsid w:val="00930187"/>
    <w:rsid w:val="009302AE"/>
    <w:rsid w:val="00930B28"/>
    <w:rsid w:val="00930D11"/>
    <w:rsid w:val="00931321"/>
    <w:rsid w:val="00932A26"/>
    <w:rsid w:val="00932A29"/>
    <w:rsid w:val="00932A7A"/>
    <w:rsid w:val="00932F3F"/>
    <w:rsid w:val="00932FA6"/>
    <w:rsid w:val="0093359A"/>
    <w:rsid w:val="0093373C"/>
    <w:rsid w:val="00933809"/>
    <w:rsid w:val="00933A89"/>
    <w:rsid w:val="00933B50"/>
    <w:rsid w:val="009341D4"/>
    <w:rsid w:val="00934E60"/>
    <w:rsid w:val="00935715"/>
    <w:rsid w:val="00937984"/>
    <w:rsid w:val="00937D75"/>
    <w:rsid w:val="00940395"/>
    <w:rsid w:val="00940B64"/>
    <w:rsid w:val="00942023"/>
    <w:rsid w:val="009422F9"/>
    <w:rsid w:val="0094321B"/>
    <w:rsid w:val="00944270"/>
    <w:rsid w:val="00944937"/>
    <w:rsid w:val="00944A2F"/>
    <w:rsid w:val="009454E8"/>
    <w:rsid w:val="0094576E"/>
    <w:rsid w:val="00945E05"/>
    <w:rsid w:val="009470C5"/>
    <w:rsid w:val="00947DAC"/>
    <w:rsid w:val="00947ECF"/>
    <w:rsid w:val="00951F2C"/>
    <w:rsid w:val="00952213"/>
    <w:rsid w:val="0095300A"/>
    <w:rsid w:val="00953974"/>
    <w:rsid w:val="00954A70"/>
    <w:rsid w:val="00955052"/>
    <w:rsid w:val="00955370"/>
    <w:rsid w:val="009556E9"/>
    <w:rsid w:val="00956015"/>
    <w:rsid w:val="00956620"/>
    <w:rsid w:val="00956E3C"/>
    <w:rsid w:val="009578BE"/>
    <w:rsid w:val="00957BC9"/>
    <w:rsid w:val="009600F8"/>
    <w:rsid w:val="00960633"/>
    <w:rsid w:val="00960688"/>
    <w:rsid w:val="00960C68"/>
    <w:rsid w:val="00960D67"/>
    <w:rsid w:val="00961753"/>
    <w:rsid w:val="00962657"/>
    <w:rsid w:val="009626C0"/>
    <w:rsid w:val="0096362D"/>
    <w:rsid w:val="0096385F"/>
    <w:rsid w:val="00964659"/>
    <w:rsid w:val="00964820"/>
    <w:rsid w:val="009650E7"/>
    <w:rsid w:val="009654D7"/>
    <w:rsid w:val="00965841"/>
    <w:rsid w:val="00965B45"/>
    <w:rsid w:val="00966571"/>
    <w:rsid w:val="00966A40"/>
    <w:rsid w:val="00966B74"/>
    <w:rsid w:val="00966BD8"/>
    <w:rsid w:val="00967913"/>
    <w:rsid w:val="00967C49"/>
    <w:rsid w:val="00967CCD"/>
    <w:rsid w:val="00967ED4"/>
    <w:rsid w:val="009706ED"/>
    <w:rsid w:val="00970A67"/>
    <w:rsid w:val="00971073"/>
    <w:rsid w:val="009716E3"/>
    <w:rsid w:val="00971715"/>
    <w:rsid w:val="00971C14"/>
    <w:rsid w:val="009725AA"/>
    <w:rsid w:val="009727E7"/>
    <w:rsid w:val="0097291A"/>
    <w:rsid w:val="00972A0D"/>
    <w:rsid w:val="009731EA"/>
    <w:rsid w:val="00973463"/>
    <w:rsid w:val="00973A2A"/>
    <w:rsid w:val="009748F0"/>
    <w:rsid w:val="00974A7F"/>
    <w:rsid w:val="00975353"/>
    <w:rsid w:val="00975388"/>
    <w:rsid w:val="00976CE8"/>
    <w:rsid w:val="00976F80"/>
    <w:rsid w:val="00980073"/>
    <w:rsid w:val="009805F1"/>
    <w:rsid w:val="0098067A"/>
    <w:rsid w:val="0098156E"/>
    <w:rsid w:val="00982114"/>
    <w:rsid w:val="00983655"/>
    <w:rsid w:val="00983681"/>
    <w:rsid w:val="00983861"/>
    <w:rsid w:val="0098390A"/>
    <w:rsid w:val="00983964"/>
    <w:rsid w:val="00983B06"/>
    <w:rsid w:val="00983D39"/>
    <w:rsid w:val="00983E87"/>
    <w:rsid w:val="00984D6F"/>
    <w:rsid w:val="00985300"/>
    <w:rsid w:val="00985892"/>
    <w:rsid w:val="0098607C"/>
    <w:rsid w:val="0098678B"/>
    <w:rsid w:val="00986CFE"/>
    <w:rsid w:val="009872B9"/>
    <w:rsid w:val="009878FC"/>
    <w:rsid w:val="00990DA9"/>
    <w:rsid w:val="00991162"/>
    <w:rsid w:val="0099204B"/>
    <w:rsid w:val="0099216D"/>
    <w:rsid w:val="009923EC"/>
    <w:rsid w:val="009926D5"/>
    <w:rsid w:val="00992BFC"/>
    <w:rsid w:val="00993334"/>
    <w:rsid w:val="00993610"/>
    <w:rsid w:val="0099362F"/>
    <w:rsid w:val="00993671"/>
    <w:rsid w:val="00993675"/>
    <w:rsid w:val="00993BED"/>
    <w:rsid w:val="00993C89"/>
    <w:rsid w:val="00993CC2"/>
    <w:rsid w:val="00994564"/>
    <w:rsid w:val="009955B8"/>
    <w:rsid w:val="009955D0"/>
    <w:rsid w:val="0099589A"/>
    <w:rsid w:val="00996427"/>
    <w:rsid w:val="00996675"/>
    <w:rsid w:val="00996812"/>
    <w:rsid w:val="00996C4E"/>
    <w:rsid w:val="00996EC4"/>
    <w:rsid w:val="00997EC7"/>
    <w:rsid w:val="009A15D9"/>
    <w:rsid w:val="009A1731"/>
    <w:rsid w:val="009A2A5C"/>
    <w:rsid w:val="009A41A1"/>
    <w:rsid w:val="009A44F8"/>
    <w:rsid w:val="009A470C"/>
    <w:rsid w:val="009A4835"/>
    <w:rsid w:val="009A5538"/>
    <w:rsid w:val="009A58C8"/>
    <w:rsid w:val="009A5AB4"/>
    <w:rsid w:val="009A5DBD"/>
    <w:rsid w:val="009A69B8"/>
    <w:rsid w:val="009A6E67"/>
    <w:rsid w:val="009A7175"/>
    <w:rsid w:val="009A7260"/>
    <w:rsid w:val="009A74F3"/>
    <w:rsid w:val="009A752C"/>
    <w:rsid w:val="009B0507"/>
    <w:rsid w:val="009B103F"/>
    <w:rsid w:val="009B169A"/>
    <w:rsid w:val="009B175E"/>
    <w:rsid w:val="009B18AB"/>
    <w:rsid w:val="009B2331"/>
    <w:rsid w:val="009B2375"/>
    <w:rsid w:val="009B23B9"/>
    <w:rsid w:val="009B247D"/>
    <w:rsid w:val="009B276E"/>
    <w:rsid w:val="009B3249"/>
    <w:rsid w:val="009B3614"/>
    <w:rsid w:val="009B3B0B"/>
    <w:rsid w:val="009B478A"/>
    <w:rsid w:val="009B4B0D"/>
    <w:rsid w:val="009B6076"/>
    <w:rsid w:val="009B62D4"/>
    <w:rsid w:val="009B7072"/>
    <w:rsid w:val="009B7C92"/>
    <w:rsid w:val="009C0B7E"/>
    <w:rsid w:val="009C0C49"/>
    <w:rsid w:val="009C11B1"/>
    <w:rsid w:val="009C120E"/>
    <w:rsid w:val="009C14E4"/>
    <w:rsid w:val="009C17D3"/>
    <w:rsid w:val="009C1AA2"/>
    <w:rsid w:val="009C1FDB"/>
    <w:rsid w:val="009C1FFA"/>
    <w:rsid w:val="009C2121"/>
    <w:rsid w:val="009C3476"/>
    <w:rsid w:val="009C4035"/>
    <w:rsid w:val="009C4254"/>
    <w:rsid w:val="009C4F76"/>
    <w:rsid w:val="009C545C"/>
    <w:rsid w:val="009C5BC3"/>
    <w:rsid w:val="009C5E92"/>
    <w:rsid w:val="009C60E5"/>
    <w:rsid w:val="009C6126"/>
    <w:rsid w:val="009C6163"/>
    <w:rsid w:val="009C663C"/>
    <w:rsid w:val="009C69FA"/>
    <w:rsid w:val="009D05D7"/>
    <w:rsid w:val="009D06F0"/>
    <w:rsid w:val="009D0FCE"/>
    <w:rsid w:val="009D1B9E"/>
    <w:rsid w:val="009D1BEC"/>
    <w:rsid w:val="009D28D2"/>
    <w:rsid w:val="009D33D3"/>
    <w:rsid w:val="009D349A"/>
    <w:rsid w:val="009D3958"/>
    <w:rsid w:val="009D4840"/>
    <w:rsid w:val="009D5B60"/>
    <w:rsid w:val="009D5D50"/>
    <w:rsid w:val="009D6381"/>
    <w:rsid w:val="009D6612"/>
    <w:rsid w:val="009D6854"/>
    <w:rsid w:val="009D6C3C"/>
    <w:rsid w:val="009D6D44"/>
    <w:rsid w:val="009D781E"/>
    <w:rsid w:val="009E127E"/>
    <w:rsid w:val="009E1619"/>
    <w:rsid w:val="009E2A75"/>
    <w:rsid w:val="009E335F"/>
    <w:rsid w:val="009E373B"/>
    <w:rsid w:val="009E3F5F"/>
    <w:rsid w:val="009E55F8"/>
    <w:rsid w:val="009E572F"/>
    <w:rsid w:val="009E5D9E"/>
    <w:rsid w:val="009E6D14"/>
    <w:rsid w:val="009E7266"/>
    <w:rsid w:val="009E751E"/>
    <w:rsid w:val="009E774D"/>
    <w:rsid w:val="009E7E6F"/>
    <w:rsid w:val="009F009D"/>
    <w:rsid w:val="009F1880"/>
    <w:rsid w:val="009F193B"/>
    <w:rsid w:val="009F20D6"/>
    <w:rsid w:val="009F300B"/>
    <w:rsid w:val="009F3467"/>
    <w:rsid w:val="009F370F"/>
    <w:rsid w:val="009F44D9"/>
    <w:rsid w:val="009F4E4D"/>
    <w:rsid w:val="009F6775"/>
    <w:rsid w:val="009F7693"/>
    <w:rsid w:val="009F7864"/>
    <w:rsid w:val="009F7B7A"/>
    <w:rsid w:val="00A001BC"/>
    <w:rsid w:val="00A001FB"/>
    <w:rsid w:val="00A003AC"/>
    <w:rsid w:val="00A00452"/>
    <w:rsid w:val="00A0053E"/>
    <w:rsid w:val="00A0075F"/>
    <w:rsid w:val="00A00AD8"/>
    <w:rsid w:val="00A00D4F"/>
    <w:rsid w:val="00A017A4"/>
    <w:rsid w:val="00A01826"/>
    <w:rsid w:val="00A01A69"/>
    <w:rsid w:val="00A01B4D"/>
    <w:rsid w:val="00A02790"/>
    <w:rsid w:val="00A03564"/>
    <w:rsid w:val="00A03BF0"/>
    <w:rsid w:val="00A04CDC"/>
    <w:rsid w:val="00A04E7A"/>
    <w:rsid w:val="00A05624"/>
    <w:rsid w:val="00A0592F"/>
    <w:rsid w:val="00A05DA6"/>
    <w:rsid w:val="00A05F54"/>
    <w:rsid w:val="00A0614E"/>
    <w:rsid w:val="00A06164"/>
    <w:rsid w:val="00A066F7"/>
    <w:rsid w:val="00A07CC5"/>
    <w:rsid w:val="00A07D40"/>
    <w:rsid w:val="00A100DE"/>
    <w:rsid w:val="00A10216"/>
    <w:rsid w:val="00A102B2"/>
    <w:rsid w:val="00A103A6"/>
    <w:rsid w:val="00A11120"/>
    <w:rsid w:val="00A11209"/>
    <w:rsid w:val="00A115DF"/>
    <w:rsid w:val="00A11AF9"/>
    <w:rsid w:val="00A126BA"/>
    <w:rsid w:val="00A1298B"/>
    <w:rsid w:val="00A12EA5"/>
    <w:rsid w:val="00A1320B"/>
    <w:rsid w:val="00A135A7"/>
    <w:rsid w:val="00A13A30"/>
    <w:rsid w:val="00A13D71"/>
    <w:rsid w:val="00A13E2E"/>
    <w:rsid w:val="00A14176"/>
    <w:rsid w:val="00A160C1"/>
    <w:rsid w:val="00A162EE"/>
    <w:rsid w:val="00A1759F"/>
    <w:rsid w:val="00A1764B"/>
    <w:rsid w:val="00A176DB"/>
    <w:rsid w:val="00A20279"/>
    <w:rsid w:val="00A21576"/>
    <w:rsid w:val="00A21878"/>
    <w:rsid w:val="00A24016"/>
    <w:rsid w:val="00A24129"/>
    <w:rsid w:val="00A24A31"/>
    <w:rsid w:val="00A24C82"/>
    <w:rsid w:val="00A2594A"/>
    <w:rsid w:val="00A2614F"/>
    <w:rsid w:val="00A262A0"/>
    <w:rsid w:val="00A2668F"/>
    <w:rsid w:val="00A27797"/>
    <w:rsid w:val="00A27A21"/>
    <w:rsid w:val="00A31324"/>
    <w:rsid w:val="00A31FFD"/>
    <w:rsid w:val="00A3215E"/>
    <w:rsid w:val="00A348EF"/>
    <w:rsid w:val="00A356F5"/>
    <w:rsid w:val="00A369ED"/>
    <w:rsid w:val="00A36D3D"/>
    <w:rsid w:val="00A37165"/>
    <w:rsid w:val="00A371AE"/>
    <w:rsid w:val="00A375B4"/>
    <w:rsid w:val="00A41150"/>
    <w:rsid w:val="00A416E1"/>
    <w:rsid w:val="00A419BE"/>
    <w:rsid w:val="00A42193"/>
    <w:rsid w:val="00A42286"/>
    <w:rsid w:val="00A4281C"/>
    <w:rsid w:val="00A429A8"/>
    <w:rsid w:val="00A43842"/>
    <w:rsid w:val="00A43E97"/>
    <w:rsid w:val="00A44E2B"/>
    <w:rsid w:val="00A4517A"/>
    <w:rsid w:val="00A45688"/>
    <w:rsid w:val="00A45F35"/>
    <w:rsid w:val="00A46348"/>
    <w:rsid w:val="00A464DE"/>
    <w:rsid w:val="00A46BDA"/>
    <w:rsid w:val="00A4702E"/>
    <w:rsid w:val="00A471E2"/>
    <w:rsid w:val="00A47803"/>
    <w:rsid w:val="00A50039"/>
    <w:rsid w:val="00A50A72"/>
    <w:rsid w:val="00A50EB2"/>
    <w:rsid w:val="00A51087"/>
    <w:rsid w:val="00A51C32"/>
    <w:rsid w:val="00A51FD6"/>
    <w:rsid w:val="00A51FE6"/>
    <w:rsid w:val="00A52679"/>
    <w:rsid w:val="00A53CD2"/>
    <w:rsid w:val="00A54003"/>
    <w:rsid w:val="00A5459D"/>
    <w:rsid w:val="00A553A8"/>
    <w:rsid w:val="00A55CB6"/>
    <w:rsid w:val="00A56814"/>
    <w:rsid w:val="00A57AFF"/>
    <w:rsid w:val="00A60E6F"/>
    <w:rsid w:val="00A61190"/>
    <w:rsid w:val="00A626EC"/>
    <w:rsid w:val="00A6280C"/>
    <w:rsid w:val="00A6299F"/>
    <w:rsid w:val="00A650F0"/>
    <w:rsid w:val="00A658BA"/>
    <w:rsid w:val="00A659B8"/>
    <w:rsid w:val="00A65C1B"/>
    <w:rsid w:val="00A66322"/>
    <w:rsid w:val="00A6674E"/>
    <w:rsid w:val="00A670C7"/>
    <w:rsid w:val="00A671AD"/>
    <w:rsid w:val="00A67792"/>
    <w:rsid w:val="00A679AA"/>
    <w:rsid w:val="00A67DDF"/>
    <w:rsid w:val="00A70061"/>
    <w:rsid w:val="00A70915"/>
    <w:rsid w:val="00A70B3E"/>
    <w:rsid w:val="00A7126D"/>
    <w:rsid w:val="00A72478"/>
    <w:rsid w:val="00A73B87"/>
    <w:rsid w:val="00A73BA1"/>
    <w:rsid w:val="00A73C3C"/>
    <w:rsid w:val="00A73EC1"/>
    <w:rsid w:val="00A73F51"/>
    <w:rsid w:val="00A741B1"/>
    <w:rsid w:val="00A74A29"/>
    <w:rsid w:val="00A74A93"/>
    <w:rsid w:val="00A75B43"/>
    <w:rsid w:val="00A75D56"/>
    <w:rsid w:val="00A75E69"/>
    <w:rsid w:val="00A75E9D"/>
    <w:rsid w:val="00A76212"/>
    <w:rsid w:val="00A76E30"/>
    <w:rsid w:val="00A77027"/>
    <w:rsid w:val="00A770BB"/>
    <w:rsid w:val="00A771E5"/>
    <w:rsid w:val="00A817E8"/>
    <w:rsid w:val="00A81C34"/>
    <w:rsid w:val="00A82213"/>
    <w:rsid w:val="00A82666"/>
    <w:rsid w:val="00A82F5E"/>
    <w:rsid w:val="00A83449"/>
    <w:rsid w:val="00A8443F"/>
    <w:rsid w:val="00A84991"/>
    <w:rsid w:val="00A8545B"/>
    <w:rsid w:val="00A866DF"/>
    <w:rsid w:val="00A8732D"/>
    <w:rsid w:val="00A87334"/>
    <w:rsid w:val="00A87833"/>
    <w:rsid w:val="00A87994"/>
    <w:rsid w:val="00A91562"/>
    <w:rsid w:val="00A919C9"/>
    <w:rsid w:val="00A91E74"/>
    <w:rsid w:val="00A93284"/>
    <w:rsid w:val="00A932DC"/>
    <w:rsid w:val="00A940A9"/>
    <w:rsid w:val="00A94BD1"/>
    <w:rsid w:val="00A94F2D"/>
    <w:rsid w:val="00A959E5"/>
    <w:rsid w:val="00A95BB2"/>
    <w:rsid w:val="00A9626B"/>
    <w:rsid w:val="00A96A2E"/>
    <w:rsid w:val="00A96D60"/>
    <w:rsid w:val="00AA0237"/>
    <w:rsid w:val="00AA0809"/>
    <w:rsid w:val="00AA085E"/>
    <w:rsid w:val="00AA1475"/>
    <w:rsid w:val="00AA20DF"/>
    <w:rsid w:val="00AA29B5"/>
    <w:rsid w:val="00AA2C69"/>
    <w:rsid w:val="00AA3B68"/>
    <w:rsid w:val="00AA40E2"/>
    <w:rsid w:val="00AA5C38"/>
    <w:rsid w:val="00AA5CEB"/>
    <w:rsid w:val="00AA6BF6"/>
    <w:rsid w:val="00AA6E0B"/>
    <w:rsid w:val="00AA7153"/>
    <w:rsid w:val="00AA7E1E"/>
    <w:rsid w:val="00AB03B0"/>
    <w:rsid w:val="00AB068D"/>
    <w:rsid w:val="00AB0E1E"/>
    <w:rsid w:val="00AB1648"/>
    <w:rsid w:val="00AB20D1"/>
    <w:rsid w:val="00AB224F"/>
    <w:rsid w:val="00AB364A"/>
    <w:rsid w:val="00AB42EB"/>
    <w:rsid w:val="00AB5388"/>
    <w:rsid w:val="00AB58B9"/>
    <w:rsid w:val="00AB6DAC"/>
    <w:rsid w:val="00AB74D5"/>
    <w:rsid w:val="00AB7E9A"/>
    <w:rsid w:val="00AC019D"/>
    <w:rsid w:val="00AC1260"/>
    <w:rsid w:val="00AC151F"/>
    <w:rsid w:val="00AC1B3F"/>
    <w:rsid w:val="00AC1DFB"/>
    <w:rsid w:val="00AC1FFD"/>
    <w:rsid w:val="00AC233F"/>
    <w:rsid w:val="00AC2BDC"/>
    <w:rsid w:val="00AC36F4"/>
    <w:rsid w:val="00AC6649"/>
    <w:rsid w:val="00AC672D"/>
    <w:rsid w:val="00AC725E"/>
    <w:rsid w:val="00AD0C77"/>
    <w:rsid w:val="00AD0C7D"/>
    <w:rsid w:val="00AD1956"/>
    <w:rsid w:val="00AD22B7"/>
    <w:rsid w:val="00AD2A65"/>
    <w:rsid w:val="00AD2AC5"/>
    <w:rsid w:val="00AD3326"/>
    <w:rsid w:val="00AD3480"/>
    <w:rsid w:val="00AD3D5D"/>
    <w:rsid w:val="00AD4054"/>
    <w:rsid w:val="00AD4AB8"/>
    <w:rsid w:val="00AD4BAF"/>
    <w:rsid w:val="00AD4F2F"/>
    <w:rsid w:val="00AD5028"/>
    <w:rsid w:val="00AD5771"/>
    <w:rsid w:val="00AD588F"/>
    <w:rsid w:val="00AD6308"/>
    <w:rsid w:val="00AD6359"/>
    <w:rsid w:val="00AD6D9C"/>
    <w:rsid w:val="00AD7550"/>
    <w:rsid w:val="00AD7563"/>
    <w:rsid w:val="00AE103C"/>
    <w:rsid w:val="00AE10EB"/>
    <w:rsid w:val="00AE154A"/>
    <w:rsid w:val="00AE160C"/>
    <w:rsid w:val="00AE1A7C"/>
    <w:rsid w:val="00AE1FE0"/>
    <w:rsid w:val="00AE3177"/>
    <w:rsid w:val="00AE3911"/>
    <w:rsid w:val="00AE4945"/>
    <w:rsid w:val="00AE4B15"/>
    <w:rsid w:val="00AE52FC"/>
    <w:rsid w:val="00AE5B28"/>
    <w:rsid w:val="00AE5DD8"/>
    <w:rsid w:val="00AE61C9"/>
    <w:rsid w:val="00AE6570"/>
    <w:rsid w:val="00AE67ED"/>
    <w:rsid w:val="00AE6B43"/>
    <w:rsid w:val="00AE7061"/>
    <w:rsid w:val="00AE735B"/>
    <w:rsid w:val="00AF0327"/>
    <w:rsid w:val="00AF0769"/>
    <w:rsid w:val="00AF1BAB"/>
    <w:rsid w:val="00AF27B1"/>
    <w:rsid w:val="00AF27DA"/>
    <w:rsid w:val="00AF2BC6"/>
    <w:rsid w:val="00AF2D3A"/>
    <w:rsid w:val="00AF3BD9"/>
    <w:rsid w:val="00AF3C05"/>
    <w:rsid w:val="00AF42A0"/>
    <w:rsid w:val="00AF4570"/>
    <w:rsid w:val="00AF4F0B"/>
    <w:rsid w:val="00AF5DCA"/>
    <w:rsid w:val="00AF69B2"/>
    <w:rsid w:val="00AF6E91"/>
    <w:rsid w:val="00AF708D"/>
    <w:rsid w:val="00AF7192"/>
    <w:rsid w:val="00AF7EDE"/>
    <w:rsid w:val="00AF7FA8"/>
    <w:rsid w:val="00B00BDB"/>
    <w:rsid w:val="00B017E3"/>
    <w:rsid w:val="00B01A5A"/>
    <w:rsid w:val="00B01BF5"/>
    <w:rsid w:val="00B04D99"/>
    <w:rsid w:val="00B052E8"/>
    <w:rsid w:val="00B0600B"/>
    <w:rsid w:val="00B06079"/>
    <w:rsid w:val="00B06684"/>
    <w:rsid w:val="00B06C40"/>
    <w:rsid w:val="00B07AA3"/>
    <w:rsid w:val="00B10335"/>
    <w:rsid w:val="00B10555"/>
    <w:rsid w:val="00B10660"/>
    <w:rsid w:val="00B11072"/>
    <w:rsid w:val="00B110F2"/>
    <w:rsid w:val="00B111E3"/>
    <w:rsid w:val="00B11D42"/>
    <w:rsid w:val="00B1228F"/>
    <w:rsid w:val="00B1359D"/>
    <w:rsid w:val="00B13F3A"/>
    <w:rsid w:val="00B14AF9"/>
    <w:rsid w:val="00B161EB"/>
    <w:rsid w:val="00B16CD4"/>
    <w:rsid w:val="00B16ED5"/>
    <w:rsid w:val="00B16EE2"/>
    <w:rsid w:val="00B170D1"/>
    <w:rsid w:val="00B1759B"/>
    <w:rsid w:val="00B17E74"/>
    <w:rsid w:val="00B20271"/>
    <w:rsid w:val="00B20535"/>
    <w:rsid w:val="00B20B4F"/>
    <w:rsid w:val="00B2132B"/>
    <w:rsid w:val="00B23137"/>
    <w:rsid w:val="00B23289"/>
    <w:rsid w:val="00B23E7C"/>
    <w:rsid w:val="00B23FB7"/>
    <w:rsid w:val="00B2638E"/>
    <w:rsid w:val="00B26743"/>
    <w:rsid w:val="00B273DD"/>
    <w:rsid w:val="00B27583"/>
    <w:rsid w:val="00B2766A"/>
    <w:rsid w:val="00B27E47"/>
    <w:rsid w:val="00B30555"/>
    <w:rsid w:val="00B3141C"/>
    <w:rsid w:val="00B31C0D"/>
    <w:rsid w:val="00B3260E"/>
    <w:rsid w:val="00B32665"/>
    <w:rsid w:val="00B32981"/>
    <w:rsid w:val="00B32E0C"/>
    <w:rsid w:val="00B33936"/>
    <w:rsid w:val="00B35A0E"/>
    <w:rsid w:val="00B35F99"/>
    <w:rsid w:val="00B36385"/>
    <w:rsid w:val="00B3662D"/>
    <w:rsid w:val="00B36945"/>
    <w:rsid w:val="00B371AC"/>
    <w:rsid w:val="00B40422"/>
    <w:rsid w:val="00B40C73"/>
    <w:rsid w:val="00B41097"/>
    <w:rsid w:val="00B4109A"/>
    <w:rsid w:val="00B41573"/>
    <w:rsid w:val="00B41648"/>
    <w:rsid w:val="00B416D7"/>
    <w:rsid w:val="00B41E22"/>
    <w:rsid w:val="00B42385"/>
    <w:rsid w:val="00B424E7"/>
    <w:rsid w:val="00B4269D"/>
    <w:rsid w:val="00B427F9"/>
    <w:rsid w:val="00B431B3"/>
    <w:rsid w:val="00B433D4"/>
    <w:rsid w:val="00B43760"/>
    <w:rsid w:val="00B43B1E"/>
    <w:rsid w:val="00B440C2"/>
    <w:rsid w:val="00B4490B"/>
    <w:rsid w:val="00B44ECC"/>
    <w:rsid w:val="00B4538A"/>
    <w:rsid w:val="00B46745"/>
    <w:rsid w:val="00B4732A"/>
    <w:rsid w:val="00B5033B"/>
    <w:rsid w:val="00B506DF"/>
    <w:rsid w:val="00B5078B"/>
    <w:rsid w:val="00B507BA"/>
    <w:rsid w:val="00B50BF2"/>
    <w:rsid w:val="00B50DE6"/>
    <w:rsid w:val="00B51240"/>
    <w:rsid w:val="00B518BF"/>
    <w:rsid w:val="00B51B74"/>
    <w:rsid w:val="00B52156"/>
    <w:rsid w:val="00B52D4B"/>
    <w:rsid w:val="00B54722"/>
    <w:rsid w:val="00B54A5D"/>
    <w:rsid w:val="00B54D94"/>
    <w:rsid w:val="00B5769C"/>
    <w:rsid w:val="00B57C38"/>
    <w:rsid w:val="00B6028B"/>
    <w:rsid w:val="00B6042E"/>
    <w:rsid w:val="00B619D1"/>
    <w:rsid w:val="00B61B0D"/>
    <w:rsid w:val="00B61C41"/>
    <w:rsid w:val="00B61ECF"/>
    <w:rsid w:val="00B6287B"/>
    <w:rsid w:val="00B628FD"/>
    <w:rsid w:val="00B62D6E"/>
    <w:rsid w:val="00B6350D"/>
    <w:rsid w:val="00B6354B"/>
    <w:rsid w:val="00B636BA"/>
    <w:rsid w:val="00B63A8E"/>
    <w:rsid w:val="00B6433C"/>
    <w:rsid w:val="00B64498"/>
    <w:rsid w:val="00B64CE7"/>
    <w:rsid w:val="00B6532C"/>
    <w:rsid w:val="00B65F1D"/>
    <w:rsid w:val="00B6630E"/>
    <w:rsid w:val="00B66DF1"/>
    <w:rsid w:val="00B67322"/>
    <w:rsid w:val="00B70870"/>
    <w:rsid w:val="00B70AE0"/>
    <w:rsid w:val="00B712D5"/>
    <w:rsid w:val="00B72165"/>
    <w:rsid w:val="00B721F2"/>
    <w:rsid w:val="00B72BA2"/>
    <w:rsid w:val="00B73099"/>
    <w:rsid w:val="00B730F1"/>
    <w:rsid w:val="00B748DB"/>
    <w:rsid w:val="00B74D0B"/>
    <w:rsid w:val="00B75628"/>
    <w:rsid w:val="00B75DDB"/>
    <w:rsid w:val="00B75EAB"/>
    <w:rsid w:val="00B76251"/>
    <w:rsid w:val="00B76380"/>
    <w:rsid w:val="00B7657F"/>
    <w:rsid w:val="00B770AA"/>
    <w:rsid w:val="00B80E64"/>
    <w:rsid w:val="00B81602"/>
    <w:rsid w:val="00B81A78"/>
    <w:rsid w:val="00B83049"/>
    <w:rsid w:val="00B833FF"/>
    <w:rsid w:val="00B83B2E"/>
    <w:rsid w:val="00B84223"/>
    <w:rsid w:val="00B8467C"/>
    <w:rsid w:val="00B84823"/>
    <w:rsid w:val="00B84A33"/>
    <w:rsid w:val="00B84AC9"/>
    <w:rsid w:val="00B853A3"/>
    <w:rsid w:val="00B8598C"/>
    <w:rsid w:val="00B85B27"/>
    <w:rsid w:val="00B85F5F"/>
    <w:rsid w:val="00B869EA"/>
    <w:rsid w:val="00B86FCA"/>
    <w:rsid w:val="00B9069A"/>
    <w:rsid w:val="00B9121B"/>
    <w:rsid w:val="00B91585"/>
    <w:rsid w:val="00B917CC"/>
    <w:rsid w:val="00B91E44"/>
    <w:rsid w:val="00B91FF5"/>
    <w:rsid w:val="00B925FD"/>
    <w:rsid w:val="00B931C7"/>
    <w:rsid w:val="00B93A5C"/>
    <w:rsid w:val="00B940EF"/>
    <w:rsid w:val="00B94192"/>
    <w:rsid w:val="00B957F3"/>
    <w:rsid w:val="00B9581F"/>
    <w:rsid w:val="00B95A0E"/>
    <w:rsid w:val="00B95B49"/>
    <w:rsid w:val="00B95DC0"/>
    <w:rsid w:val="00B969F3"/>
    <w:rsid w:val="00B970D2"/>
    <w:rsid w:val="00B97410"/>
    <w:rsid w:val="00B97B1D"/>
    <w:rsid w:val="00B97D52"/>
    <w:rsid w:val="00BA03CE"/>
    <w:rsid w:val="00BA082C"/>
    <w:rsid w:val="00BA083D"/>
    <w:rsid w:val="00BA1D19"/>
    <w:rsid w:val="00BA2967"/>
    <w:rsid w:val="00BA3916"/>
    <w:rsid w:val="00BA3C13"/>
    <w:rsid w:val="00BA46AE"/>
    <w:rsid w:val="00BA517D"/>
    <w:rsid w:val="00BA53F1"/>
    <w:rsid w:val="00BA5AFC"/>
    <w:rsid w:val="00BA66AF"/>
    <w:rsid w:val="00BA6B4D"/>
    <w:rsid w:val="00BA6E0E"/>
    <w:rsid w:val="00BA70AD"/>
    <w:rsid w:val="00BA72A6"/>
    <w:rsid w:val="00BA7A8F"/>
    <w:rsid w:val="00BB05BE"/>
    <w:rsid w:val="00BB0D34"/>
    <w:rsid w:val="00BB0DA0"/>
    <w:rsid w:val="00BB12D9"/>
    <w:rsid w:val="00BB1384"/>
    <w:rsid w:val="00BB15B5"/>
    <w:rsid w:val="00BB1679"/>
    <w:rsid w:val="00BB1827"/>
    <w:rsid w:val="00BB1A71"/>
    <w:rsid w:val="00BB1F65"/>
    <w:rsid w:val="00BB229B"/>
    <w:rsid w:val="00BB293C"/>
    <w:rsid w:val="00BB2D46"/>
    <w:rsid w:val="00BB37BF"/>
    <w:rsid w:val="00BB3BA6"/>
    <w:rsid w:val="00BB3C79"/>
    <w:rsid w:val="00BB4085"/>
    <w:rsid w:val="00BB4851"/>
    <w:rsid w:val="00BB54D2"/>
    <w:rsid w:val="00BB5752"/>
    <w:rsid w:val="00BB5972"/>
    <w:rsid w:val="00BB6E7A"/>
    <w:rsid w:val="00BB7098"/>
    <w:rsid w:val="00BB70AB"/>
    <w:rsid w:val="00BC0052"/>
    <w:rsid w:val="00BC0323"/>
    <w:rsid w:val="00BC0CD1"/>
    <w:rsid w:val="00BC1144"/>
    <w:rsid w:val="00BC17DB"/>
    <w:rsid w:val="00BC2107"/>
    <w:rsid w:val="00BC25A3"/>
    <w:rsid w:val="00BC2704"/>
    <w:rsid w:val="00BC2C8E"/>
    <w:rsid w:val="00BC317A"/>
    <w:rsid w:val="00BC393C"/>
    <w:rsid w:val="00BC4634"/>
    <w:rsid w:val="00BC477A"/>
    <w:rsid w:val="00BC47BB"/>
    <w:rsid w:val="00BC54A1"/>
    <w:rsid w:val="00BC5D34"/>
    <w:rsid w:val="00BC5E2A"/>
    <w:rsid w:val="00BC6295"/>
    <w:rsid w:val="00BC6386"/>
    <w:rsid w:val="00BC671E"/>
    <w:rsid w:val="00BC69AF"/>
    <w:rsid w:val="00BC734A"/>
    <w:rsid w:val="00BD06E1"/>
    <w:rsid w:val="00BD1A7F"/>
    <w:rsid w:val="00BD3163"/>
    <w:rsid w:val="00BD3E51"/>
    <w:rsid w:val="00BD3ED1"/>
    <w:rsid w:val="00BD4CA9"/>
    <w:rsid w:val="00BD4D07"/>
    <w:rsid w:val="00BD53F6"/>
    <w:rsid w:val="00BD59DA"/>
    <w:rsid w:val="00BD6517"/>
    <w:rsid w:val="00BD6B56"/>
    <w:rsid w:val="00BD755C"/>
    <w:rsid w:val="00BD7B3D"/>
    <w:rsid w:val="00BD7F6E"/>
    <w:rsid w:val="00BE1890"/>
    <w:rsid w:val="00BE2E99"/>
    <w:rsid w:val="00BE30A2"/>
    <w:rsid w:val="00BE30BA"/>
    <w:rsid w:val="00BE37D5"/>
    <w:rsid w:val="00BE489A"/>
    <w:rsid w:val="00BE51F2"/>
    <w:rsid w:val="00BE5282"/>
    <w:rsid w:val="00BE5291"/>
    <w:rsid w:val="00BE534A"/>
    <w:rsid w:val="00BE58A5"/>
    <w:rsid w:val="00BE58F2"/>
    <w:rsid w:val="00BE5A76"/>
    <w:rsid w:val="00BE62CA"/>
    <w:rsid w:val="00BE7156"/>
    <w:rsid w:val="00BE7164"/>
    <w:rsid w:val="00BE78A0"/>
    <w:rsid w:val="00BF0090"/>
    <w:rsid w:val="00BF01A7"/>
    <w:rsid w:val="00BF0900"/>
    <w:rsid w:val="00BF0E84"/>
    <w:rsid w:val="00BF17AA"/>
    <w:rsid w:val="00BF23E4"/>
    <w:rsid w:val="00BF27E7"/>
    <w:rsid w:val="00BF2EDD"/>
    <w:rsid w:val="00BF3869"/>
    <w:rsid w:val="00BF4151"/>
    <w:rsid w:val="00BF4225"/>
    <w:rsid w:val="00BF4A13"/>
    <w:rsid w:val="00BF4A78"/>
    <w:rsid w:val="00BF4AF8"/>
    <w:rsid w:val="00BF4D65"/>
    <w:rsid w:val="00BF56FB"/>
    <w:rsid w:val="00BF57BC"/>
    <w:rsid w:val="00BF57C5"/>
    <w:rsid w:val="00BF587A"/>
    <w:rsid w:val="00BF653A"/>
    <w:rsid w:val="00BF6B3F"/>
    <w:rsid w:val="00C00002"/>
    <w:rsid w:val="00C005A7"/>
    <w:rsid w:val="00C00C4F"/>
    <w:rsid w:val="00C0124E"/>
    <w:rsid w:val="00C01979"/>
    <w:rsid w:val="00C01D99"/>
    <w:rsid w:val="00C025D2"/>
    <w:rsid w:val="00C02D09"/>
    <w:rsid w:val="00C048F3"/>
    <w:rsid w:val="00C04C76"/>
    <w:rsid w:val="00C04ED4"/>
    <w:rsid w:val="00C05545"/>
    <w:rsid w:val="00C05655"/>
    <w:rsid w:val="00C056B8"/>
    <w:rsid w:val="00C06390"/>
    <w:rsid w:val="00C06680"/>
    <w:rsid w:val="00C06F36"/>
    <w:rsid w:val="00C078AD"/>
    <w:rsid w:val="00C07AF3"/>
    <w:rsid w:val="00C10C6B"/>
    <w:rsid w:val="00C11760"/>
    <w:rsid w:val="00C118C1"/>
    <w:rsid w:val="00C11E3F"/>
    <w:rsid w:val="00C11FEC"/>
    <w:rsid w:val="00C125E9"/>
    <w:rsid w:val="00C12E4A"/>
    <w:rsid w:val="00C1320C"/>
    <w:rsid w:val="00C14192"/>
    <w:rsid w:val="00C14481"/>
    <w:rsid w:val="00C1460D"/>
    <w:rsid w:val="00C1464A"/>
    <w:rsid w:val="00C146B7"/>
    <w:rsid w:val="00C15C58"/>
    <w:rsid w:val="00C16B7C"/>
    <w:rsid w:val="00C16D70"/>
    <w:rsid w:val="00C16FA4"/>
    <w:rsid w:val="00C17C36"/>
    <w:rsid w:val="00C17EC8"/>
    <w:rsid w:val="00C17F8D"/>
    <w:rsid w:val="00C2020A"/>
    <w:rsid w:val="00C204D5"/>
    <w:rsid w:val="00C205A0"/>
    <w:rsid w:val="00C20762"/>
    <w:rsid w:val="00C21254"/>
    <w:rsid w:val="00C21E5E"/>
    <w:rsid w:val="00C22905"/>
    <w:rsid w:val="00C23711"/>
    <w:rsid w:val="00C23E7A"/>
    <w:rsid w:val="00C2409D"/>
    <w:rsid w:val="00C2467A"/>
    <w:rsid w:val="00C246F7"/>
    <w:rsid w:val="00C24B01"/>
    <w:rsid w:val="00C26790"/>
    <w:rsid w:val="00C2693F"/>
    <w:rsid w:val="00C26C3A"/>
    <w:rsid w:val="00C2705F"/>
    <w:rsid w:val="00C3016E"/>
    <w:rsid w:val="00C30940"/>
    <w:rsid w:val="00C31801"/>
    <w:rsid w:val="00C318E7"/>
    <w:rsid w:val="00C323FF"/>
    <w:rsid w:val="00C3257D"/>
    <w:rsid w:val="00C33A33"/>
    <w:rsid w:val="00C33F85"/>
    <w:rsid w:val="00C33FB0"/>
    <w:rsid w:val="00C34295"/>
    <w:rsid w:val="00C34FC5"/>
    <w:rsid w:val="00C35647"/>
    <w:rsid w:val="00C36E2C"/>
    <w:rsid w:val="00C3787B"/>
    <w:rsid w:val="00C37B57"/>
    <w:rsid w:val="00C40074"/>
    <w:rsid w:val="00C41C87"/>
    <w:rsid w:val="00C41D53"/>
    <w:rsid w:val="00C42DD6"/>
    <w:rsid w:val="00C4307A"/>
    <w:rsid w:val="00C43E3E"/>
    <w:rsid w:val="00C4463E"/>
    <w:rsid w:val="00C44983"/>
    <w:rsid w:val="00C44C8C"/>
    <w:rsid w:val="00C45049"/>
    <w:rsid w:val="00C4575D"/>
    <w:rsid w:val="00C45AD5"/>
    <w:rsid w:val="00C46452"/>
    <w:rsid w:val="00C46718"/>
    <w:rsid w:val="00C46AB1"/>
    <w:rsid w:val="00C473AC"/>
    <w:rsid w:val="00C5017C"/>
    <w:rsid w:val="00C50C6E"/>
    <w:rsid w:val="00C50FB3"/>
    <w:rsid w:val="00C51569"/>
    <w:rsid w:val="00C516CA"/>
    <w:rsid w:val="00C51868"/>
    <w:rsid w:val="00C519F6"/>
    <w:rsid w:val="00C51A13"/>
    <w:rsid w:val="00C51B74"/>
    <w:rsid w:val="00C51D6D"/>
    <w:rsid w:val="00C5245B"/>
    <w:rsid w:val="00C524ED"/>
    <w:rsid w:val="00C5274C"/>
    <w:rsid w:val="00C52A74"/>
    <w:rsid w:val="00C52D9E"/>
    <w:rsid w:val="00C52EAF"/>
    <w:rsid w:val="00C53880"/>
    <w:rsid w:val="00C539CD"/>
    <w:rsid w:val="00C54D35"/>
    <w:rsid w:val="00C54D64"/>
    <w:rsid w:val="00C558BC"/>
    <w:rsid w:val="00C5612A"/>
    <w:rsid w:val="00C5668C"/>
    <w:rsid w:val="00C56ACB"/>
    <w:rsid w:val="00C572CE"/>
    <w:rsid w:val="00C57B24"/>
    <w:rsid w:val="00C602EB"/>
    <w:rsid w:val="00C60428"/>
    <w:rsid w:val="00C60EF3"/>
    <w:rsid w:val="00C613C9"/>
    <w:rsid w:val="00C6166D"/>
    <w:rsid w:val="00C616BE"/>
    <w:rsid w:val="00C6383F"/>
    <w:rsid w:val="00C63F63"/>
    <w:rsid w:val="00C640A3"/>
    <w:rsid w:val="00C640A6"/>
    <w:rsid w:val="00C64798"/>
    <w:rsid w:val="00C64CFE"/>
    <w:rsid w:val="00C65133"/>
    <w:rsid w:val="00C65CAF"/>
    <w:rsid w:val="00C660D5"/>
    <w:rsid w:val="00C66E0E"/>
    <w:rsid w:val="00C66FE0"/>
    <w:rsid w:val="00C67005"/>
    <w:rsid w:val="00C67044"/>
    <w:rsid w:val="00C67485"/>
    <w:rsid w:val="00C676D0"/>
    <w:rsid w:val="00C6796F"/>
    <w:rsid w:val="00C67B9D"/>
    <w:rsid w:val="00C67EAF"/>
    <w:rsid w:val="00C70609"/>
    <w:rsid w:val="00C70778"/>
    <w:rsid w:val="00C708DD"/>
    <w:rsid w:val="00C710D5"/>
    <w:rsid w:val="00C71A57"/>
    <w:rsid w:val="00C7205C"/>
    <w:rsid w:val="00C721AF"/>
    <w:rsid w:val="00C7363C"/>
    <w:rsid w:val="00C7477F"/>
    <w:rsid w:val="00C74D8C"/>
    <w:rsid w:val="00C755BE"/>
    <w:rsid w:val="00C756E9"/>
    <w:rsid w:val="00C759E2"/>
    <w:rsid w:val="00C75D46"/>
    <w:rsid w:val="00C75F9C"/>
    <w:rsid w:val="00C8080D"/>
    <w:rsid w:val="00C80FD3"/>
    <w:rsid w:val="00C81704"/>
    <w:rsid w:val="00C81732"/>
    <w:rsid w:val="00C81FFD"/>
    <w:rsid w:val="00C8313F"/>
    <w:rsid w:val="00C8389F"/>
    <w:rsid w:val="00C83DEF"/>
    <w:rsid w:val="00C84207"/>
    <w:rsid w:val="00C845C4"/>
    <w:rsid w:val="00C84996"/>
    <w:rsid w:val="00C849D4"/>
    <w:rsid w:val="00C84BC2"/>
    <w:rsid w:val="00C85BEC"/>
    <w:rsid w:val="00C85C9D"/>
    <w:rsid w:val="00C85FB7"/>
    <w:rsid w:val="00C85FB8"/>
    <w:rsid w:val="00C87437"/>
    <w:rsid w:val="00C874BE"/>
    <w:rsid w:val="00C87D72"/>
    <w:rsid w:val="00C90144"/>
    <w:rsid w:val="00C90860"/>
    <w:rsid w:val="00C90917"/>
    <w:rsid w:val="00C9165F"/>
    <w:rsid w:val="00C92558"/>
    <w:rsid w:val="00C93B09"/>
    <w:rsid w:val="00C940D3"/>
    <w:rsid w:val="00C940EB"/>
    <w:rsid w:val="00C94126"/>
    <w:rsid w:val="00C94BEE"/>
    <w:rsid w:val="00C95241"/>
    <w:rsid w:val="00C95310"/>
    <w:rsid w:val="00C956D4"/>
    <w:rsid w:val="00C9642A"/>
    <w:rsid w:val="00C967D2"/>
    <w:rsid w:val="00C9723F"/>
    <w:rsid w:val="00C97C8D"/>
    <w:rsid w:val="00C97CB6"/>
    <w:rsid w:val="00C97DD3"/>
    <w:rsid w:val="00CA3AC3"/>
    <w:rsid w:val="00CA3B1A"/>
    <w:rsid w:val="00CA3DE2"/>
    <w:rsid w:val="00CA4DCF"/>
    <w:rsid w:val="00CA5240"/>
    <w:rsid w:val="00CA5278"/>
    <w:rsid w:val="00CA533B"/>
    <w:rsid w:val="00CA58F0"/>
    <w:rsid w:val="00CA5FAA"/>
    <w:rsid w:val="00CA629D"/>
    <w:rsid w:val="00CA6358"/>
    <w:rsid w:val="00CA7270"/>
    <w:rsid w:val="00CB0C43"/>
    <w:rsid w:val="00CB1276"/>
    <w:rsid w:val="00CB131C"/>
    <w:rsid w:val="00CB1602"/>
    <w:rsid w:val="00CB18F8"/>
    <w:rsid w:val="00CB1A90"/>
    <w:rsid w:val="00CB1BFE"/>
    <w:rsid w:val="00CB22DA"/>
    <w:rsid w:val="00CB2F97"/>
    <w:rsid w:val="00CB3436"/>
    <w:rsid w:val="00CB36C1"/>
    <w:rsid w:val="00CB5183"/>
    <w:rsid w:val="00CB537A"/>
    <w:rsid w:val="00CB56B2"/>
    <w:rsid w:val="00CB58CB"/>
    <w:rsid w:val="00CB5EE4"/>
    <w:rsid w:val="00CB6759"/>
    <w:rsid w:val="00CB67AD"/>
    <w:rsid w:val="00CB6828"/>
    <w:rsid w:val="00CB6B14"/>
    <w:rsid w:val="00CB6DFF"/>
    <w:rsid w:val="00CB7193"/>
    <w:rsid w:val="00CB76EE"/>
    <w:rsid w:val="00CC0552"/>
    <w:rsid w:val="00CC0683"/>
    <w:rsid w:val="00CC1001"/>
    <w:rsid w:val="00CC15B3"/>
    <w:rsid w:val="00CC19F9"/>
    <w:rsid w:val="00CC3ADE"/>
    <w:rsid w:val="00CC3F15"/>
    <w:rsid w:val="00CC4878"/>
    <w:rsid w:val="00CC4A51"/>
    <w:rsid w:val="00CC4FAD"/>
    <w:rsid w:val="00CC4FEC"/>
    <w:rsid w:val="00CC52FA"/>
    <w:rsid w:val="00CC5E99"/>
    <w:rsid w:val="00CC6536"/>
    <w:rsid w:val="00CC6FF5"/>
    <w:rsid w:val="00CC7B3B"/>
    <w:rsid w:val="00CD00B8"/>
    <w:rsid w:val="00CD0DFE"/>
    <w:rsid w:val="00CD0F0F"/>
    <w:rsid w:val="00CD14CE"/>
    <w:rsid w:val="00CD1675"/>
    <w:rsid w:val="00CD1B93"/>
    <w:rsid w:val="00CD234D"/>
    <w:rsid w:val="00CD2D58"/>
    <w:rsid w:val="00CD2F9D"/>
    <w:rsid w:val="00CD30E0"/>
    <w:rsid w:val="00CD471A"/>
    <w:rsid w:val="00CD4CE7"/>
    <w:rsid w:val="00CD4FF4"/>
    <w:rsid w:val="00CD54C8"/>
    <w:rsid w:val="00CD56C8"/>
    <w:rsid w:val="00CD599F"/>
    <w:rsid w:val="00CD5AB2"/>
    <w:rsid w:val="00CD5D17"/>
    <w:rsid w:val="00CD6CCA"/>
    <w:rsid w:val="00CD7D2A"/>
    <w:rsid w:val="00CD7DE2"/>
    <w:rsid w:val="00CD7E90"/>
    <w:rsid w:val="00CE01BE"/>
    <w:rsid w:val="00CE0701"/>
    <w:rsid w:val="00CE0D9B"/>
    <w:rsid w:val="00CE13AD"/>
    <w:rsid w:val="00CE13B3"/>
    <w:rsid w:val="00CE192B"/>
    <w:rsid w:val="00CE1D3E"/>
    <w:rsid w:val="00CE1E97"/>
    <w:rsid w:val="00CE22F1"/>
    <w:rsid w:val="00CE2825"/>
    <w:rsid w:val="00CE292B"/>
    <w:rsid w:val="00CE297D"/>
    <w:rsid w:val="00CE3611"/>
    <w:rsid w:val="00CE3C2A"/>
    <w:rsid w:val="00CE43DF"/>
    <w:rsid w:val="00CE46EB"/>
    <w:rsid w:val="00CE4768"/>
    <w:rsid w:val="00CE5909"/>
    <w:rsid w:val="00CE5FE5"/>
    <w:rsid w:val="00CE6E44"/>
    <w:rsid w:val="00CE70D3"/>
    <w:rsid w:val="00CE7D03"/>
    <w:rsid w:val="00CF136C"/>
    <w:rsid w:val="00CF1597"/>
    <w:rsid w:val="00CF189F"/>
    <w:rsid w:val="00CF2784"/>
    <w:rsid w:val="00CF3224"/>
    <w:rsid w:val="00CF38E5"/>
    <w:rsid w:val="00CF39D9"/>
    <w:rsid w:val="00CF3A5B"/>
    <w:rsid w:val="00CF4217"/>
    <w:rsid w:val="00CF5852"/>
    <w:rsid w:val="00CF6A27"/>
    <w:rsid w:val="00CF71BE"/>
    <w:rsid w:val="00CF7413"/>
    <w:rsid w:val="00CF7B0C"/>
    <w:rsid w:val="00CF7E02"/>
    <w:rsid w:val="00D00730"/>
    <w:rsid w:val="00D0182D"/>
    <w:rsid w:val="00D01D1D"/>
    <w:rsid w:val="00D028CE"/>
    <w:rsid w:val="00D03164"/>
    <w:rsid w:val="00D045D7"/>
    <w:rsid w:val="00D04FED"/>
    <w:rsid w:val="00D051A7"/>
    <w:rsid w:val="00D052C4"/>
    <w:rsid w:val="00D054DE"/>
    <w:rsid w:val="00D05822"/>
    <w:rsid w:val="00D0582C"/>
    <w:rsid w:val="00D05D25"/>
    <w:rsid w:val="00D0628E"/>
    <w:rsid w:val="00D0634B"/>
    <w:rsid w:val="00D065AF"/>
    <w:rsid w:val="00D065DD"/>
    <w:rsid w:val="00D06974"/>
    <w:rsid w:val="00D06AA8"/>
    <w:rsid w:val="00D07733"/>
    <w:rsid w:val="00D07CDB"/>
    <w:rsid w:val="00D107FD"/>
    <w:rsid w:val="00D11411"/>
    <w:rsid w:val="00D1146D"/>
    <w:rsid w:val="00D11583"/>
    <w:rsid w:val="00D116AD"/>
    <w:rsid w:val="00D119B6"/>
    <w:rsid w:val="00D119BD"/>
    <w:rsid w:val="00D11ECE"/>
    <w:rsid w:val="00D122E3"/>
    <w:rsid w:val="00D131D2"/>
    <w:rsid w:val="00D13AAA"/>
    <w:rsid w:val="00D13DBF"/>
    <w:rsid w:val="00D1404A"/>
    <w:rsid w:val="00D140BE"/>
    <w:rsid w:val="00D148D0"/>
    <w:rsid w:val="00D15234"/>
    <w:rsid w:val="00D1585C"/>
    <w:rsid w:val="00D158E9"/>
    <w:rsid w:val="00D15AC3"/>
    <w:rsid w:val="00D16353"/>
    <w:rsid w:val="00D170AB"/>
    <w:rsid w:val="00D17F5E"/>
    <w:rsid w:val="00D21D64"/>
    <w:rsid w:val="00D2271A"/>
    <w:rsid w:val="00D22C9D"/>
    <w:rsid w:val="00D22F89"/>
    <w:rsid w:val="00D2309A"/>
    <w:rsid w:val="00D23484"/>
    <w:rsid w:val="00D2430A"/>
    <w:rsid w:val="00D245F4"/>
    <w:rsid w:val="00D247C0"/>
    <w:rsid w:val="00D24A46"/>
    <w:rsid w:val="00D24E17"/>
    <w:rsid w:val="00D25084"/>
    <w:rsid w:val="00D26353"/>
    <w:rsid w:val="00D264E2"/>
    <w:rsid w:val="00D26656"/>
    <w:rsid w:val="00D26BDE"/>
    <w:rsid w:val="00D27633"/>
    <w:rsid w:val="00D2785D"/>
    <w:rsid w:val="00D30455"/>
    <w:rsid w:val="00D3117E"/>
    <w:rsid w:val="00D314A9"/>
    <w:rsid w:val="00D31F4B"/>
    <w:rsid w:val="00D3214A"/>
    <w:rsid w:val="00D324FE"/>
    <w:rsid w:val="00D32541"/>
    <w:rsid w:val="00D33016"/>
    <w:rsid w:val="00D346EF"/>
    <w:rsid w:val="00D353D5"/>
    <w:rsid w:val="00D3551E"/>
    <w:rsid w:val="00D36225"/>
    <w:rsid w:val="00D363AC"/>
    <w:rsid w:val="00D37E63"/>
    <w:rsid w:val="00D4014E"/>
    <w:rsid w:val="00D40183"/>
    <w:rsid w:val="00D403DA"/>
    <w:rsid w:val="00D40DC8"/>
    <w:rsid w:val="00D40EB7"/>
    <w:rsid w:val="00D4138A"/>
    <w:rsid w:val="00D422CF"/>
    <w:rsid w:val="00D42396"/>
    <w:rsid w:val="00D42C26"/>
    <w:rsid w:val="00D42E7F"/>
    <w:rsid w:val="00D43FDE"/>
    <w:rsid w:val="00D4406E"/>
    <w:rsid w:val="00D444DA"/>
    <w:rsid w:val="00D457E8"/>
    <w:rsid w:val="00D458DE"/>
    <w:rsid w:val="00D46CF5"/>
    <w:rsid w:val="00D46EE2"/>
    <w:rsid w:val="00D471DA"/>
    <w:rsid w:val="00D47441"/>
    <w:rsid w:val="00D47A02"/>
    <w:rsid w:val="00D5080B"/>
    <w:rsid w:val="00D516B5"/>
    <w:rsid w:val="00D51CBF"/>
    <w:rsid w:val="00D528A9"/>
    <w:rsid w:val="00D52FE6"/>
    <w:rsid w:val="00D530D7"/>
    <w:rsid w:val="00D5447E"/>
    <w:rsid w:val="00D54A8E"/>
    <w:rsid w:val="00D54B2F"/>
    <w:rsid w:val="00D556BC"/>
    <w:rsid w:val="00D55F75"/>
    <w:rsid w:val="00D5619E"/>
    <w:rsid w:val="00D561EC"/>
    <w:rsid w:val="00D56523"/>
    <w:rsid w:val="00D57929"/>
    <w:rsid w:val="00D60449"/>
    <w:rsid w:val="00D60566"/>
    <w:rsid w:val="00D60830"/>
    <w:rsid w:val="00D60C62"/>
    <w:rsid w:val="00D60D66"/>
    <w:rsid w:val="00D60DBE"/>
    <w:rsid w:val="00D60F49"/>
    <w:rsid w:val="00D61D2B"/>
    <w:rsid w:val="00D61DCC"/>
    <w:rsid w:val="00D61E99"/>
    <w:rsid w:val="00D628F2"/>
    <w:rsid w:val="00D62A51"/>
    <w:rsid w:val="00D62EFD"/>
    <w:rsid w:val="00D63239"/>
    <w:rsid w:val="00D636D2"/>
    <w:rsid w:val="00D63C5E"/>
    <w:rsid w:val="00D641C2"/>
    <w:rsid w:val="00D64262"/>
    <w:rsid w:val="00D64620"/>
    <w:rsid w:val="00D647A8"/>
    <w:rsid w:val="00D6490B"/>
    <w:rsid w:val="00D64A73"/>
    <w:rsid w:val="00D65913"/>
    <w:rsid w:val="00D66CE6"/>
    <w:rsid w:val="00D67AA5"/>
    <w:rsid w:val="00D67E81"/>
    <w:rsid w:val="00D70365"/>
    <w:rsid w:val="00D706EC"/>
    <w:rsid w:val="00D707AF"/>
    <w:rsid w:val="00D711A8"/>
    <w:rsid w:val="00D72121"/>
    <w:rsid w:val="00D72139"/>
    <w:rsid w:val="00D7287F"/>
    <w:rsid w:val="00D72F56"/>
    <w:rsid w:val="00D733BA"/>
    <w:rsid w:val="00D7471A"/>
    <w:rsid w:val="00D74A30"/>
    <w:rsid w:val="00D759DE"/>
    <w:rsid w:val="00D75BA0"/>
    <w:rsid w:val="00D763C7"/>
    <w:rsid w:val="00D76743"/>
    <w:rsid w:val="00D76A53"/>
    <w:rsid w:val="00D774C4"/>
    <w:rsid w:val="00D77A70"/>
    <w:rsid w:val="00D80135"/>
    <w:rsid w:val="00D809DB"/>
    <w:rsid w:val="00D80CB5"/>
    <w:rsid w:val="00D81009"/>
    <w:rsid w:val="00D81596"/>
    <w:rsid w:val="00D83619"/>
    <w:rsid w:val="00D83BCE"/>
    <w:rsid w:val="00D841DA"/>
    <w:rsid w:val="00D84BB8"/>
    <w:rsid w:val="00D84CCF"/>
    <w:rsid w:val="00D85183"/>
    <w:rsid w:val="00D8579B"/>
    <w:rsid w:val="00D85829"/>
    <w:rsid w:val="00D86294"/>
    <w:rsid w:val="00D8645C"/>
    <w:rsid w:val="00D8704F"/>
    <w:rsid w:val="00D873D8"/>
    <w:rsid w:val="00D87833"/>
    <w:rsid w:val="00D9180A"/>
    <w:rsid w:val="00D91900"/>
    <w:rsid w:val="00D9204C"/>
    <w:rsid w:val="00D922B7"/>
    <w:rsid w:val="00D92869"/>
    <w:rsid w:val="00D92879"/>
    <w:rsid w:val="00D92E8D"/>
    <w:rsid w:val="00D938F4"/>
    <w:rsid w:val="00D93A99"/>
    <w:rsid w:val="00D942E5"/>
    <w:rsid w:val="00D9460A"/>
    <w:rsid w:val="00D947FE"/>
    <w:rsid w:val="00DA051C"/>
    <w:rsid w:val="00DA08FF"/>
    <w:rsid w:val="00DA0F0C"/>
    <w:rsid w:val="00DA11F9"/>
    <w:rsid w:val="00DA1393"/>
    <w:rsid w:val="00DA21AC"/>
    <w:rsid w:val="00DA23D2"/>
    <w:rsid w:val="00DA245E"/>
    <w:rsid w:val="00DA2C1A"/>
    <w:rsid w:val="00DA2D30"/>
    <w:rsid w:val="00DA2DEC"/>
    <w:rsid w:val="00DA3BCA"/>
    <w:rsid w:val="00DA3D84"/>
    <w:rsid w:val="00DA3F7A"/>
    <w:rsid w:val="00DA42F8"/>
    <w:rsid w:val="00DA4A31"/>
    <w:rsid w:val="00DA5562"/>
    <w:rsid w:val="00DA6170"/>
    <w:rsid w:val="00DA72C0"/>
    <w:rsid w:val="00DA73F9"/>
    <w:rsid w:val="00DA789A"/>
    <w:rsid w:val="00DA7FE3"/>
    <w:rsid w:val="00DB019F"/>
    <w:rsid w:val="00DB0900"/>
    <w:rsid w:val="00DB0E79"/>
    <w:rsid w:val="00DB1771"/>
    <w:rsid w:val="00DB298A"/>
    <w:rsid w:val="00DB2F8C"/>
    <w:rsid w:val="00DB3091"/>
    <w:rsid w:val="00DB34C1"/>
    <w:rsid w:val="00DB3ACC"/>
    <w:rsid w:val="00DB454B"/>
    <w:rsid w:val="00DB55FD"/>
    <w:rsid w:val="00DB5DFF"/>
    <w:rsid w:val="00DB6540"/>
    <w:rsid w:val="00DB65DA"/>
    <w:rsid w:val="00DB6747"/>
    <w:rsid w:val="00DB6FDD"/>
    <w:rsid w:val="00DB7CDA"/>
    <w:rsid w:val="00DB7F35"/>
    <w:rsid w:val="00DC0865"/>
    <w:rsid w:val="00DC0A76"/>
    <w:rsid w:val="00DC0F89"/>
    <w:rsid w:val="00DC0FCE"/>
    <w:rsid w:val="00DC135E"/>
    <w:rsid w:val="00DC208F"/>
    <w:rsid w:val="00DC4B04"/>
    <w:rsid w:val="00DC4FED"/>
    <w:rsid w:val="00DC537B"/>
    <w:rsid w:val="00DC5467"/>
    <w:rsid w:val="00DC56E7"/>
    <w:rsid w:val="00DC5981"/>
    <w:rsid w:val="00DC6AAE"/>
    <w:rsid w:val="00DC6B19"/>
    <w:rsid w:val="00DC7C0D"/>
    <w:rsid w:val="00DD053B"/>
    <w:rsid w:val="00DD05F9"/>
    <w:rsid w:val="00DD0D72"/>
    <w:rsid w:val="00DD1220"/>
    <w:rsid w:val="00DD1490"/>
    <w:rsid w:val="00DD2300"/>
    <w:rsid w:val="00DD284D"/>
    <w:rsid w:val="00DD2890"/>
    <w:rsid w:val="00DD3855"/>
    <w:rsid w:val="00DD3A00"/>
    <w:rsid w:val="00DD4950"/>
    <w:rsid w:val="00DD4DD0"/>
    <w:rsid w:val="00DD6701"/>
    <w:rsid w:val="00DD6722"/>
    <w:rsid w:val="00DD6AB0"/>
    <w:rsid w:val="00DD6C66"/>
    <w:rsid w:val="00DE037F"/>
    <w:rsid w:val="00DE04D7"/>
    <w:rsid w:val="00DE0F2B"/>
    <w:rsid w:val="00DE1239"/>
    <w:rsid w:val="00DE1520"/>
    <w:rsid w:val="00DE1D1B"/>
    <w:rsid w:val="00DE1D3A"/>
    <w:rsid w:val="00DE2D37"/>
    <w:rsid w:val="00DE353A"/>
    <w:rsid w:val="00DE4AEF"/>
    <w:rsid w:val="00DE5802"/>
    <w:rsid w:val="00DE75F0"/>
    <w:rsid w:val="00DF0B84"/>
    <w:rsid w:val="00DF0BD7"/>
    <w:rsid w:val="00DF0D23"/>
    <w:rsid w:val="00DF13FF"/>
    <w:rsid w:val="00DF1B9A"/>
    <w:rsid w:val="00DF1EE8"/>
    <w:rsid w:val="00DF2274"/>
    <w:rsid w:val="00DF2318"/>
    <w:rsid w:val="00DF2D3A"/>
    <w:rsid w:val="00DF2E1A"/>
    <w:rsid w:val="00DF356E"/>
    <w:rsid w:val="00DF387D"/>
    <w:rsid w:val="00DF3CF8"/>
    <w:rsid w:val="00DF40B1"/>
    <w:rsid w:val="00DF4402"/>
    <w:rsid w:val="00DF4B31"/>
    <w:rsid w:val="00DF50B5"/>
    <w:rsid w:val="00DF6743"/>
    <w:rsid w:val="00DF79A3"/>
    <w:rsid w:val="00E00AA3"/>
    <w:rsid w:val="00E01527"/>
    <w:rsid w:val="00E016F4"/>
    <w:rsid w:val="00E0180F"/>
    <w:rsid w:val="00E018BE"/>
    <w:rsid w:val="00E01993"/>
    <w:rsid w:val="00E01CFD"/>
    <w:rsid w:val="00E0256A"/>
    <w:rsid w:val="00E03A5E"/>
    <w:rsid w:val="00E044C0"/>
    <w:rsid w:val="00E045D5"/>
    <w:rsid w:val="00E04A38"/>
    <w:rsid w:val="00E06047"/>
    <w:rsid w:val="00E0604A"/>
    <w:rsid w:val="00E063EC"/>
    <w:rsid w:val="00E06516"/>
    <w:rsid w:val="00E06631"/>
    <w:rsid w:val="00E06980"/>
    <w:rsid w:val="00E07248"/>
    <w:rsid w:val="00E0754C"/>
    <w:rsid w:val="00E0769A"/>
    <w:rsid w:val="00E1042A"/>
    <w:rsid w:val="00E111D1"/>
    <w:rsid w:val="00E11465"/>
    <w:rsid w:val="00E11478"/>
    <w:rsid w:val="00E117F6"/>
    <w:rsid w:val="00E1201A"/>
    <w:rsid w:val="00E12287"/>
    <w:rsid w:val="00E12567"/>
    <w:rsid w:val="00E12FA9"/>
    <w:rsid w:val="00E13575"/>
    <w:rsid w:val="00E139CA"/>
    <w:rsid w:val="00E14AF6"/>
    <w:rsid w:val="00E14C81"/>
    <w:rsid w:val="00E14D5D"/>
    <w:rsid w:val="00E14F86"/>
    <w:rsid w:val="00E15C5F"/>
    <w:rsid w:val="00E162DC"/>
    <w:rsid w:val="00E16B01"/>
    <w:rsid w:val="00E17062"/>
    <w:rsid w:val="00E17D1B"/>
    <w:rsid w:val="00E203EC"/>
    <w:rsid w:val="00E20468"/>
    <w:rsid w:val="00E20D40"/>
    <w:rsid w:val="00E21813"/>
    <w:rsid w:val="00E220E5"/>
    <w:rsid w:val="00E2223A"/>
    <w:rsid w:val="00E22474"/>
    <w:rsid w:val="00E22E51"/>
    <w:rsid w:val="00E2348A"/>
    <w:rsid w:val="00E2373C"/>
    <w:rsid w:val="00E239CA"/>
    <w:rsid w:val="00E23BA6"/>
    <w:rsid w:val="00E23D73"/>
    <w:rsid w:val="00E2473E"/>
    <w:rsid w:val="00E24A17"/>
    <w:rsid w:val="00E25E44"/>
    <w:rsid w:val="00E26CA9"/>
    <w:rsid w:val="00E2753B"/>
    <w:rsid w:val="00E275C5"/>
    <w:rsid w:val="00E275DD"/>
    <w:rsid w:val="00E2779E"/>
    <w:rsid w:val="00E277DF"/>
    <w:rsid w:val="00E309EF"/>
    <w:rsid w:val="00E30B13"/>
    <w:rsid w:val="00E30FA2"/>
    <w:rsid w:val="00E3118A"/>
    <w:rsid w:val="00E327CE"/>
    <w:rsid w:val="00E339B6"/>
    <w:rsid w:val="00E33C3F"/>
    <w:rsid w:val="00E341E2"/>
    <w:rsid w:val="00E34809"/>
    <w:rsid w:val="00E34B46"/>
    <w:rsid w:val="00E34FEE"/>
    <w:rsid w:val="00E35AD8"/>
    <w:rsid w:val="00E35CD2"/>
    <w:rsid w:val="00E35F41"/>
    <w:rsid w:val="00E364F0"/>
    <w:rsid w:val="00E369FF"/>
    <w:rsid w:val="00E36D96"/>
    <w:rsid w:val="00E3788B"/>
    <w:rsid w:val="00E378E0"/>
    <w:rsid w:val="00E37B5A"/>
    <w:rsid w:val="00E37BED"/>
    <w:rsid w:val="00E37C15"/>
    <w:rsid w:val="00E37FCB"/>
    <w:rsid w:val="00E401B1"/>
    <w:rsid w:val="00E410B9"/>
    <w:rsid w:val="00E416EF"/>
    <w:rsid w:val="00E43CE8"/>
    <w:rsid w:val="00E440D1"/>
    <w:rsid w:val="00E44538"/>
    <w:rsid w:val="00E458B4"/>
    <w:rsid w:val="00E45AEB"/>
    <w:rsid w:val="00E460BE"/>
    <w:rsid w:val="00E462BA"/>
    <w:rsid w:val="00E46BB2"/>
    <w:rsid w:val="00E47193"/>
    <w:rsid w:val="00E471AA"/>
    <w:rsid w:val="00E50445"/>
    <w:rsid w:val="00E506F5"/>
    <w:rsid w:val="00E521EE"/>
    <w:rsid w:val="00E52878"/>
    <w:rsid w:val="00E52B51"/>
    <w:rsid w:val="00E52C32"/>
    <w:rsid w:val="00E53234"/>
    <w:rsid w:val="00E5351A"/>
    <w:rsid w:val="00E5472C"/>
    <w:rsid w:val="00E54736"/>
    <w:rsid w:val="00E54C30"/>
    <w:rsid w:val="00E5552B"/>
    <w:rsid w:val="00E56036"/>
    <w:rsid w:val="00E561B0"/>
    <w:rsid w:val="00E56E1E"/>
    <w:rsid w:val="00E56EEE"/>
    <w:rsid w:val="00E5757B"/>
    <w:rsid w:val="00E57A12"/>
    <w:rsid w:val="00E57C4A"/>
    <w:rsid w:val="00E600B8"/>
    <w:rsid w:val="00E6090C"/>
    <w:rsid w:val="00E60AAD"/>
    <w:rsid w:val="00E62617"/>
    <w:rsid w:val="00E630A4"/>
    <w:rsid w:val="00E63976"/>
    <w:rsid w:val="00E63A6D"/>
    <w:rsid w:val="00E6444A"/>
    <w:rsid w:val="00E64677"/>
    <w:rsid w:val="00E64F44"/>
    <w:rsid w:val="00E66A61"/>
    <w:rsid w:val="00E670CF"/>
    <w:rsid w:val="00E6790D"/>
    <w:rsid w:val="00E6791D"/>
    <w:rsid w:val="00E705B2"/>
    <w:rsid w:val="00E714DE"/>
    <w:rsid w:val="00E715EC"/>
    <w:rsid w:val="00E71682"/>
    <w:rsid w:val="00E718CA"/>
    <w:rsid w:val="00E735EE"/>
    <w:rsid w:val="00E7384D"/>
    <w:rsid w:val="00E73F8C"/>
    <w:rsid w:val="00E74892"/>
    <w:rsid w:val="00E74A86"/>
    <w:rsid w:val="00E76AE6"/>
    <w:rsid w:val="00E77B18"/>
    <w:rsid w:val="00E77C20"/>
    <w:rsid w:val="00E80192"/>
    <w:rsid w:val="00E80784"/>
    <w:rsid w:val="00E81332"/>
    <w:rsid w:val="00E81B04"/>
    <w:rsid w:val="00E81CAE"/>
    <w:rsid w:val="00E833FC"/>
    <w:rsid w:val="00E83813"/>
    <w:rsid w:val="00E83E95"/>
    <w:rsid w:val="00E83F03"/>
    <w:rsid w:val="00E8538B"/>
    <w:rsid w:val="00E85868"/>
    <w:rsid w:val="00E85B05"/>
    <w:rsid w:val="00E85E41"/>
    <w:rsid w:val="00E86628"/>
    <w:rsid w:val="00E8702E"/>
    <w:rsid w:val="00E87A88"/>
    <w:rsid w:val="00E90ABB"/>
    <w:rsid w:val="00E91E32"/>
    <w:rsid w:val="00E92908"/>
    <w:rsid w:val="00E932D1"/>
    <w:rsid w:val="00E93EC5"/>
    <w:rsid w:val="00E93FFC"/>
    <w:rsid w:val="00E942E9"/>
    <w:rsid w:val="00E94497"/>
    <w:rsid w:val="00E94589"/>
    <w:rsid w:val="00E94D81"/>
    <w:rsid w:val="00E9620E"/>
    <w:rsid w:val="00E962AD"/>
    <w:rsid w:val="00E96B25"/>
    <w:rsid w:val="00E970F3"/>
    <w:rsid w:val="00EA12CA"/>
    <w:rsid w:val="00EA1381"/>
    <w:rsid w:val="00EA14A7"/>
    <w:rsid w:val="00EA2E11"/>
    <w:rsid w:val="00EA3F8E"/>
    <w:rsid w:val="00EA4339"/>
    <w:rsid w:val="00EA522F"/>
    <w:rsid w:val="00EA5837"/>
    <w:rsid w:val="00EA6143"/>
    <w:rsid w:val="00EA6ABC"/>
    <w:rsid w:val="00EA70CA"/>
    <w:rsid w:val="00EA721C"/>
    <w:rsid w:val="00EA76B6"/>
    <w:rsid w:val="00EA7ED9"/>
    <w:rsid w:val="00EA7F22"/>
    <w:rsid w:val="00EB0FFB"/>
    <w:rsid w:val="00EB157F"/>
    <w:rsid w:val="00EB16C6"/>
    <w:rsid w:val="00EB16FC"/>
    <w:rsid w:val="00EB1923"/>
    <w:rsid w:val="00EB1B9F"/>
    <w:rsid w:val="00EB1ECF"/>
    <w:rsid w:val="00EB22BF"/>
    <w:rsid w:val="00EB373E"/>
    <w:rsid w:val="00EB4757"/>
    <w:rsid w:val="00EB59EA"/>
    <w:rsid w:val="00EB5C7E"/>
    <w:rsid w:val="00EB60BF"/>
    <w:rsid w:val="00EB6E80"/>
    <w:rsid w:val="00EB745D"/>
    <w:rsid w:val="00EB7EAE"/>
    <w:rsid w:val="00EB7EB4"/>
    <w:rsid w:val="00EC058E"/>
    <w:rsid w:val="00EC0735"/>
    <w:rsid w:val="00EC1371"/>
    <w:rsid w:val="00EC1546"/>
    <w:rsid w:val="00EC1797"/>
    <w:rsid w:val="00EC1BEC"/>
    <w:rsid w:val="00EC292F"/>
    <w:rsid w:val="00EC3642"/>
    <w:rsid w:val="00EC488B"/>
    <w:rsid w:val="00EC4A0D"/>
    <w:rsid w:val="00EC5959"/>
    <w:rsid w:val="00EC5C99"/>
    <w:rsid w:val="00EC6375"/>
    <w:rsid w:val="00EC68F8"/>
    <w:rsid w:val="00EC6A1E"/>
    <w:rsid w:val="00EC7746"/>
    <w:rsid w:val="00EC7DDB"/>
    <w:rsid w:val="00ED0037"/>
    <w:rsid w:val="00ED17A9"/>
    <w:rsid w:val="00ED2724"/>
    <w:rsid w:val="00ED29D4"/>
    <w:rsid w:val="00ED2F28"/>
    <w:rsid w:val="00ED34DF"/>
    <w:rsid w:val="00ED382C"/>
    <w:rsid w:val="00ED3EAE"/>
    <w:rsid w:val="00ED4A5E"/>
    <w:rsid w:val="00ED4D2F"/>
    <w:rsid w:val="00ED4E3B"/>
    <w:rsid w:val="00ED5A23"/>
    <w:rsid w:val="00ED5D55"/>
    <w:rsid w:val="00ED643A"/>
    <w:rsid w:val="00ED676E"/>
    <w:rsid w:val="00ED6F07"/>
    <w:rsid w:val="00ED700A"/>
    <w:rsid w:val="00ED706C"/>
    <w:rsid w:val="00ED7A5D"/>
    <w:rsid w:val="00EE000C"/>
    <w:rsid w:val="00EE024B"/>
    <w:rsid w:val="00EE0283"/>
    <w:rsid w:val="00EE0771"/>
    <w:rsid w:val="00EE0C86"/>
    <w:rsid w:val="00EE0E0F"/>
    <w:rsid w:val="00EE12A5"/>
    <w:rsid w:val="00EE19FC"/>
    <w:rsid w:val="00EE1D3D"/>
    <w:rsid w:val="00EE20A1"/>
    <w:rsid w:val="00EE23F7"/>
    <w:rsid w:val="00EE2C30"/>
    <w:rsid w:val="00EE3825"/>
    <w:rsid w:val="00EE3B23"/>
    <w:rsid w:val="00EE63DA"/>
    <w:rsid w:val="00EE68D7"/>
    <w:rsid w:val="00EE6F64"/>
    <w:rsid w:val="00EE7790"/>
    <w:rsid w:val="00EE7983"/>
    <w:rsid w:val="00EF0713"/>
    <w:rsid w:val="00EF2663"/>
    <w:rsid w:val="00EF2DA6"/>
    <w:rsid w:val="00EF2DFF"/>
    <w:rsid w:val="00EF2E76"/>
    <w:rsid w:val="00EF3382"/>
    <w:rsid w:val="00EF35DF"/>
    <w:rsid w:val="00EF3A37"/>
    <w:rsid w:val="00EF47E6"/>
    <w:rsid w:val="00EF4D56"/>
    <w:rsid w:val="00EF521F"/>
    <w:rsid w:val="00EF52D7"/>
    <w:rsid w:val="00EF5AF6"/>
    <w:rsid w:val="00EF7781"/>
    <w:rsid w:val="00F01D24"/>
    <w:rsid w:val="00F023BC"/>
    <w:rsid w:val="00F02D64"/>
    <w:rsid w:val="00F03967"/>
    <w:rsid w:val="00F04409"/>
    <w:rsid w:val="00F04CDF"/>
    <w:rsid w:val="00F04F49"/>
    <w:rsid w:val="00F055A2"/>
    <w:rsid w:val="00F057F0"/>
    <w:rsid w:val="00F05A35"/>
    <w:rsid w:val="00F05C2F"/>
    <w:rsid w:val="00F07017"/>
    <w:rsid w:val="00F07D58"/>
    <w:rsid w:val="00F109B8"/>
    <w:rsid w:val="00F1125C"/>
    <w:rsid w:val="00F1199E"/>
    <w:rsid w:val="00F123B1"/>
    <w:rsid w:val="00F12453"/>
    <w:rsid w:val="00F126A3"/>
    <w:rsid w:val="00F12C76"/>
    <w:rsid w:val="00F13005"/>
    <w:rsid w:val="00F135F1"/>
    <w:rsid w:val="00F13D41"/>
    <w:rsid w:val="00F1433D"/>
    <w:rsid w:val="00F1451A"/>
    <w:rsid w:val="00F15CE4"/>
    <w:rsid w:val="00F16582"/>
    <w:rsid w:val="00F16D29"/>
    <w:rsid w:val="00F1712D"/>
    <w:rsid w:val="00F17E63"/>
    <w:rsid w:val="00F2285C"/>
    <w:rsid w:val="00F22E3D"/>
    <w:rsid w:val="00F2303D"/>
    <w:rsid w:val="00F24135"/>
    <w:rsid w:val="00F245E3"/>
    <w:rsid w:val="00F24936"/>
    <w:rsid w:val="00F24D4B"/>
    <w:rsid w:val="00F24EF6"/>
    <w:rsid w:val="00F25780"/>
    <w:rsid w:val="00F26298"/>
    <w:rsid w:val="00F26A38"/>
    <w:rsid w:val="00F27158"/>
    <w:rsid w:val="00F27D4E"/>
    <w:rsid w:val="00F30645"/>
    <w:rsid w:val="00F31F74"/>
    <w:rsid w:val="00F324BE"/>
    <w:rsid w:val="00F3253D"/>
    <w:rsid w:val="00F32598"/>
    <w:rsid w:val="00F33259"/>
    <w:rsid w:val="00F333AD"/>
    <w:rsid w:val="00F3362E"/>
    <w:rsid w:val="00F338D0"/>
    <w:rsid w:val="00F33C4F"/>
    <w:rsid w:val="00F34188"/>
    <w:rsid w:val="00F34CFD"/>
    <w:rsid w:val="00F34D7A"/>
    <w:rsid w:val="00F353EC"/>
    <w:rsid w:val="00F36ACF"/>
    <w:rsid w:val="00F3710D"/>
    <w:rsid w:val="00F376C1"/>
    <w:rsid w:val="00F376F0"/>
    <w:rsid w:val="00F404C2"/>
    <w:rsid w:val="00F407EB"/>
    <w:rsid w:val="00F41404"/>
    <w:rsid w:val="00F414DA"/>
    <w:rsid w:val="00F428C5"/>
    <w:rsid w:val="00F43053"/>
    <w:rsid w:val="00F44202"/>
    <w:rsid w:val="00F4466F"/>
    <w:rsid w:val="00F44B7E"/>
    <w:rsid w:val="00F44BDB"/>
    <w:rsid w:val="00F45239"/>
    <w:rsid w:val="00F45952"/>
    <w:rsid w:val="00F46316"/>
    <w:rsid w:val="00F4640A"/>
    <w:rsid w:val="00F46424"/>
    <w:rsid w:val="00F47820"/>
    <w:rsid w:val="00F479D3"/>
    <w:rsid w:val="00F5055B"/>
    <w:rsid w:val="00F50589"/>
    <w:rsid w:val="00F50671"/>
    <w:rsid w:val="00F508C2"/>
    <w:rsid w:val="00F51230"/>
    <w:rsid w:val="00F52BB8"/>
    <w:rsid w:val="00F52E69"/>
    <w:rsid w:val="00F549A9"/>
    <w:rsid w:val="00F54FB9"/>
    <w:rsid w:val="00F55F6E"/>
    <w:rsid w:val="00F56282"/>
    <w:rsid w:val="00F566EB"/>
    <w:rsid w:val="00F56A67"/>
    <w:rsid w:val="00F56E22"/>
    <w:rsid w:val="00F5705B"/>
    <w:rsid w:val="00F57D73"/>
    <w:rsid w:val="00F608A3"/>
    <w:rsid w:val="00F6098A"/>
    <w:rsid w:val="00F6127B"/>
    <w:rsid w:val="00F61671"/>
    <w:rsid w:val="00F61A43"/>
    <w:rsid w:val="00F61FA5"/>
    <w:rsid w:val="00F62CD2"/>
    <w:rsid w:val="00F62F07"/>
    <w:rsid w:val="00F64048"/>
    <w:rsid w:val="00F641E0"/>
    <w:rsid w:val="00F64D24"/>
    <w:rsid w:val="00F659CF"/>
    <w:rsid w:val="00F65DBE"/>
    <w:rsid w:val="00F666B3"/>
    <w:rsid w:val="00F66D6A"/>
    <w:rsid w:val="00F70657"/>
    <w:rsid w:val="00F7091A"/>
    <w:rsid w:val="00F70E5D"/>
    <w:rsid w:val="00F711A5"/>
    <w:rsid w:val="00F71AED"/>
    <w:rsid w:val="00F71EA4"/>
    <w:rsid w:val="00F72107"/>
    <w:rsid w:val="00F72ED6"/>
    <w:rsid w:val="00F73088"/>
    <w:rsid w:val="00F731C8"/>
    <w:rsid w:val="00F7323C"/>
    <w:rsid w:val="00F74733"/>
    <w:rsid w:val="00F75870"/>
    <w:rsid w:val="00F764DE"/>
    <w:rsid w:val="00F77CEF"/>
    <w:rsid w:val="00F803A7"/>
    <w:rsid w:val="00F80B33"/>
    <w:rsid w:val="00F82284"/>
    <w:rsid w:val="00F82D28"/>
    <w:rsid w:val="00F82DD0"/>
    <w:rsid w:val="00F8303A"/>
    <w:rsid w:val="00F83132"/>
    <w:rsid w:val="00F83177"/>
    <w:rsid w:val="00F83C90"/>
    <w:rsid w:val="00F83EA1"/>
    <w:rsid w:val="00F8422F"/>
    <w:rsid w:val="00F84A22"/>
    <w:rsid w:val="00F84CFA"/>
    <w:rsid w:val="00F84DA1"/>
    <w:rsid w:val="00F8609D"/>
    <w:rsid w:val="00F86382"/>
    <w:rsid w:val="00F86648"/>
    <w:rsid w:val="00F86747"/>
    <w:rsid w:val="00F86C22"/>
    <w:rsid w:val="00F87202"/>
    <w:rsid w:val="00F8747A"/>
    <w:rsid w:val="00F87818"/>
    <w:rsid w:val="00F87B37"/>
    <w:rsid w:val="00F87E30"/>
    <w:rsid w:val="00F901CC"/>
    <w:rsid w:val="00F90580"/>
    <w:rsid w:val="00F90DE4"/>
    <w:rsid w:val="00F9159D"/>
    <w:rsid w:val="00F919A7"/>
    <w:rsid w:val="00F921CE"/>
    <w:rsid w:val="00F9389E"/>
    <w:rsid w:val="00F948C9"/>
    <w:rsid w:val="00F94C11"/>
    <w:rsid w:val="00F958C7"/>
    <w:rsid w:val="00F96320"/>
    <w:rsid w:val="00F9666F"/>
    <w:rsid w:val="00FA0D1C"/>
    <w:rsid w:val="00FA1347"/>
    <w:rsid w:val="00FA1FB6"/>
    <w:rsid w:val="00FA3733"/>
    <w:rsid w:val="00FA3735"/>
    <w:rsid w:val="00FA444E"/>
    <w:rsid w:val="00FA4804"/>
    <w:rsid w:val="00FA4826"/>
    <w:rsid w:val="00FA4BBA"/>
    <w:rsid w:val="00FA4F59"/>
    <w:rsid w:val="00FA540B"/>
    <w:rsid w:val="00FA58D6"/>
    <w:rsid w:val="00FA6E79"/>
    <w:rsid w:val="00FB0372"/>
    <w:rsid w:val="00FB0BFC"/>
    <w:rsid w:val="00FB0E5B"/>
    <w:rsid w:val="00FB14B5"/>
    <w:rsid w:val="00FB2090"/>
    <w:rsid w:val="00FB2227"/>
    <w:rsid w:val="00FB37B9"/>
    <w:rsid w:val="00FB398F"/>
    <w:rsid w:val="00FB4D55"/>
    <w:rsid w:val="00FB65AA"/>
    <w:rsid w:val="00FB6A46"/>
    <w:rsid w:val="00FB741F"/>
    <w:rsid w:val="00FB7FD9"/>
    <w:rsid w:val="00FC0066"/>
    <w:rsid w:val="00FC0393"/>
    <w:rsid w:val="00FC05C7"/>
    <w:rsid w:val="00FC0AAF"/>
    <w:rsid w:val="00FC115D"/>
    <w:rsid w:val="00FC2894"/>
    <w:rsid w:val="00FC2A24"/>
    <w:rsid w:val="00FC3CED"/>
    <w:rsid w:val="00FC4A3A"/>
    <w:rsid w:val="00FC4BCD"/>
    <w:rsid w:val="00FC4FD8"/>
    <w:rsid w:val="00FC5386"/>
    <w:rsid w:val="00FC53C4"/>
    <w:rsid w:val="00FC56EF"/>
    <w:rsid w:val="00FC5831"/>
    <w:rsid w:val="00FC5A22"/>
    <w:rsid w:val="00FC5CC8"/>
    <w:rsid w:val="00FC67F1"/>
    <w:rsid w:val="00FC6AE6"/>
    <w:rsid w:val="00FC6F89"/>
    <w:rsid w:val="00FC7D86"/>
    <w:rsid w:val="00FD041D"/>
    <w:rsid w:val="00FD0A30"/>
    <w:rsid w:val="00FD0C5A"/>
    <w:rsid w:val="00FD0E3F"/>
    <w:rsid w:val="00FD1417"/>
    <w:rsid w:val="00FD1BB1"/>
    <w:rsid w:val="00FD2892"/>
    <w:rsid w:val="00FD29EC"/>
    <w:rsid w:val="00FD2D18"/>
    <w:rsid w:val="00FD2D25"/>
    <w:rsid w:val="00FD2D46"/>
    <w:rsid w:val="00FD3067"/>
    <w:rsid w:val="00FD337F"/>
    <w:rsid w:val="00FD3636"/>
    <w:rsid w:val="00FD3651"/>
    <w:rsid w:val="00FD38B4"/>
    <w:rsid w:val="00FD4027"/>
    <w:rsid w:val="00FD40F6"/>
    <w:rsid w:val="00FD522D"/>
    <w:rsid w:val="00FD5C47"/>
    <w:rsid w:val="00FD5DA0"/>
    <w:rsid w:val="00FD63F2"/>
    <w:rsid w:val="00FD697F"/>
    <w:rsid w:val="00FD69C3"/>
    <w:rsid w:val="00FD6F7A"/>
    <w:rsid w:val="00FD7A81"/>
    <w:rsid w:val="00FE08B5"/>
    <w:rsid w:val="00FE10D1"/>
    <w:rsid w:val="00FE1137"/>
    <w:rsid w:val="00FE162D"/>
    <w:rsid w:val="00FE1DB5"/>
    <w:rsid w:val="00FE1FAF"/>
    <w:rsid w:val="00FE2291"/>
    <w:rsid w:val="00FE309E"/>
    <w:rsid w:val="00FE3277"/>
    <w:rsid w:val="00FE342C"/>
    <w:rsid w:val="00FE3B24"/>
    <w:rsid w:val="00FE43A1"/>
    <w:rsid w:val="00FE43A5"/>
    <w:rsid w:val="00FE4A9A"/>
    <w:rsid w:val="00FE5CC8"/>
    <w:rsid w:val="00FE618B"/>
    <w:rsid w:val="00FE6617"/>
    <w:rsid w:val="00FE78D6"/>
    <w:rsid w:val="00FE7C48"/>
    <w:rsid w:val="00FE7E04"/>
    <w:rsid w:val="00FF0514"/>
    <w:rsid w:val="00FF058A"/>
    <w:rsid w:val="00FF0635"/>
    <w:rsid w:val="00FF085A"/>
    <w:rsid w:val="00FF11C2"/>
    <w:rsid w:val="00FF274C"/>
    <w:rsid w:val="00FF2816"/>
    <w:rsid w:val="00FF282F"/>
    <w:rsid w:val="00FF2CDB"/>
    <w:rsid w:val="00FF2F01"/>
    <w:rsid w:val="00FF3C07"/>
    <w:rsid w:val="00FF3DF5"/>
    <w:rsid w:val="00FF4524"/>
    <w:rsid w:val="00FF4A7D"/>
    <w:rsid w:val="00FF4FEA"/>
    <w:rsid w:val="00FF5504"/>
    <w:rsid w:val="00FF5A7B"/>
    <w:rsid w:val="00FF5CC4"/>
    <w:rsid w:val="00FF605E"/>
    <w:rsid w:val="00FF6A6E"/>
    <w:rsid w:val="00FF6B07"/>
    <w:rsid w:val="04DDD11A"/>
    <w:rsid w:val="078822BF"/>
    <w:rsid w:val="08080944"/>
    <w:rsid w:val="08090563"/>
    <w:rsid w:val="09271AF6"/>
    <w:rsid w:val="0987EE7F"/>
    <w:rsid w:val="1041F459"/>
    <w:rsid w:val="1065F1B4"/>
    <w:rsid w:val="11535CEF"/>
    <w:rsid w:val="12630DA2"/>
    <w:rsid w:val="1328B14B"/>
    <w:rsid w:val="14230AFC"/>
    <w:rsid w:val="15A99883"/>
    <w:rsid w:val="173CA801"/>
    <w:rsid w:val="18C2E6E4"/>
    <w:rsid w:val="1BA05938"/>
    <w:rsid w:val="1CD83C34"/>
    <w:rsid w:val="1E459912"/>
    <w:rsid w:val="1FBE8B59"/>
    <w:rsid w:val="202B7B01"/>
    <w:rsid w:val="21379C08"/>
    <w:rsid w:val="2154BF79"/>
    <w:rsid w:val="2A717F14"/>
    <w:rsid w:val="2A985155"/>
    <w:rsid w:val="2BEDD11B"/>
    <w:rsid w:val="2C5C7886"/>
    <w:rsid w:val="2F7CF83C"/>
    <w:rsid w:val="2F94FD8A"/>
    <w:rsid w:val="322B9927"/>
    <w:rsid w:val="35BC430F"/>
    <w:rsid w:val="35F5F8E0"/>
    <w:rsid w:val="36642EAB"/>
    <w:rsid w:val="36AA792A"/>
    <w:rsid w:val="38D3A936"/>
    <w:rsid w:val="38D55245"/>
    <w:rsid w:val="38FE38D4"/>
    <w:rsid w:val="39A1C3BA"/>
    <w:rsid w:val="3C2222B4"/>
    <w:rsid w:val="3CB9D327"/>
    <w:rsid w:val="41E83B6D"/>
    <w:rsid w:val="425C46DA"/>
    <w:rsid w:val="4484D45B"/>
    <w:rsid w:val="465086B9"/>
    <w:rsid w:val="465A29A8"/>
    <w:rsid w:val="46AB07F5"/>
    <w:rsid w:val="48265458"/>
    <w:rsid w:val="496D2F19"/>
    <w:rsid w:val="4991BB43"/>
    <w:rsid w:val="4CFA4F87"/>
    <w:rsid w:val="4DEA09CF"/>
    <w:rsid w:val="4E2569A6"/>
    <w:rsid w:val="4E36AA74"/>
    <w:rsid w:val="5117B4D8"/>
    <w:rsid w:val="54EFEB19"/>
    <w:rsid w:val="5518560F"/>
    <w:rsid w:val="559357CA"/>
    <w:rsid w:val="56FA4B54"/>
    <w:rsid w:val="5AC03D2C"/>
    <w:rsid w:val="5C955288"/>
    <w:rsid w:val="5CF5ADE8"/>
    <w:rsid w:val="5D097E53"/>
    <w:rsid w:val="5D3BC608"/>
    <w:rsid w:val="5E6369C1"/>
    <w:rsid w:val="60E84A2C"/>
    <w:rsid w:val="62CB4EF0"/>
    <w:rsid w:val="636DC438"/>
    <w:rsid w:val="64861391"/>
    <w:rsid w:val="649EA636"/>
    <w:rsid w:val="66DF30F6"/>
    <w:rsid w:val="67EF1534"/>
    <w:rsid w:val="690E0DC4"/>
    <w:rsid w:val="6C253D40"/>
    <w:rsid w:val="6C6059C2"/>
    <w:rsid w:val="6CBFC323"/>
    <w:rsid w:val="6DBA9DB6"/>
    <w:rsid w:val="6ED3BA57"/>
    <w:rsid w:val="6FEC7E1E"/>
    <w:rsid w:val="723A2C39"/>
    <w:rsid w:val="72DECFA4"/>
    <w:rsid w:val="73332A05"/>
    <w:rsid w:val="747C01C6"/>
    <w:rsid w:val="75973563"/>
    <w:rsid w:val="780FF12B"/>
    <w:rsid w:val="78F3CDE8"/>
    <w:rsid w:val="79C3A26D"/>
    <w:rsid w:val="7A6C3A1D"/>
    <w:rsid w:val="7FA8F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C95E5A"/>
  <w15:chartTrackingRefBased/>
  <w15:docId w15:val="{66063E64-2FC9-4940-B1CD-788B9C26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3DCA"/>
    <w:pPr>
      <w:spacing w:after="0" w:line="240" w:lineRule="auto"/>
    </w:pPr>
    <w:rPr>
      <w:sz w:val="20"/>
      <w:szCs w:val="20"/>
    </w:rPr>
  </w:style>
  <w:style w:type="character" w:customStyle="1" w:styleId="FootnoteTextChar">
    <w:name w:val="Footnote Text Char"/>
    <w:basedOn w:val="DefaultParagraphFont"/>
    <w:link w:val="FootnoteText"/>
    <w:uiPriority w:val="99"/>
    <w:rsid w:val="00733DCA"/>
    <w:rPr>
      <w:sz w:val="20"/>
      <w:szCs w:val="20"/>
    </w:rPr>
  </w:style>
  <w:style w:type="paragraph" w:styleId="Header">
    <w:name w:val="header"/>
    <w:basedOn w:val="Normal"/>
    <w:link w:val="HeaderChar"/>
    <w:uiPriority w:val="99"/>
    <w:unhideWhenUsed/>
    <w:rsid w:val="0073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DCA"/>
    <w:rPr>
      <w:lang w:val="hr-HR"/>
    </w:rPr>
  </w:style>
  <w:style w:type="paragraph" w:styleId="Footer">
    <w:name w:val="footer"/>
    <w:basedOn w:val="Normal"/>
    <w:link w:val="FooterChar"/>
    <w:uiPriority w:val="99"/>
    <w:unhideWhenUsed/>
    <w:rsid w:val="0073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DCA"/>
    <w:rPr>
      <w:lang w:val="hr-HR"/>
    </w:rPr>
  </w:style>
  <w:style w:type="character" w:styleId="FootnoteReference">
    <w:name w:val="footnote reference"/>
    <w:basedOn w:val="DefaultParagraphFont"/>
    <w:uiPriority w:val="99"/>
    <w:semiHidden/>
    <w:unhideWhenUsed/>
    <w:rsid w:val="00733DCA"/>
    <w:rPr>
      <w:shd w:val="clear" w:color="auto" w:fill="auto"/>
      <w:vertAlign w:val="superscript"/>
    </w:rPr>
  </w:style>
  <w:style w:type="paragraph" w:customStyle="1" w:styleId="paragraph">
    <w:name w:val="paragraph"/>
    <w:basedOn w:val="Normal"/>
    <w:rsid w:val="00733D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733DCA"/>
  </w:style>
  <w:style w:type="paragraph" w:styleId="ListParagraph">
    <w:name w:val="List Paragraph"/>
    <w:basedOn w:val="Normal"/>
    <w:uiPriority w:val="34"/>
    <w:qFormat/>
    <w:rsid w:val="00733DCA"/>
    <w:pPr>
      <w:ind w:left="720"/>
      <w:contextualSpacing/>
    </w:pPr>
  </w:style>
  <w:style w:type="character" w:customStyle="1" w:styleId="normaltextrun">
    <w:name w:val="normaltextrun"/>
    <w:basedOn w:val="DefaultParagraphFont"/>
    <w:rsid w:val="00733DCA"/>
  </w:style>
  <w:style w:type="character" w:customStyle="1" w:styleId="tabchar">
    <w:name w:val="tabchar"/>
    <w:basedOn w:val="DefaultParagraphFont"/>
    <w:rsid w:val="00733DCA"/>
  </w:style>
  <w:style w:type="character" w:customStyle="1" w:styleId="scxw134703037">
    <w:name w:val="scxw134703037"/>
    <w:basedOn w:val="DefaultParagraphFont"/>
    <w:rsid w:val="00733DCA"/>
  </w:style>
  <w:style w:type="paragraph" w:styleId="CommentText">
    <w:name w:val="annotation text"/>
    <w:basedOn w:val="Normal"/>
    <w:link w:val="CommentTextChar"/>
    <w:uiPriority w:val="99"/>
    <w:unhideWhenUsed/>
    <w:rsid w:val="00733DCA"/>
    <w:pPr>
      <w:spacing w:line="240" w:lineRule="auto"/>
    </w:pPr>
    <w:rPr>
      <w:sz w:val="20"/>
      <w:szCs w:val="20"/>
    </w:rPr>
  </w:style>
  <w:style w:type="character" w:customStyle="1" w:styleId="CommentTextChar">
    <w:name w:val="Comment Text Char"/>
    <w:basedOn w:val="DefaultParagraphFont"/>
    <w:link w:val="CommentText"/>
    <w:uiPriority w:val="99"/>
    <w:rsid w:val="00733DCA"/>
    <w:rPr>
      <w:sz w:val="20"/>
      <w:szCs w:val="20"/>
    </w:rPr>
  </w:style>
  <w:style w:type="character" w:styleId="CommentReference">
    <w:name w:val="annotation reference"/>
    <w:basedOn w:val="DefaultParagraphFont"/>
    <w:uiPriority w:val="99"/>
    <w:semiHidden/>
    <w:unhideWhenUsed/>
    <w:rsid w:val="00733DCA"/>
    <w:rPr>
      <w:sz w:val="16"/>
      <w:szCs w:val="16"/>
    </w:rPr>
  </w:style>
  <w:style w:type="paragraph" w:styleId="BalloonText">
    <w:name w:val="Balloon Text"/>
    <w:basedOn w:val="Normal"/>
    <w:link w:val="BalloonTextChar"/>
    <w:uiPriority w:val="99"/>
    <w:semiHidden/>
    <w:unhideWhenUsed/>
    <w:rsid w:val="00733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CA"/>
    <w:rPr>
      <w:rFonts w:ascii="Segoe UI" w:hAnsi="Segoe UI" w:cs="Segoe UI"/>
      <w:sz w:val="18"/>
      <w:szCs w:val="18"/>
    </w:rPr>
  </w:style>
  <w:style w:type="paragraph" w:styleId="Revision">
    <w:name w:val="Revision"/>
    <w:hidden/>
    <w:uiPriority w:val="99"/>
    <w:semiHidden/>
    <w:rsid w:val="00733DCA"/>
    <w:pPr>
      <w:spacing w:after="0" w:line="240" w:lineRule="auto"/>
    </w:pPr>
  </w:style>
  <w:style w:type="character" w:customStyle="1" w:styleId="Spominjanje1">
    <w:name w:val="Spominjanje1"/>
    <w:basedOn w:val="DefaultParagraphFont"/>
    <w:uiPriority w:val="99"/>
    <w:unhideWhenUsed/>
    <w:rsid w:val="00733DC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33DCA"/>
    <w:rPr>
      <w:b/>
      <w:bCs/>
    </w:rPr>
  </w:style>
  <w:style w:type="character" w:customStyle="1" w:styleId="CommentSubjectChar">
    <w:name w:val="Comment Subject Char"/>
    <w:basedOn w:val="CommentTextChar"/>
    <w:link w:val="CommentSubject"/>
    <w:uiPriority w:val="99"/>
    <w:semiHidden/>
    <w:rsid w:val="00733DCA"/>
    <w:rPr>
      <w:b/>
      <w:bCs/>
      <w:sz w:val="20"/>
      <w:szCs w:val="20"/>
    </w:rPr>
  </w:style>
  <w:style w:type="character" w:customStyle="1" w:styleId="ui-provider">
    <w:name w:val="ui-provider"/>
    <w:basedOn w:val="DefaultParagraphFont"/>
    <w:rsid w:val="00733DCA"/>
  </w:style>
  <w:style w:type="paragraph" w:customStyle="1" w:styleId="Text1">
    <w:name w:val="Text 1"/>
    <w:basedOn w:val="Normal"/>
    <w:rsid w:val="00733DCA"/>
    <w:pPr>
      <w:spacing w:before="120" w:after="120" w:line="240" w:lineRule="auto"/>
      <w:ind w:left="850"/>
      <w:jc w:val="both"/>
    </w:pPr>
    <w:rPr>
      <w:rFonts w:ascii="Times New Roman" w:hAnsi="Times New Roman" w:cs="Times New Roman"/>
      <w:sz w:val="24"/>
    </w:rPr>
  </w:style>
  <w:style w:type="character" w:customStyle="1" w:styleId="Bodytext2">
    <w:name w:val="Body text|2_"/>
    <w:basedOn w:val="DefaultParagraphFont"/>
    <w:link w:val="Bodytext20"/>
    <w:rsid w:val="00733DCA"/>
    <w:rPr>
      <w:rFonts w:ascii="Cambria Math" w:eastAsia="Cambria Math" w:hAnsi="Cambria Math" w:cs="Cambria Math"/>
      <w:sz w:val="21"/>
      <w:szCs w:val="21"/>
      <w:shd w:val="clear" w:color="auto" w:fill="FFFFFF"/>
    </w:rPr>
  </w:style>
  <w:style w:type="paragraph" w:customStyle="1" w:styleId="Bodytext20">
    <w:name w:val="Body text|2"/>
    <w:basedOn w:val="Normal"/>
    <w:link w:val="Bodytext2"/>
    <w:qFormat/>
    <w:rsid w:val="00733DCA"/>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paragraph" w:customStyle="1" w:styleId="FooterCouncil">
    <w:name w:val="Footer Council"/>
    <w:basedOn w:val="Normal"/>
    <w:link w:val="FooterCouncilChar"/>
    <w:rsid w:val="00733DCA"/>
    <w:pPr>
      <w:spacing w:after="0" w:line="276" w:lineRule="auto"/>
    </w:pPr>
    <w:rPr>
      <w:noProof/>
      <w:sz w:val="2"/>
    </w:rPr>
  </w:style>
  <w:style w:type="character" w:customStyle="1" w:styleId="FooterCouncilChar">
    <w:name w:val="Footer Council Char"/>
    <w:basedOn w:val="DefaultParagraphFont"/>
    <w:link w:val="FooterCouncil"/>
    <w:rsid w:val="00733DCA"/>
    <w:rPr>
      <w:noProof/>
      <w:sz w:val="2"/>
      <w:lang w:val="hr-HR"/>
    </w:rPr>
  </w:style>
  <w:style w:type="paragraph" w:customStyle="1" w:styleId="FooterText">
    <w:name w:val="Footer Text"/>
    <w:basedOn w:val="Normal"/>
    <w:rsid w:val="00733DC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3DCA"/>
    <w:rPr>
      <w:rFonts w:ascii="Times New Roman" w:hAnsi="Times New Roman" w:cs="Times New Roman"/>
      <w:sz w:val="24"/>
      <w:szCs w:val="24"/>
    </w:rPr>
  </w:style>
  <w:style w:type="paragraph" w:customStyle="1" w:styleId="inline-block">
    <w:name w:val="inline-block"/>
    <w:basedOn w:val="Normal"/>
    <w:rsid w:val="00733D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cxw121540484">
    <w:name w:val="scxw121540484"/>
    <w:basedOn w:val="DefaultParagraphFont"/>
    <w:rsid w:val="00146C1C"/>
  </w:style>
  <w:style w:type="character" w:customStyle="1" w:styleId="scxw226962243">
    <w:name w:val="scxw226962243"/>
    <w:basedOn w:val="DefaultParagraphFont"/>
    <w:rsid w:val="00042078"/>
  </w:style>
  <w:style w:type="character" w:styleId="Hyperlink">
    <w:name w:val="Hyperlink"/>
    <w:basedOn w:val="DefaultParagraphFont"/>
    <w:uiPriority w:val="99"/>
    <w:semiHidden/>
    <w:unhideWhenUsed/>
    <w:rsid w:val="00146C1C"/>
    <w:rPr>
      <w:color w:val="0000FF"/>
      <w:u w:val="single"/>
    </w:rPr>
  </w:style>
  <w:style w:type="character" w:customStyle="1" w:styleId="cf01">
    <w:name w:val="cf01"/>
    <w:basedOn w:val="DefaultParagraphFont"/>
    <w:rsid w:val="00146C1C"/>
    <w:rPr>
      <w:rFonts w:ascii="Segoe UI" w:hAnsi="Segoe UI" w:cs="Segoe UI" w:hint="default"/>
      <w:sz w:val="18"/>
      <w:szCs w:val="18"/>
      <w:shd w:val="clear" w:color="auto" w:fill="FFFF00"/>
    </w:rPr>
  </w:style>
  <w:style w:type="character" w:customStyle="1" w:styleId="cf11">
    <w:name w:val="cf11"/>
    <w:basedOn w:val="DefaultParagraphFont"/>
    <w:rsid w:val="00146C1C"/>
    <w:rPr>
      <w:rFonts w:ascii="Segoe UI" w:hAnsi="Segoe UI" w:cs="Segoe UI" w:hint="default"/>
      <w:sz w:val="18"/>
      <w:szCs w:val="18"/>
      <w:shd w:val="clear" w:color="auto" w:fill="FFFF00"/>
    </w:rPr>
  </w:style>
  <w:style w:type="character" w:customStyle="1" w:styleId="UnresolvedMention1">
    <w:name w:val="Unresolved Mention1"/>
    <w:basedOn w:val="DefaultParagraphFont"/>
    <w:uiPriority w:val="99"/>
    <w:unhideWhenUsed/>
    <w:rsid w:val="00F1451A"/>
    <w:rPr>
      <w:color w:val="605E5C"/>
      <w:shd w:val="clear" w:color="auto" w:fill="E1DFDD"/>
    </w:rPr>
  </w:style>
  <w:style w:type="character" w:customStyle="1" w:styleId="Mention1">
    <w:name w:val="Mention1"/>
    <w:basedOn w:val="DefaultParagraphFont"/>
    <w:uiPriority w:val="99"/>
    <w:unhideWhenUsed/>
    <w:rsid w:val="00F1451A"/>
    <w:rPr>
      <w:color w:val="2B579A"/>
      <w:shd w:val="clear" w:color="auto" w:fill="E1DFDD"/>
    </w:rPr>
  </w:style>
  <w:style w:type="character" w:customStyle="1" w:styleId="Mention">
    <w:name w:val="Mention"/>
    <w:basedOn w:val="DefaultParagraphFont"/>
    <w:uiPriority w:val="99"/>
    <w:unhideWhenUsed/>
    <w:rsid w:val="001E6304"/>
    <w:rPr>
      <w:color w:val="2B579A"/>
      <w:shd w:val="clear" w:color="auto" w:fill="E1DFDD"/>
    </w:rPr>
  </w:style>
  <w:style w:type="character" w:customStyle="1" w:styleId="UnresolvedMention2">
    <w:name w:val="Unresolved Mention2"/>
    <w:basedOn w:val="DefaultParagraphFont"/>
    <w:uiPriority w:val="99"/>
    <w:unhideWhenUsed/>
    <w:rsid w:val="00E1042A"/>
    <w:rPr>
      <w:color w:val="605E5C"/>
      <w:shd w:val="clear" w:color="auto" w:fill="E1DFDD"/>
    </w:rPr>
  </w:style>
  <w:style w:type="character" w:customStyle="1" w:styleId="Mention2">
    <w:name w:val="Mention2"/>
    <w:basedOn w:val="DefaultParagraphFont"/>
    <w:uiPriority w:val="99"/>
    <w:unhideWhenUsed/>
    <w:rsid w:val="00E1042A"/>
    <w:rPr>
      <w:color w:val="2B579A"/>
      <w:shd w:val="clear" w:color="auto" w:fill="E1DFDD"/>
    </w:rPr>
  </w:style>
  <w:style w:type="character" w:customStyle="1" w:styleId="Marker">
    <w:name w:val="Marker"/>
    <w:basedOn w:val="DefaultParagraphFont"/>
    <w:rsid w:val="00982114"/>
    <w:rPr>
      <w:color w:val="0000FF"/>
      <w:shd w:val="clear" w:color="auto" w:fill="auto"/>
    </w:rPr>
  </w:style>
  <w:style w:type="paragraph" w:customStyle="1" w:styleId="Pagedecouverture">
    <w:name w:val="Page de couverture"/>
    <w:basedOn w:val="Normal"/>
    <w:next w:val="Normal"/>
    <w:rsid w:val="00982114"/>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98211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82114"/>
    <w:rPr>
      <w:rFonts w:ascii="Times New Roman" w:hAnsi="Times New Roman" w:cs="Times New Roman"/>
      <w:sz w:val="24"/>
    </w:rPr>
  </w:style>
  <w:style w:type="paragraph" w:customStyle="1" w:styleId="FooterSensitivity">
    <w:name w:val="Footer Sensitivity"/>
    <w:basedOn w:val="Normal"/>
    <w:link w:val="FooterSensitivityChar"/>
    <w:rsid w:val="0098211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82114"/>
    <w:rPr>
      <w:rFonts w:ascii="Times New Roman" w:hAnsi="Times New Roman" w:cs="Times New Roman"/>
      <w:b/>
      <w:sz w:val="32"/>
    </w:rPr>
  </w:style>
  <w:style w:type="paragraph" w:customStyle="1" w:styleId="HeaderCoverPage">
    <w:name w:val="Header Cover Page"/>
    <w:basedOn w:val="Normal"/>
    <w:link w:val="HeaderCoverPageChar"/>
    <w:rsid w:val="0098211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82114"/>
    <w:rPr>
      <w:rFonts w:ascii="Times New Roman" w:hAnsi="Times New Roman" w:cs="Times New Roman"/>
      <w:sz w:val="24"/>
    </w:rPr>
  </w:style>
  <w:style w:type="paragraph" w:customStyle="1" w:styleId="HeaderSensitivity">
    <w:name w:val="Header Sensitivity"/>
    <w:basedOn w:val="Normal"/>
    <w:link w:val="HeaderSensitivityChar"/>
    <w:rsid w:val="0098211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82114"/>
    <w:rPr>
      <w:rFonts w:ascii="Times New Roman" w:hAnsi="Times New Roman" w:cs="Times New Roman"/>
      <w:b/>
      <w:sz w:val="32"/>
    </w:rPr>
  </w:style>
  <w:style w:type="paragraph" w:customStyle="1" w:styleId="HeaderSensitivityRight">
    <w:name w:val="Header Sensitivity Right"/>
    <w:basedOn w:val="Normal"/>
    <w:link w:val="HeaderSensitivityRightChar"/>
    <w:rsid w:val="0098211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82114"/>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8582">
      <w:bodyDiv w:val="1"/>
      <w:marLeft w:val="0"/>
      <w:marRight w:val="0"/>
      <w:marTop w:val="0"/>
      <w:marBottom w:val="0"/>
      <w:divBdr>
        <w:top w:val="none" w:sz="0" w:space="0" w:color="auto"/>
        <w:left w:val="none" w:sz="0" w:space="0" w:color="auto"/>
        <w:bottom w:val="none" w:sz="0" w:space="0" w:color="auto"/>
        <w:right w:val="none" w:sz="0" w:space="0" w:color="auto"/>
      </w:divBdr>
    </w:div>
    <w:div w:id="1216239056">
      <w:bodyDiv w:val="1"/>
      <w:marLeft w:val="0"/>
      <w:marRight w:val="0"/>
      <w:marTop w:val="0"/>
      <w:marBottom w:val="0"/>
      <w:divBdr>
        <w:top w:val="none" w:sz="0" w:space="0" w:color="auto"/>
        <w:left w:val="none" w:sz="0" w:space="0" w:color="auto"/>
        <w:bottom w:val="none" w:sz="0" w:space="0" w:color="auto"/>
        <w:right w:val="none" w:sz="0" w:space="0" w:color="auto"/>
      </w:divBdr>
      <w:divsChild>
        <w:div w:id="56518711">
          <w:marLeft w:val="0"/>
          <w:marRight w:val="0"/>
          <w:marTop w:val="0"/>
          <w:marBottom w:val="0"/>
          <w:divBdr>
            <w:top w:val="none" w:sz="0" w:space="0" w:color="auto"/>
            <w:left w:val="none" w:sz="0" w:space="0" w:color="auto"/>
            <w:bottom w:val="none" w:sz="0" w:space="0" w:color="auto"/>
            <w:right w:val="none" w:sz="0" w:space="0" w:color="auto"/>
          </w:divBdr>
        </w:div>
        <w:div w:id="82604629">
          <w:marLeft w:val="0"/>
          <w:marRight w:val="0"/>
          <w:marTop w:val="0"/>
          <w:marBottom w:val="0"/>
          <w:divBdr>
            <w:top w:val="none" w:sz="0" w:space="0" w:color="auto"/>
            <w:left w:val="none" w:sz="0" w:space="0" w:color="auto"/>
            <w:bottom w:val="none" w:sz="0" w:space="0" w:color="auto"/>
            <w:right w:val="none" w:sz="0" w:space="0" w:color="auto"/>
          </w:divBdr>
        </w:div>
        <w:div w:id="95518010">
          <w:marLeft w:val="0"/>
          <w:marRight w:val="0"/>
          <w:marTop w:val="0"/>
          <w:marBottom w:val="0"/>
          <w:divBdr>
            <w:top w:val="none" w:sz="0" w:space="0" w:color="auto"/>
            <w:left w:val="none" w:sz="0" w:space="0" w:color="auto"/>
            <w:bottom w:val="none" w:sz="0" w:space="0" w:color="auto"/>
            <w:right w:val="none" w:sz="0" w:space="0" w:color="auto"/>
          </w:divBdr>
        </w:div>
        <w:div w:id="456224752">
          <w:marLeft w:val="0"/>
          <w:marRight w:val="0"/>
          <w:marTop w:val="0"/>
          <w:marBottom w:val="0"/>
          <w:divBdr>
            <w:top w:val="none" w:sz="0" w:space="0" w:color="auto"/>
            <w:left w:val="none" w:sz="0" w:space="0" w:color="auto"/>
            <w:bottom w:val="none" w:sz="0" w:space="0" w:color="auto"/>
            <w:right w:val="none" w:sz="0" w:space="0" w:color="auto"/>
          </w:divBdr>
        </w:div>
        <w:div w:id="647980838">
          <w:marLeft w:val="0"/>
          <w:marRight w:val="0"/>
          <w:marTop w:val="0"/>
          <w:marBottom w:val="0"/>
          <w:divBdr>
            <w:top w:val="none" w:sz="0" w:space="0" w:color="auto"/>
            <w:left w:val="none" w:sz="0" w:space="0" w:color="auto"/>
            <w:bottom w:val="none" w:sz="0" w:space="0" w:color="auto"/>
            <w:right w:val="none" w:sz="0" w:space="0" w:color="auto"/>
          </w:divBdr>
        </w:div>
        <w:div w:id="1475373974">
          <w:marLeft w:val="0"/>
          <w:marRight w:val="0"/>
          <w:marTop w:val="0"/>
          <w:marBottom w:val="0"/>
          <w:divBdr>
            <w:top w:val="none" w:sz="0" w:space="0" w:color="auto"/>
            <w:left w:val="none" w:sz="0" w:space="0" w:color="auto"/>
            <w:bottom w:val="none" w:sz="0" w:space="0" w:color="auto"/>
            <w:right w:val="none" w:sz="0" w:space="0" w:color="auto"/>
          </w:divBdr>
        </w:div>
      </w:divsChild>
    </w:div>
    <w:div w:id="1675646078">
      <w:bodyDiv w:val="1"/>
      <w:marLeft w:val="0"/>
      <w:marRight w:val="0"/>
      <w:marTop w:val="0"/>
      <w:marBottom w:val="0"/>
      <w:divBdr>
        <w:top w:val="none" w:sz="0" w:space="0" w:color="auto"/>
        <w:left w:val="none" w:sz="0" w:space="0" w:color="auto"/>
        <w:bottom w:val="none" w:sz="0" w:space="0" w:color="auto"/>
        <w:right w:val="none" w:sz="0" w:space="0" w:color="auto"/>
      </w:divBdr>
    </w:div>
    <w:div w:id="1727332354">
      <w:bodyDiv w:val="1"/>
      <w:marLeft w:val="0"/>
      <w:marRight w:val="0"/>
      <w:marTop w:val="0"/>
      <w:marBottom w:val="0"/>
      <w:divBdr>
        <w:top w:val="none" w:sz="0" w:space="0" w:color="auto"/>
        <w:left w:val="none" w:sz="0" w:space="0" w:color="auto"/>
        <w:bottom w:val="none" w:sz="0" w:space="0" w:color="auto"/>
        <w:right w:val="none" w:sz="0" w:space="0" w:color="auto"/>
      </w:divBdr>
      <w:divsChild>
        <w:div w:id="3017637">
          <w:marLeft w:val="0"/>
          <w:marRight w:val="0"/>
          <w:marTop w:val="0"/>
          <w:marBottom w:val="0"/>
          <w:divBdr>
            <w:top w:val="none" w:sz="0" w:space="0" w:color="auto"/>
            <w:left w:val="none" w:sz="0" w:space="0" w:color="auto"/>
            <w:bottom w:val="none" w:sz="0" w:space="0" w:color="auto"/>
            <w:right w:val="none" w:sz="0" w:space="0" w:color="auto"/>
          </w:divBdr>
          <w:divsChild>
            <w:div w:id="1483303970">
              <w:marLeft w:val="0"/>
              <w:marRight w:val="0"/>
              <w:marTop w:val="0"/>
              <w:marBottom w:val="0"/>
              <w:divBdr>
                <w:top w:val="none" w:sz="0" w:space="0" w:color="auto"/>
                <w:left w:val="none" w:sz="0" w:space="0" w:color="auto"/>
                <w:bottom w:val="none" w:sz="0" w:space="0" w:color="auto"/>
                <w:right w:val="none" w:sz="0" w:space="0" w:color="auto"/>
              </w:divBdr>
            </w:div>
          </w:divsChild>
        </w:div>
        <w:div w:id="127628836">
          <w:marLeft w:val="0"/>
          <w:marRight w:val="0"/>
          <w:marTop w:val="0"/>
          <w:marBottom w:val="0"/>
          <w:divBdr>
            <w:top w:val="none" w:sz="0" w:space="0" w:color="auto"/>
            <w:left w:val="none" w:sz="0" w:space="0" w:color="auto"/>
            <w:bottom w:val="none" w:sz="0" w:space="0" w:color="auto"/>
            <w:right w:val="none" w:sz="0" w:space="0" w:color="auto"/>
          </w:divBdr>
          <w:divsChild>
            <w:div w:id="1547641465">
              <w:marLeft w:val="0"/>
              <w:marRight w:val="0"/>
              <w:marTop w:val="0"/>
              <w:marBottom w:val="0"/>
              <w:divBdr>
                <w:top w:val="none" w:sz="0" w:space="0" w:color="auto"/>
                <w:left w:val="none" w:sz="0" w:space="0" w:color="auto"/>
                <w:bottom w:val="none" w:sz="0" w:space="0" w:color="auto"/>
                <w:right w:val="none" w:sz="0" w:space="0" w:color="auto"/>
              </w:divBdr>
            </w:div>
          </w:divsChild>
        </w:div>
        <w:div w:id="165751412">
          <w:marLeft w:val="0"/>
          <w:marRight w:val="0"/>
          <w:marTop w:val="0"/>
          <w:marBottom w:val="0"/>
          <w:divBdr>
            <w:top w:val="none" w:sz="0" w:space="0" w:color="auto"/>
            <w:left w:val="none" w:sz="0" w:space="0" w:color="auto"/>
            <w:bottom w:val="none" w:sz="0" w:space="0" w:color="auto"/>
            <w:right w:val="none" w:sz="0" w:space="0" w:color="auto"/>
          </w:divBdr>
          <w:divsChild>
            <w:div w:id="1202324444">
              <w:marLeft w:val="0"/>
              <w:marRight w:val="0"/>
              <w:marTop w:val="0"/>
              <w:marBottom w:val="0"/>
              <w:divBdr>
                <w:top w:val="none" w:sz="0" w:space="0" w:color="auto"/>
                <w:left w:val="none" w:sz="0" w:space="0" w:color="auto"/>
                <w:bottom w:val="none" w:sz="0" w:space="0" w:color="auto"/>
                <w:right w:val="none" w:sz="0" w:space="0" w:color="auto"/>
              </w:divBdr>
            </w:div>
          </w:divsChild>
        </w:div>
        <w:div w:id="291910644">
          <w:marLeft w:val="0"/>
          <w:marRight w:val="0"/>
          <w:marTop w:val="0"/>
          <w:marBottom w:val="0"/>
          <w:divBdr>
            <w:top w:val="none" w:sz="0" w:space="0" w:color="auto"/>
            <w:left w:val="none" w:sz="0" w:space="0" w:color="auto"/>
            <w:bottom w:val="none" w:sz="0" w:space="0" w:color="auto"/>
            <w:right w:val="none" w:sz="0" w:space="0" w:color="auto"/>
          </w:divBdr>
          <w:divsChild>
            <w:div w:id="1452941928">
              <w:marLeft w:val="0"/>
              <w:marRight w:val="0"/>
              <w:marTop w:val="0"/>
              <w:marBottom w:val="0"/>
              <w:divBdr>
                <w:top w:val="none" w:sz="0" w:space="0" w:color="auto"/>
                <w:left w:val="none" w:sz="0" w:space="0" w:color="auto"/>
                <w:bottom w:val="none" w:sz="0" w:space="0" w:color="auto"/>
                <w:right w:val="none" w:sz="0" w:space="0" w:color="auto"/>
              </w:divBdr>
            </w:div>
          </w:divsChild>
        </w:div>
        <w:div w:id="296837946">
          <w:marLeft w:val="0"/>
          <w:marRight w:val="0"/>
          <w:marTop w:val="0"/>
          <w:marBottom w:val="0"/>
          <w:divBdr>
            <w:top w:val="none" w:sz="0" w:space="0" w:color="auto"/>
            <w:left w:val="none" w:sz="0" w:space="0" w:color="auto"/>
            <w:bottom w:val="none" w:sz="0" w:space="0" w:color="auto"/>
            <w:right w:val="none" w:sz="0" w:space="0" w:color="auto"/>
          </w:divBdr>
          <w:divsChild>
            <w:div w:id="1320570759">
              <w:marLeft w:val="0"/>
              <w:marRight w:val="0"/>
              <w:marTop w:val="0"/>
              <w:marBottom w:val="0"/>
              <w:divBdr>
                <w:top w:val="none" w:sz="0" w:space="0" w:color="auto"/>
                <w:left w:val="none" w:sz="0" w:space="0" w:color="auto"/>
                <w:bottom w:val="none" w:sz="0" w:space="0" w:color="auto"/>
                <w:right w:val="none" w:sz="0" w:space="0" w:color="auto"/>
              </w:divBdr>
            </w:div>
          </w:divsChild>
        </w:div>
        <w:div w:id="364259294">
          <w:marLeft w:val="0"/>
          <w:marRight w:val="0"/>
          <w:marTop w:val="0"/>
          <w:marBottom w:val="0"/>
          <w:divBdr>
            <w:top w:val="none" w:sz="0" w:space="0" w:color="auto"/>
            <w:left w:val="none" w:sz="0" w:space="0" w:color="auto"/>
            <w:bottom w:val="none" w:sz="0" w:space="0" w:color="auto"/>
            <w:right w:val="none" w:sz="0" w:space="0" w:color="auto"/>
          </w:divBdr>
          <w:divsChild>
            <w:div w:id="557132573">
              <w:marLeft w:val="0"/>
              <w:marRight w:val="0"/>
              <w:marTop w:val="0"/>
              <w:marBottom w:val="0"/>
              <w:divBdr>
                <w:top w:val="none" w:sz="0" w:space="0" w:color="auto"/>
                <w:left w:val="none" w:sz="0" w:space="0" w:color="auto"/>
                <w:bottom w:val="none" w:sz="0" w:space="0" w:color="auto"/>
                <w:right w:val="none" w:sz="0" w:space="0" w:color="auto"/>
              </w:divBdr>
            </w:div>
          </w:divsChild>
        </w:div>
        <w:div w:id="469135504">
          <w:marLeft w:val="0"/>
          <w:marRight w:val="0"/>
          <w:marTop w:val="0"/>
          <w:marBottom w:val="0"/>
          <w:divBdr>
            <w:top w:val="none" w:sz="0" w:space="0" w:color="auto"/>
            <w:left w:val="none" w:sz="0" w:space="0" w:color="auto"/>
            <w:bottom w:val="none" w:sz="0" w:space="0" w:color="auto"/>
            <w:right w:val="none" w:sz="0" w:space="0" w:color="auto"/>
          </w:divBdr>
          <w:divsChild>
            <w:div w:id="1519585068">
              <w:marLeft w:val="0"/>
              <w:marRight w:val="0"/>
              <w:marTop w:val="0"/>
              <w:marBottom w:val="0"/>
              <w:divBdr>
                <w:top w:val="none" w:sz="0" w:space="0" w:color="auto"/>
                <w:left w:val="none" w:sz="0" w:space="0" w:color="auto"/>
                <w:bottom w:val="none" w:sz="0" w:space="0" w:color="auto"/>
                <w:right w:val="none" w:sz="0" w:space="0" w:color="auto"/>
              </w:divBdr>
            </w:div>
          </w:divsChild>
        </w:div>
        <w:div w:id="536241453">
          <w:marLeft w:val="0"/>
          <w:marRight w:val="0"/>
          <w:marTop w:val="0"/>
          <w:marBottom w:val="0"/>
          <w:divBdr>
            <w:top w:val="none" w:sz="0" w:space="0" w:color="auto"/>
            <w:left w:val="none" w:sz="0" w:space="0" w:color="auto"/>
            <w:bottom w:val="none" w:sz="0" w:space="0" w:color="auto"/>
            <w:right w:val="none" w:sz="0" w:space="0" w:color="auto"/>
          </w:divBdr>
          <w:divsChild>
            <w:div w:id="1051921670">
              <w:marLeft w:val="0"/>
              <w:marRight w:val="0"/>
              <w:marTop w:val="0"/>
              <w:marBottom w:val="0"/>
              <w:divBdr>
                <w:top w:val="none" w:sz="0" w:space="0" w:color="auto"/>
                <w:left w:val="none" w:sz="0" w:space="0" w:color="auto"/>
                <w:bottom w:val="none" w:sz="0" w:space="0" w:color="auto"/>
                <w:right w:val="none" w:sz="0" w:space="0" w:color="auto"/>
              </w:divBdr>
            </w:div>
          </w:divsChild>
        </w:div>
        <w:div w:id="581375591">
          <w:marLeft w:val="0"/>
          <w:marRight w:val="0"/>
          <w:marTop w:val="0"/>
          <w:marBottom w:val="0"/>
          <w:divBdr>
            <w:top w:val="none" w:sz="0" w:space="0" w:color="auto"/>
            <w:left w:val="none" w:sz="0" w:space="0" w:color="auto"/>
            <w:bottom w:val="none" w:sz="0" w:space="0" w:color="auto"/>
            <w:right w:val="none" w:sz="0" w:space="0" w:color="auto"/>
          </w:divBdr>
          <w:divsChild>
            <w:div w:id="589584654">
              <w:marLeft w:val="0"/>
              <w:marRight w:val="0"/>
              <w:marTop w:val="0"/>
              <w:marBottom w:val="0"/>
              <w:divBdr>
                <w:top w:val="none" w:sz="0" w:space="0" w:color="auto"/>
                <w:left w:val="none" w:sz="0" w:space="0" w:color="auto"/>
                <w:bottom w:val="none" w:sz="0" w:space="0" w:color="auto"/>
                <w:right w:val="none" w:sz="0" w:space="0" w:color="auto"/>
              </w:divBdr>
            </w:div>
          </w:divsChild>
        </w:div>
        <w:div w:id="600601153">
          <w:marLeft w:val="0"/>
          <w:marRight w:val="0"/>
          <w:marTop w:val="0"/>
          <w:marBottom w:val="0"/>
          <w:divBdr>
            <w:top w:val="none" w:sz="0" w:space="0" w:color="auto"/>
            <w:left w:val="none" w:sz="0" w:space="0" w:color="auto"/>
            <w:bottom w:val="none" w:sz="0" w:space="0" w:color="auto"/>
            <w:right w:val="none" w:sz="0" w:space="0" w:color="auto"/>
          </w:divBdr>
          <w:divsChild>
            <w:div w:id="784082450">
              <w:marLeft w:val="0"/>
              <w:marRight w:val="0"/>
              <w:marTop w:val="0"/>
              <w:marBottom w:val="0"/>
              <w:divBdr>
                <w:top w:val="none" w:sz="0" w:space="0" w:color="auto"/>
                <w:left w:val="none" w:sz="0" w:space="0" w:color="auto"/>
                <w:bottom w:val="none" w:sz="0" w:space="0" w:color="auto"/>
                <w:right w:val="none" w:sz="0" w:space="0" w:color="auto"/>
              </w:divBdr>
            </w:div>
          </w:divsChild>
        </w:div>
        <w:div w:id="728891712">
          <w:marLeft w:val="0"/>
          <w:marRight w:val="0"/>
          <w:marTop w:val="0"/>
          <w:marBottom w:val="0"/>
          <w:divBdr>
            <w:top w:val="none" w:sz="0" w:space="0" w:color="auto"/>
            <w:left w:val="none" w:sz="0" w:space="0" w:color="auto"/>
            <w:bottom w:val="none" w:sz="0" w:space="0" w:color="auto"/>
            <w:right w:val="none" w:sz="0" w:space="0" w:color="auto"/>
          </w:divBdr>
          <w:divsChild>
            <w:div w:id="1334065053">
              <w:marLeft w:val="0"/>
              <w:marRight w:val="0"/>
              <w:marTop w:val="0"/>
              <w:marBottom w:val="0"/>
              <w:divBdr>
                <w:top w:val="none" w:sz="0" w:space="0" w:color="auto"/>
                <w:left w:val="none" w:sz="0" w:space="0" w:color="auto"/>
                <w:bottom w:val="none" w:sz="0" w:space="0" w:color="auto"/>
                <w:right w:val="none" w:sz="0" w:space="0" w:color="auto"/>
              </w:divBdr>
            </w:div>
          </w:divsChild>
        </w:div>
        <w:div w:id="803815126">
          <w:marLeft w:val="0"/>
          <w:marRight w:val="0"/>
          <w:marTop w:val="0"/>
          <w:marBottom w:val="0"/>
          <w:divBdr>
            <w:top w:val="none" w:sz="0" w:space="0" w:color="auto"/>
            <w:left w:val="none" w:sz="0" w:space="0" w:color="auto"/>
            <w:bottom w:val="none" w:sz="0" w:space="0" w:color="auto"/>
            <w:right w:val="none" w:sz="0" w:space="0" w:color="auto"/>
          </w:divBdr>
          <w:divsChild>
            <w:div w:id="665322584">
              <w:marLeft w:val="0"/>
              <w:marRight w:val="0"/>
              <w:marTop w:val="0"/>
              <w:marBottom w:val="0"/>
              <w:divBdr>
                <w:top w:val="none" w:sz="0" w:space="0" w:color="auto"/>
                <w:left w:val="none" w:sz="0" w:space="0" w:color="auto"/>
                <w:bottom w:val="none" w:sz="0" w:space="0" w:color="auto"/>
                <w:right w:val="none" w:sz="0" w:space="0" w:color="auto"/>
              </w:divBdr>
            </w:div>
          </w:divsChild>
        </w:div>
        <w:div w:id="874316037">
          <w:marLeft w:val="0"/>
          <w:marRight w:val="0"/>
          <w:marTop w:val="0"/>
          <w:marBottom w:val="0"/>
          <w:divBdr>
            <w:top w:val="none" w:sz="0" w:space="0" w:color="auto"/>
            <w:left w:val="none" w:sz="0" w:space="0" w:color="auto"/>
            <w:bottom w:val="none" w:sz="0" w:space="0" w:color="auto"/>
            <w:right w:val="none" w:sz="0" w:space="0" w:color="auto"/>
          </w:divBdr>
          <w:divsChild>
            <w:div w:id="1862165472">
              <w:marLeft w:val="0"/>
              <w:marRight w:val="0"/>
              <w:marTop w:val="0"/>
              <w:marBottom w:val="0"/>
              <w:divBdr>
                <w:top w:val="none" w:sz="0" w:space="0" w:color="auto"/>
                <w:left w:val="none" w:sz="0" w:space="0" w:color="auto"/>
                <w:bottom w:val="none" w:sz="0" w:space="0" w:color="auto"/>
                <w:right w:val="none" w:sz="0" w:space="0" w:color="auto"/>
              </w:divBdr>
            </w:div>
          </w:divsChild>
        </w:div>
        <w:div w:id="921523507">
          <w:marLeft w:val="0"/>
          <w:marRight w:val="0"/>
          <w:marTop w:val="0"/>
          <w:marBottom w:val="0"/>
          <w:divBdr>
            <w:top w:val="none" w:sz="0" w:space="0" w:color="auto"/>
            <w:left w:val="none" w:sz="0" w:space="0" w:color="auto"/>
            <w:bottom w:val="none" w:sz="0" w:space="0" w:color="auto"/>
            <w:right w:val="none" w:sz="0" w:space="0" w:color="auto"/>
          </w:divBdr>
          <w:divsChild>
            <w:div w:id="973562635">
              <w:marLeft w:val="0"/>
              <w:marRight w:val="0"/>
              <w:marTop w:val="0"/>
              <w:marBottom w:val="0"/>
              <w:divBdr>
                <w:top w:val="none" w:sz="0" w:space="0" w:color="auto"/>
                <w:left w:val="none" w:sz="0" w:space="0" w:color="auto"/>
                <w:bottom w:val="none" w:sz="0" w:space="0" w:color="auto"/>
                <w:right w:val="none" w:sz="0" w:space="0" w:color="auto"/>
              </w:divBdr>
            </w:div>
          </w:divsChild>
        </w:div>
        <w:div w:id="931819069">
          <w:marLeft w:val="0"/>
          <w:marRight w:val="0"/>
          <w:marTop w:val="0"/>
          <w:marBottom w:val="0"/>
          <w:divBdr>
            <w:top w:val="none" w:sz="0" w:space="0" w:color="auto"/>
            <w:left w:val="none" w:sz="0" w:space="0" w:color="auto"/>
            <w:bottom w:val="none" w:sz="0" w:space="0" w:color="auto"/>
            <w:right w:val="none" w:sz="0" w:space="0" w:color="auto"/>
          </w:divBdr>
          <w:divsChild>
            <w:div w:id="521553306">
              <w:marLeft w:val="0"/>
              <w:marRight w:val="0"/>
              <w:marTop w:val="0"/>
              <w:marBottom w:val="0"/>
              <w:divBdr>
                <w:top w:val="none" w:sz="0" w:space="0" w:color="auto"/>
                <w:left w:val="none" w:sz="0" w:space="0" w:color="auto"/>
                <w:bottom w:val="none" w:sz="0" w:space="0" w:color="auto"/>
                <w:right w:val="none" w:sz="0" w:space="0" w:color="auto"/>
              </w:divBdr>
            </w:div>
          </w:divsChild>
        </w:div>
        <w:div w:id="991367325">
          <w:marLeft w:val="0"/>
          <w:marRight w:val="0"/>
          <w:marTop w:val="0"/>
          <w:marBottom w:val="0"/>
          <w:divBdr>
            <w:top w:val="none" w:sz="0" w:space="0" w:color="auto"/>
            <w:left w:val="none" w:sz="0" w:space="0" w:color="auto"/>
            <w:bottom w:val="none" w:sz="0" w:space="0" w:color="auto"/>
            <w:right w:val="none" w:sz="0" w:space="0" w:color="auto"/>
          </w:divBdr>
          <w:divsChild>
            <w:div w:id="696736896">
              <w:marLeft w:val="0"/>
              <w:marRight w:val="0"/>
              <w:marTop w:val="0"/>
              <w:marBottom w:val="0"/>
              <w:divBdr>
                <w:top w:val="none" w:sz="0" w:space="0" w:color="auto"/>
                <w:left w:val="none" w:sz="0" w:space="0" w:color="auto"/>
                <w:bottom w:val="none" w:sz="0" w:space="0" w:color="auto"/>
                <w:right w:val="none" w:sz="0" w:space="0" w:color="auto"/>
              </w:divBdr>
            </w:div>
          </w:divsChild>
        </w:div>
        <w:div w:id="1017923540">
          <w:marLeft w:val="0"/>
          <w:marRight w:val="0"/>
          <w:marTop w:val="0"/>
          <w:marBottom w:val="0"/>
          <w:divBdr>
            <w:top w:val="none" w:sz="0" w:space="0" w:color="auto"/>
            <w:left w:val="none" w:sz="0" w:space="0" w:color="auto"/>
            <w:bottom w:val="none" w:sz="0" w:space="0" w:color="auto"/>
            <w:right w:val="none" w:sz="0" w:space="0" w:color="auto"/>
          </w:divBdr>
          <w:divsChild>
            <w:div w:id="1567909760">
              <w:marLeft w:val="0"/>
              <w:marRight w:val="0"/>
              <w:marTop w:val="0"/>
              <w:marBottom w:val="0"/>
              <w:divBdr>
                <w:top w:val="none" w:sz="0" w:space="0" w:color="auto"/>
                <w:left w:val="none" w:sz="0" w:space="0" w:color="auto"/>
                <w:bottom w:val="none" w:sz="0" w:space="0" w:color="auto"/>
                <w:right w:val="none" w:sz="0" w:space="0" w:color="auto"/>
              </w:divBdr>
            </w:div>
          </w:divsChild>
        </w:div>
        <w:div w:id="1059087730">
          <w:marLeft w:val="0"/>
          <w:marRight w:val="0"/>
          <w:marTop w:val="0"/>
          <w:marBottom w:val="0"/>
          <w:divBdr>
            <w:top w:val="none" w:sz="0" w:space="0" w:color="auto"/>
            <w:left w:val="none" w:sz="0" w:space="0" w:color="auto"/>
            <w:bottom w:val="none" w:sz="0" w:space="0" w:color="auto"/>
            <w:right w:val="none" w:sz="0" w:space="0" w:color="auto"/>
          </w:divBdr>
          <w:divsChild>
            <w:div w:id="413236054">
              <w:marLeft w:val="0"/>
              <w:marRight w:val="0"/>
              <w:marTop w:val="0"/>
              <w:marBottom w:val="0"/>
              <w:divBdr>
                <w:top w:val="none" w:sz="0" w:space="0" w:color="auto"/>
                <w:left w:val="none" w:sz="0" w:space="0" w:color="auto"/>
                <w:bottom w:val="none" w:sz="0" w:space="0" w:color="auto"/>
                <w:right w:val="none" w:sz="0" w:space="0" w:color="auto"/>
              </w:divBdr>
            </w:div>
          </w:divsChild>
        </w:div>
        <w:div w:id="1179925390">
          <w:marLeft w:val="0"/>
          <w:marRight w:val="0"/>
          <w:marTop w:val="0"/>
          <w:marBottom w:val="0"/>
          <w:divBdr>
            <w:top w:val="none" w:sz="0" w:space="0" w:color="auto"/>
            <w:left w:val="none" w:sz="0" w:space="0" w:color="auto"/>
            <w:bottom w:val="none" w:sz="0" w:space="0" w:color="auto"/>
            <w:right w:val="none" w:sz="0" w:space="0" w:color="auto"/>
          </w:divBdr>
          <w:divsChild>
            <w:div w:id="536285017">
              <w:marLeft w:val="0"/>
              <w:marRight w:val="0"/>
              <w:marTop w:val="0"/>
              <w:marBottom w:val="0"/>
              <w:divBdr>
                <w:top w:val="none" w:sz="0" w:space="0" w:color="auto"/>
                <w:left w:val="none" w:sz="0" w:space="0" w:color="auto"/>
                <w:bottom w:val="none" w:sz="0" w:space="0" w:color="auto"/>
                <w:right w:val="none" w:sz="0" w:space="0" w:color="auto"/>
              </w:divBdr>
            </w:div>
          </w:divsChild>
        </w:div>
        <w:div w:id="1231814775">
          <w:marLeft w:val="0"/>
          <w:marRight w:val="0"/>
          <w:marTop w:val="0"/>
          <w:marBottom w:val="0"/>
          <w:divBdr>
            <w:top w:val="none" w:sz="0" w:space="0" w:color="auto"/>
            <w:left w:val="none" w:sz="0" w:space="0" w:color="auto"/>
            <w:bottom w:val="none" w:sz="0" w:space="0" w:color="auto"/>
            <w:right w:val="none" w:sz="0" w:space="0" w:color="auto"/>
          </w:divBdr>
          <w:divsChild>
            <w:div w:id="35979830">
              <w:marLeft w:val="0"/>
              <w:marRight w:val="0"/>
              <w:marTop w:val="0"/>
              <w:marBottom w:val="0"/>
              <w:divBdr>
                <w:top w:val="none" w:sz="0" w:space="0" w:color="auto"/>
                <w:left w:val="none" w:sz="0" w:space="0" w:color="auto"/>
                <w:bottom w:val="none" w:sz="0" w:space="0" w:color="auto"/>
                <w:right w:val="none" w:sz="0" w:space="0" w:color="auto"/>
              </w:divBdr>
            </w:div>
          </w:divsChild>
        </w:div>
        <w:div w:id="1275594586">
          <w:marLeft w:val="0"/>
          <w:marRight w:val="0"/>
          <w:marTop w:val="0"/>
          <w:marBottom w:val="0"/>
          <w:divBdr>
            <w:top w:val="none" w:sz="0" w:space="0" w:color="auto"/>
            <w:left w:val="none" w:sz="0" w:space="0" w:color="auto"/>
            <w:bottom w:val="none" w:sz="0" w:space="0" w:color="auto"/>
            <w:right w:val="none" w:sz="0" w:space="0" w:color="auto"/>
          </w:divBdr>
          <w:divsChild>
            <w:div w:id="1286544071">
              <w:marLeft w:val="0"/>
              <w:marRight w:val="0"/>
              <w:marTop w:val="0"/>
              <w:marBottom w:val="0"/>
              <w:divBdr>
                <w:top w:val="none" w:sz="0" w:space="0" w:color="auto"/>
                <w:left w:val="none" w:sz="0" w:space="0" w:color="auto"/>
                <w:bottom w:val="none" w:sz="0" w:space="0" w:color="auto"/>
                <w:right w:val="none" w:sz="0" w:space="0" w:color="auto"/>
              </w:divBdr>
            </w:div>
          </w:divsChild>
        </w:div>
        <w:div w:id="1322659098">
          <w:marLeft w:val="0"/>
          <w:marRight w:val="0"/>
          <w:marTop w:val="0"/>
          <w:marBottom w:val="0"/>
          <w:divBdr>
            <w:top w:val="none" w:sz="0" w:space="0" w:color="auto"/>
            <w:left w:val="none" w:sz="0" w:space="0" w:color="auto"/>
            <w:bottom w:val="none" w:sz="0" w:space="0" w:color="auto"/>
            <w:right w:val="none" w:sz="0" w:space="0" w:color="auto"/>
          </w:divBdr>
          <w:divsChild>
            <w:div w:id="169300579">
              <w:marLeft w:val="0"/>
              <w:marRight w:val="0"/>
              <w:marTop w:val="0"/>
              <w:marBottom w:val="0"/>
              <w:divBdr>
                <w:top w:val="none" w:sz="0" w:space="0" w:color="auto"/>
                <w:left w:val="none" w:sz="0" w:space="0" w:color="auto"/>
                <w:bottom w:val="none" w:sz="0" w:space="0" w:color="auto"/>
                <w:right w:val="none" w:sz="0" w:space="0" w:color="auto"/>
              </w:divBdr>
            </w:div>
          </w:divsChild>
        </w:div>
        <w:div w:id="1333028128">
          <w:marLeft w:val="0"/>
          <w:marRight w:val="0"/>
          <w:marTop w:val="0"/>
          <w:marBottom w:val="0"/>
          <w:divBdr>
            <w:top w:val="none" w:sz="0" w:space="0" w:color="auto"/>
            <w:left w:val="none" w:sz="0" w:space="0" w:color="auto"/>
            <w:bottom w:val="none" w:sz="0" w:space="0" w:color="auto"/>
            <w:right w:val="none" w:sz="0" w:space="0" w:color="auto"/>
          </w:divBdr>
          <w:divsChild>
            <w:div w:id="337539482">
              <w:marLeft w:val="0"/>
              <w:marRight w:val="0"/>
              <w:marTop w:val="0"/>
              <w:marBottom w:val="0"/>
              <w:divBdr>
                <w:top w:val="none" w:sz="0" w:space="0" w:color="auto"/>
                <w:left w:val="none" w:sz="0" w:space="0" w:color="auto"/>
                <w:bottom w:val="none" w:sz="0" w:space="0" w:color="auto"/>
                <w:right w:val="none" w:sz="0" w:space="0" w:color="auto"/>
              </w:divBdr>
            </w:div>
          </w:divsChild>
        </w:div>
        <w:div w:id="1477183990">
          <w:marLeft w:val="0"/>
          <w:marRight w:val="0"/>
          <w:marTop w:val="0"/>
          <w:marBottom w:val="0"/>
          <w:divBdr>
            <w:top w:val="none" w:sz="0" w:space="0" w:color="auto"/>
            <w:left w:val="none" w:sz="0" w:space="0" w:color="auto"/>
            <w:bottom w:val="none" w:sz="0" w:space="0" w:color="auto"/>
            <w:right w:val="none" w:sz="0" w:space="0" w:color="auto"/>
          </w:divBdr>
          <w:divsChild>
            <w:div w:id="1426458497">
              <w:marLeft w:val="0"/>
              <w:marRight w:val="0"/>
              <w:marTop w:val="0"/>
              <w:marBottom w:val="0"/>
              <w:divBdr>
                <w:top w:val="none" w:sz="0" w:space="0" w:color="auto"/>
                <w:left w:val="none" w:sz="0" w:space="0" w:color="auto"/>
                <w:bottom w:val="none" w:sz="0" w:space="0" w:color="auto"/>
                <w:right w:val="none" w:sz="0" w:space="0" w:color="auto"/>
              </w:divBdr>
            </w:div>
          </w:divsChild>
        </w:div>
        <w:div w:id="1564172787">
          <w:marLeft w:val="0"/>
          <w:marRight w:val="0"/>
          <w:marTop w:val="0"/>
          <w:marBottom w:val="0"/>
          <w:divBdr>
            <w:top w:val="none" w:sz="0" w:space="0" w:color="auto"/>
            <w:left w:val="none" w:sz="0" w:space="0" w:color="auto"/>
            <w:bottom w:val="none" w:sz="0" w:space="0" w:color="auto"/>
            <w:right w:val="none" w:sz="0" w:space="0" w:color="auto"/>
          </w:divBdr>
          <w:divsChild>
            <w:div w:id="1554005762">
              <w:marLeft w:val="0"/>
              <w:marRight w:val="0"/>
              <w:marTop w:val="0"/>
              <w:marBottom w:val="0"/>
              <w:divBdr>
                <w:top w:val="none" w:sz="0" w:space="0" w:color="auto"/>
                <w:left w:val="none" w:sz="0" w:space="0" w:color="auto"/>
                <w:bottom w:val="none" w:sz="0" w:space="0" w:color="auto"/>
                <w:right w:val="none" w:sz="0" w:space="0" w:color="auto"/>
              </w:divBdr>
            </w:div>
          </w:divsChild>
        </w:div>
        <w:div w:id="1708409522">
          <w:marLeft w:val="0"/>
          <w:marRight w:val="0"/>
          <w:marTop w:val="0"/>
          <w:marBottom w:val="0"/>
          <w:divBdr>
            <w:top w:val="none" w:sz="0" w:space="0" w:color="auto"/>
            <w:left w:val="none" w:sz="0" w:space="0" w:color="auto"/>
            <w:bottom w:val="none" w:sz="0" w:space="0" w:color="auto"/>
            <w:right w:val="none" w:sz="0" w:space="0" w:color="auto"/>
          </w:divBdr>
          <w:divsChild>
            <w:div w:id="851452536">
              <w:marLeft w:val="0"/>
              <w:marRight w:val="0"/>
              <w:marTop w:val="0"/>
              <w:marBottom w:val="0"/>
              <w:divBdr>
                <w:top w:val="none" w:sz="0" w:space="0" w:color="auto"/>
                <w:left w:val="none" w:sz="0" w:space="0" w:color="auto"/>
                <w:bottom w:val="none" w:sz="0" w:space="0" w:color="auto"/>
                <w:right w:val="none" w:sz="0" w:space="0" w:color="auto"/>
              </w:divBdr>
            </w:div>
          </w:divsChild>
        </w:div>
        <w:div w:id="1737514391">
          <w:marLeft w:val="0"/>
          <w:marRight w:val="0"/>
          <w:marTop w:val="0"/>
          <w:marBottom w:val="0"/>
          <w:divBdr>
            <w:top w:val="none" w:sz="0" w:space="0" w:color="auto"/>
            <w:left w:val="none" w:sz="0" w:space="0" w:color="auto"/>
            <w:bottom w:val="none" w:sz="0" w:space="0" w:color="auto"/>
            <w:right w:val="none" w:sz="0" w:space="0" w:color="auto"/>
          </w:divBdr>
          <w:divsChild>
            <w:div w:id="15735482">
              <w:marLeft w:val="0"/>
              <w:marRight w:val="0"/>
              <w:marTop w:val="0"/>
              <w:marBottom w:val="0"/>
              <w:divBdr>
                <w:top w:val="none" w:sz="0" w:space="0" w:color="auto"/>
                <w:left w:val="none" w:sz="0" w:space="0" w:color="auto"/>
                <w:bottom w:val="none" w:sz="0" w:space="0" w:color="auto"/>
                <w:right w:val="none" w:sz="0" w:space="0" w:color="auto"/>
              </w:divBdr>
            </w:div>
          </w:divsChild>
        </w:div>
        <w:div w:id="1738741398">
          <w:marLeft w:val="0"/>
          <w:marRight w:val="0"/>
          <w:marTop w:val="0"/>
          <w:marBottom w:val="0"/>
          <w:divBdr>
            <w:top w:val="none" w:sz="0" w:space="0" w:color="auto"/>
            <w:left w:val="none" w:sz="0" w:space="0" w:color="auto"/>
            <w:bottom w:val="none" w:sz="0" w:space="0" w:color="auto"/>
            <w:right w:val="none" w:sz="0" w:space="0" w:color="auto"/>
          </w:divBdr>
          <w:divsChild>
            <w:div w:id="1334182831">
              <w:marLeft w:val="0"/>
              <w:marRight w:val="0"/>
              <w:marTop w:val="0"/>
              <w:marBottom w:val="0"/>
              <w:divBdr>
                <w:top w:val="none" w:sz="0" w:space="0" w:color="auto"/>
                <w:left w:val="none" w:sz="0" w:space="0" w:color="auto"/>
                <w:bottom w:val="none" w:sz="0" w:space="0" w:color="auto"/>
                <w:right w:val="none" w:sz="0" w:space="0" w:color="auto"/>
              </w:divBdr>
            </w:div>
          </w:divsChild>
        </w:div>
        <w:div w:id="1828396343">
          <w:marLeft w:val="0"/>
          <w:marRight w:val="0"/>
          <w:marTop w:val="0"/>
          <w:marBottom w:val="0"/>
          <w:divBdr>
            <w:top w:val="none" w:sz="0" w:space="0" w:color="auto"/>
            <w:left w:val="none" w:sz="0" w:space="0" w:color="auto"/>
            <w:bottom w:val="none" w:sz="0" w:space="0" w:color="auto"/>
            <w:right w:val="none" w:sz="0" w:space="0" w:color="auto"/>
          </w:divBdr>
          <w:divsChild>
            <w:div w:id="806506264">
              <w:marLeft w:val="0"/>
              <w:marRight w:val="0"/>
              <w:marTop w:val="0"/>
              <w:marBottom w:val="0"/>
              <w:divBdr>
                <w:top w:val="none" w:sz="0" w:space="0" w:color="auto"/>
                <w:left w:val="none" w:sz="0" w:space="0" w:color="auto"/>
                <w:bottom w:val="none" w:sz="0" w:space="0" w:color="auto"/>
                <w:right w:val="none" w:sz="0" w:space="0" w:color="auto"/>
              </w:divBdr>
            </w:div>
          </w:divsChild>
        </w:div>
        <w:div w:id="1866093299">
          <w:marLeft w:val="0"/>
          <w:marRight w:val="0"/>
          <w:marTop w:val="0"/>
          <w:marBottom w:val="0"/>
          <w:divBdr>
            <w:top w:val="none" w:sz="0" w:space="0" w:color="auto"/>
            <w:left w:val="none" w:sz="0" w:space="0" w:color="auto"/>
            <w:bottom w:val="none" w:sz="0" w:space="0" w:color="auto"/>
            <w:right w:val="none" w:sz="0" w:space="0" w:color="auto"/>
          </w:divBdr>
          <w:divsChild>
            <w:div w:id="288782651">
              <w:marLeft w:val="0"/>
              <w:marRight w:val="0"/>
              <w:marTop w:val="0"/>
              <w:marBottom w:val="0"/>
              <w:divBdr>
                <w:top w:val="none" w:sz="0" w:space="0" w:color="auto"/>
                <w:left w:val="none" w:sz="0" w:space="0" w:color="auto"/>
                <w:bottom w:val="none" w:sz="0" w:space="0" w:color="auto"/>
                <w:right w:val="none" w:sz="0" w:space="0" w:color="auto"/>
              </w:divBdr>
            </w:div>
          </w:divsChild>
        </w:div>
        <w:div w:id="1951544722">
          <w:marLeft w:val="0"/>
          <w:marRight w:val="0"/>
          <w:marTop w:val="0"/>
          <w:marBottom w:val="0"/>
          <w:divBdr>
            <w:top w:val="none" w:sz="0" w:space="0" w:color="auto"/>
            <w:left w:val="none" w:sz="0" w:space="0" w:color="auto"/>
            <w:bottom w:val="none" w:sz="0" w:space="0" w:color="auto"/>
            <w:right w:val="none" w:sz="0" w:space="0" w:color="auto"/>
          </w:divBdr>
          <w:divsChild>
            <w:div w:id="1383940711">
              <w:marLeft w:val="0"/>
              <w:marRight w:val="0"/>
              <w:marTop w:val="0"/>
              <w:marBottom w:val="0"/>
              <w:divBdr>
                <w:top w:val="none" w:sz="0" w:space="0" w:color="auto"/>
                <w:left w:val="none" w:sz="0" w:space="0" w:color="auto"/>
                <w:bottom w:val="none" w:sz="0" w:space="0" w:color="auto"/>
                <w:right w:val="none" w:sz="0" w:space="0" w:color="auto"/>
              </w:divBdr>
            </w:div>
          </w:divsChild>
        </w:div>
        <w:div w:id="1966503304">
          <w:marLeft w:val="0"/>
          <w:marRight w:val="0"/>
          <w:marTop w:val="0"/>
          <w:marBottom w:val="0"/>
          <w:divBdr>
            <w:top w:val="none" w:sz="0" w:space="0" w:color="auto"/>
            <w:left w:val="none" w:sz="0" w:space="0" w:color="auto"/>
            <w:bottom w:val="none" w:sz="0" w:space="0" w:color="auto"/>
            <w:right w:val="none" w:sz="0" w:space="0" w:color="auto"/>
          </w:divBdr>
          <w:divsChild>
            <w:div w:id="1917670929">
              <w:marLeft w:val="0"/>
              <w:marRight w:val="0"/>
              <w:marTop w:val="0"/>
              <w:marBottom w:val="0"/>
              <w:divBdr>
                <w:top w:val="none" w:sz="0" w:space="0" w:color="auto"/>
                <w:left w:val="none" w:sz="0" w:space="0" w:color="auto"/>
                <w:bottom w:val="none" w:sz="0" w:space="0" w:color="auto"/>
                <w:right w:val="none" w:sz="0" w:space="0" w:color="auto"/>
              </w:divBdr>
            </w:div>
          </w:divsChild>
        </w:div>
        <w:div w:id="1992058255">
          <w:marLeft w:val="0"/>
          <w:marRight w:val="0"/>
          <w:marTop w:val="0"/>
          <w:marBottom w:val="0"/>
          <w:divBdr>
            <w:top w:val="none" w:sz="0" w:space="0" w:color="auto"/>
            <w:left w:val="none" w:sz="0" w:space="0" w:color="auto"/>
            <w:bottom w:val="none" w:sz="0" w:space="0" w:color="auto"/>
            <w:right w:val="none" w:sz="0" w:space="0" w:color="auto"/>
          </w:divBdr>
          <w:divsChild>
            <w:div w:id="8822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8.xml"/><Relationship Id="rId170" Type="http://schemas.openxmlformats.org/officeDocument/2006/relationships/footer" Target="footer79.xml"/><Relationship Id="rId226" Type="http://schemas.openxmlformats.org/officeDocument/2006/relationships/header" Target="header108.xml"/><Relationship Id="rId433" Type="http://schemas.openxmlformats.org/officeDocument/2006/relationships/header" Target="header212.xml"/><Relationship Id="rId268" Type="http://schemas.openxmlformats.org/officeDocument/2006/relationships/header" Target="header129.xml"/><Relationship Id="rId32" Type="http://schemas.openxmlformats.org/officeDocument/2006/relationships/footer" Target="footer10.xml"/><Relationship Id="rId74" Type="http://schemas.openxmlformats.org/officeDocument/2006/relationships/footer" Target="footer31.xml"/><Relationship Id="rId128" Type="http://schemas.openxmlformats.org/officeDocument/2006/relationships/footer" Target="footer58.xml"/><Relationship Id="rId335" Type="http://schemas.openxmlformats.org/officeDocument/2006/relationships/footer" Target="footer162.xml"/><Relationship Id="rId377" Type="http://schemas.openxmlformats.org/officeDocument/2006/relationships/footer" Target="footer183.xml"/><Relationship Id="rId5" Type="http://schemas.openxmlformats.org/officeDocument/2006/relationships/numbering" Target="numbering.xml"/><Relationship Id="rId181" Type="http://schemas.openxmlformats.org/officeDocument/2006/relationships/header" Target="header86.xml"/><Relationship Id="rId237" Type="http://schemas.openxmlformats.org/officeDocument/2006/relationships/footer" Target="footer113.xml"/><Relationship Id="rId402" Type="http://schemas.openxmlformats.org/officeDocument/2006/relationships/header" Target="header196.xml"/><Relationship Id="rId279" Type="http://schemas.openxmlformats.org/officeDocument/2006/relationships/footer" Target="footer134.xml"/><Relationship Id="rId444" Type="http://schemas.openxmlformats.org/officeDocument/2006/relationships/header" Target="header217.xml"/><Relationship Id="rId43" Type="http://schemas.openxmlformats.org/officeDocument/2006/relationships/header" Target="header17.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header" Target="header189.xml"/><Relationship Id="rId85" Type="http://schemas.openxmlformats.org/officeDocument/2006/relationships/header" Target="header38.xml"/><Relationship Id="rId150" Type="http://schemas.openxmlformats.org/officeDocument/2006/relationships/header" Target="header70.xml"/><Relationship Id="rId192" Type="http://schemas.openxmlformats.org/officeDocument/2006/relationships/header" Target="header91.xml"/><Relationship Id="rId206" Type="http://schemas.openxmlformats.org/officeDocument/2006/relationships/footer" Target="footer97.xml"/><Relationship Id="rId413" Type="http://schemas.openxmlformats.org/officeDocument/2006/relationships/footer" Target="footer201.xml"/><Relationship Id="rId248" Type="http://schemas.openxmlformats.org/officeDocument/2006/relationships/footer" Target="footer118.xml"/><Relationship Id="rId455" Type="http://schemas.openxmlformats.org/officeDocument/2006/relationships/footer" Target="footer222.xml"/><Relationship Id="rId12" Type="http://schemas.openxmlformats.org/officeDocument/2006/relationships/header" Target="header1.xml"/><Relationship Id="rId108" Type="http://schemas.openxmlformats.org/officeDocument/2006/relationships/header" Target="header49.xml"/><Relationship Id="rId315" Type="http://schemas.openxmlformats.org/officeDocument/2006/relationships/footer" Target="footer152.xml"/><Relationship Id="rId357" Type="http://schemas.openxmlformats.org/officeDocument/2006/relationships/footer" Target="footer173.xml"/><Relationship Id="rId54" Type="http://schemas.openxmlformats.org/officeDocument/2006/relationships/header" Target="header22.xml"/><Relationship Id="rId96" Type="http://schemas.openxmlformats.org/officeDocument/2006/relationships/header" Target="header43.xml"/><Relationship Id="rId161" Type="http://schemas.openxmlformats.org/officeDocument/2006/relationships/footer" Target="footer75.xml"/><Relationship Id="rId217" Type="http://schemas.openxmlformats.org/officeDocument/2006/relationships/header" Target="header104.xml"/><Relationship Id="rId399" Type="http://schemas.openxmlformats.org/officeDocument/2006/relationships/footer" Target="footer194.xml"/><Relationship Id="rId259" Type="http://schemas.openxmlformats.org/officeDocument/2006/relationships/header" Target="header125.xml"/><Relationship Id="rId424" Type="http://schemas.openxmlformats.org/officeDocument/2006/relationships/header" Target="header207.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326" Type="http://schemas.openxmlformats.org/officeDocument/2006/relationships/footer" Target="footer157.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368" Type="http://schemas.openxmlformats.org/officeDocument/2006/relationships/footer" Target="footer178.xml"/><Relationship Id="rId389" Type="http://schemas.openxmlformats.org/officeDocument/2006/relationships/footer" Target="footer189.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414" Type="http://schemas.openxmlformats.org/officeDocument/2006/relationships/header" Target="header202.xml"/><Relationship Id="rId435" Type="http://schemas.openxmlformats.org/officeDocument/2006/relationships/footer" Target="footer212.xml"/><Relationship Id="rId456" Type="http://schemas.openxmlformats.org/officeDocument/2006/relationships/header" Target="header223.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37" Type="http://schemas.openxmlformats.org/officeDocument/2006/relationships/header" Target="header164.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358" Type="http://schemas.openxmlformats.org/officeDocument/2006/relationships/header" Target="header174.xml"/><Relationship Id="rId379" Type="http://schemas.openxmlformats.org/officeDocument/2006/relationships/header" Target="header185.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390" Type="http://schemas.openxmlformats.org/officeDocument/2006/relationships/header" Target="header190.xml"/><Relationship Id="rId404" Type="http://schemas.openxmlformats.org/officeDocument/2006/relationships/footer" Target="footer196.xml"/><Relationship Id="rId425" Type="http://schemas.openxmlformats.org/officeDocument/2006/relationships/footer" Target="footer207.xml"/><Relationship Id="rId446" Type="http://schemas.openxmlformats.org/officeDocument/2006/relationships/footer" Target="footer217.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327" Type="http://schemas.openxmlformats.org/officeDocument/2006/relationships/footer" Target="footer158.xml"/><Relationship Id="rId348" Type="http://schemas.openxmlformats.org/officeDocument/2006/relationships/header" Target="header169.xml"/><Relationship Id="rId369" Type="http://schemas.openxmlformats.org/officeDocument/2006/relationships/footer" Target="footer179.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380" Type="http://schemas.openxmlformats.org/officeDocument/2006/relationships/footer" Target="footer184.xml"/><Relationship Id="rId415" Type="http://schemas.openxmlformats.org/officeDocument/2006/relationships/header" Target="header203.xml"/><Relationship Id="rId436" Type="http://schemas.openxmlformats.org/officeDocument/2006/relationships/header" Target="header213.xml"/><Relationship Id="rId457" Type="http://schemas.openxmlformats.org/officeDocument/2006/relationships/header" Target="header224.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17" Type="http://schemas.openxmlformats.org/officeDocument/2006/relationships/footer" Target="footer153.xml"/><Relationship Id="rId338" Type="http://schemas.openxmlformats.org/officeDocument/2006/relationships/footer" Target="footer163.xml"/><Relationship Id="rId359" Type="http://schemas.openxmlformats.org/officeDocument/2006/relationships/footer" Target="footer174.xml"/><Relationship Id="rId8" Type="http://schemas.openxmlformats.org/officeDocument/2006/relationships/webSettings" Target="webSettings.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header" Target="header180.xml"/><Relationship Id="rId391" Type="http://schemas.openxmlformats.org/officeDocument/2006/relationships/header" Target="header191.xml"/><Relationship Id="rId405" Type="http://schemas.openxmlformats.org/officeDocument/2006/relationships/footer" Target="footer197.xml"/><Relationship Id="rId426" Type="http://schemas.openxmlformats.org/officeDocument/2006/relationships/header" Target="header208.xml"/><Relationship Id="rId447" Type="http://schemas.openxmlformats.org/officeDocument/2006/relationships/footer" Target="footer218.xml"/><Relationship Id="rId230" Type="http://schemas.openxmlformats.org/officeDocument/2006/relationships/footer" Target="footer109.xml"/><Relationship Id="rId251" Type="http://schemas.openxmlformats.org/officeDocument/2006/relationships/footer" Target="footer120.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eader" Target="header170.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5.xml"/><Relationship Id="rId381" Type="http://schemas.openxmlformats.org/officeDocument/2006/relationships/footer" Target="footer185.xml"/><Relationship Id="rId416" Type="http://schemas.openxmlformats.org/officeDocument/2006/relationships/footer" Target="footer202.xml"/><Relationship Id="rId220" Type="http://schemas.openxmlformats.org/officeDocument/2006/relationships/header" Target="header105.xml"/><Relationship Id="rId241" Type="http://schemas.openxmlformats.org/officeDocument/2006/relationships/header" Target="header116.xml"/><Relationship Id="rId437" Type="http://schemas.openxmlformats.org/officeDocument/2006/relationships/footer" Target="footer213.xml"/><Relationship Id="rId458" Type="http://schemas.openxmlformats.org/officeDocument/2006/relationships/footer" Target="footer223.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footer" Target="footer169.xml"/><Relationship Id="rId371" Type="http://schemas.openxmlformats.org/officeDocument/2006/relationships/footer" Target="footer180.xml"/><Relationship Id="rId406" Type="http://schemas.openxmlformats.org/officeDocument/2006/relationships/header" Target="header198.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footer" Target="footer190.xml"/><Relationship Id="rId427" Type="http://schemas.openxmlformats.org/officeDocument/2006/relationships/header" Target="header209.xml"/><Relationship Id="rId448" Type="http://schemas.openxmlformats.org/officeDocument/2006/relationships/header" Target="header219.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header" Target="header176.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header" Target="header186.xml"/><Relationship Id="rId417" Type="http://schemas.openxmlformats.org/officeDocument/2006/relationships/footer" Target="footer203.xml"/><Relationship Id="rId438" Type="http://schemas.openxmlformats.org/officeDocument/2006/relationships/header" Target="header214.xml"/><Relationship Id="rId459" Type="http://schemas.openxmlformats.org/officeDocument/2006/relationships/footer" Target="footer22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footer" Target="footer170.xml"/><Relationship Id="rId372" Type="http://schemas.openxmlformats.org/officeDocument/2006/relationships/header" Target="header181.xml"/><Relationship Id="rId393" Type="http://schemas.openxmlformats.org/officeDocument/2006/relationships/footer" Target="footer191.xml"/><Relationship Id="rId407" Type="http://schemas.openxmlformats.org/officeDocument/2006/relationships/footer" Target="footer198.xml"/><Relationship Id="rId428" Type="http://schemas.openxmlformats.org/officeDocument/2006/relationships/footer" Target="footer208.xml"/><Relationship Id="rId449" Type="http://schemas.openxmlformats.org/officeDocument/2006/relationships/footer" Target="footer219.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header" Target="header225.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footer" Target="footer175.xml"/><Relationship Id="rId383" Type="http://schemas.openxmlformats.org/officeDocument/2006/relationships/footer" Target="footer186.xml"/><Relationship Id="rId418" Type="http://schemas.openxmlformats.org/officeDocument/2006/relationships/header" Target="header204.xml"/><Relationship Id="rId439" Type="http://schemas.openxmlformats.org/officeDocument/2006/relationships/header" Target="header21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450" Type="http://schemas.openxmlformats.org/officeDocument/2006/relationships/header" Target="header220.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header" Target="header171.xml"/><Relationship Id="rId373" Type="http://schemas.openxmlformats.org/officeDocument/2006/relationships/header" Target="header182.xml"/><Relationship Id="rId394" Type="http://schemas.openxmlformats.org/officeDocument/2006/relationships/header" Target="header192.xml"/><Relationship Id="rId408" Type="http://schemas.openxmlformats.org/officeDocument/2006/relationships/header" Target="header199.xml"/><Relationship Id="rId429" Type="http://schemas.openxmlformats.org/officeDocument/2006/relationships/footer" Target="footer20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440" Type="http://schemas.openxmlformats.org/officeDocument/2006/relationships/footer" Target="footer214.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461" Type="http://schemas.openxmlformats.org/officeDocument/2006/relationships/footer" Target="footer22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footer" Target="footer176.xml"/><Relationship Id="rId384" Type="http://schemas.openxmlformats.org/officeDocument/2006/relationships/header" Target="header187.xml"/><Relationship Id="rId419" Type="http://schemas.openxmlformats.org/officeDocument/2006/relationships/footer" Target="footer204.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430" Type="http://schemas.openxmlformats.org/officeDocument/2006/relationships/header" Target="header210.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451" Type="http://schemas.openxmlformats.org/officeDocument/2006/relationships/header" Target="header221.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1.xml"/><Relationship Id="rId374" Type="http://schemas.openxmlformats.org/officeDocument/2006/relationships/footer" Target="footer181.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420" Type="http://schemas.openxmlformats.org/officeDocument/2006/relationships/header" Target="header205.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41" Type="http://schemas.openxmlformats.org/officeDocument/2006/relationships/footer" Target="footer215.xml"/><Relationship Id="rId462" Type="http://schemas.openxmlformats.org/officeDocument/2006/relationships/fontTable" Target="fontTable.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header" Target="header177.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header" Target="header188.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410" Type="http://schemas.openxmlformats.org/officeDocument/2006/relationships/footer" Target="footer199.xml"/><Relationship Id="rId431" Type="http://schemas.openxmlformats.org/officeDocument/2006/relationships/footer" Target="footer210.xml"/><Relationship Id="rId452" Type="http://schemas.openxmlformats.org/officeDocument/2006/relationships/footer" Target="footer220.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2.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header" Target="header216.xml"/><Relationship Id="rId463" Type="http://schemas.openxmlformats.org/officeDocument/2006/relationships/theme" Target="theme/theme1.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7.xml"/><Relationship Id="rId386" Type="http://schemas.openxmlformats.org/officeDocument/2006/relationships/footer" Target="foot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1.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header" Target="header173.xml"/><Relationship Id="rId376" Type="http://schemas.openxmlformats.org/officeDocument/2006/relationships/header" Target="header183.xml"/><Relationship Id="rId397" Type="http://schemas.openxmlformats.org/officeDocument/2006/relationships/header" Target="header194.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footer" Target="footer216.xml"/><Relationship Id="rId464" Type="http://schemas.microsoft.com/office/2019/05/relationships/documenttasks" Target="documenttasks/documenttasks1.xml"/><Relationship Id="rId303" Type="http://schemas.openxmlformats.org/officeDocument/2006/relationships/footer" Target="footer146.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footer" Target="foot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412" Type="http://schemas.openxmlformats.org/officeDocument/2006/relationships/header" Target="header201.xml"/><Relationship Id="rId107" Type="http://schemas.openxmlformats.org/officeDocument/2006/relationships/footer" Target="footer48.xml"/><Relationship Id="rId289" Type="http://schemas.openxmlformats.org/officeDocument/2006/relationships/header" Target="header140.xml"/><Relationship Id="rId454" Type="http://schemas.openxmlformats.org/officeDocument/2006/relationships/header" Target="header222.xml"/><Relationship Id="rId11" Type="http://schemas.openxmlformats.org/officeDocument/2006/relationships/image" Target="media/image1.emf"/><Relationship Id="rId53" Type="http://schemas.openxmlformats.org/officeDocument/2006/relationships/footer" Target="footer21.xml"/><Relationship Id="rId149" Type="http://schemas.openxmlformats.org/officeDocument/2006/relationships/footer" Target="footer69.xml"/><Relationship Id="rId314" Type="http://schemas.openxmlformats.org/officeDocument/2006/relationships/footer" Target="footer151.xml"/><Relationship Id="rId356" Type="http://schemas.openxmlformats.org/officeDocument/2006/relationships/footer" Target="footer172.xml"/><Relationship Id="rId398" Type="http://schemas.openxmlformats.org/officeDocument/2006/relationships/footer" Target="footer193.xml"/><Relationship Id="rId95" Type="http://schemas.openxmlformats.org/officeDocument/2006/relationships/footer" Target="footer42.xml"/><Relationship Id="rId160" Type="http://schemas.openxmlformats.org/officeDocument/2006/relationships/header" Target="header75.xml"/><Relationship Id="rId216" Type="http://schemas.openxmlformats.org/officeDocument/2006/relationships/header" Target="header103.xml"/><Relationship Id="rId423" Type="http://schemas.openxmlformats.org/officeDocument/2006/relationships/footer" Target="footer206.xml"/><Relationship Id="rId258" Type="http://schemas.openxmlformats.org/officeDocument/2006/relationships/header" Target="header124.xml"/><Relationship Id="rId465" Type="http://schemas.microsoft.com/office/2020/10/relationships/intelligence" Target="intelligence2.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325" Type="http://schemas.openxmlformats.org/officeDocument/2006/relationships/header" Target="header158.xml"/><Relationship Id="rId367" Type="http://schemas.openxmlformats.org/officeDocument/2006/relationships/header" Target="header179.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434" Type="http://schemas.openxmlformats.org/officeDocument/2006/relationships/footer" Target="footer211.xml"/><Relationship Id="rId33" Type="http://schemas.openxmlformats.org/officeDocument/2006/relationships/footer" Target="footer11.xml"/><Relationship Id="rId129" Type="http://schemas.openxmlformats.org/officeDocument/2006/relationships/footer" Target="footer59.xml"/><Relationship Id="rId280" Type="http://schemas.openxmlformats.org/officeDocument/2006/relationships/header" Target="header135.xml"/><Relationship Id="rId336" Type="http://schemas.openxmlformats.org/officeDocument/2006/relationships/header" Target="header163.xml"/><Relationship Id="rId75" Type="http://schemas.openxmlformats.org/officeDocument/2006/relationships/footer" Target="footer32.xml"/><Relationship Id="rId140" Type="http://schemas.openxmlformats.org/officeDocument/2006/relationships/footer" Target="footer64.xml"/><Relationship Id="rId182" Type="http://schemas.openxmlformats.org/officeDocument/2006/relationships/footer" Target="footer85.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styles" Target="styles.xml"/><Relationship Id="rId238" Type="http://schemas.openxmlformats.org/officeDocument/2006/relationships/header" Target="header114.xml"/><Relationship Id="rId445" Type="http://schemas.openxmlformats.org/officeDocument/2006/relationships/header" Target="header218.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footer" Target="footer168.xml"/></Relationships>
</file>

<file path=word/documenttasks/documenttasks1.xml><?xml version="1.0" encoding="utf-8"?>
<t:Tasks xmlns:t="http://schemas.microsoft.com/office/tasks/2019/documenttasks" xmlns:oel="http://schemas.microsoft.com/office/2019/extlst">
  <t:Task id="{8E9382A3-DCF1-4DD4-990C-B0613AC7CA00}">
    <t:Anchor>
      <t:Comment id="1586342720"/>
    </t:Anchor>
    <t:History>
      <t:Event id="{EB1E0CD6-200C-4B11-8C2A-7A832F4E56EA}" time="2023-11-10T11:27:13.956Z">
        <t:Attribution userId="S::uros.saraja@ec.europa.eu::da21f095-2dc8-46bc-807a-8c4350cfae80" userProvider="AD" userName="SARAJA Uros-Valentino (ECFIN)"/>
        <t:Anchor>
          <t:Comment id="1586342720"/>
        </t:Anchor>
        <t:Create/>
      </t:Event>
      <t:Event id="{53B2B7FC-1C57-41FE-9DA6-9D8B6E557419}" time="2023-11-10T11:27:13.956Z">
        <t:Attribution userId="S::uros.saraja@ec.europa.eu::da21f095-2dc8-46bc-807a-8c4350cfae80" userProvider="AD" userName="SARAJA Uros-Valentino (ECFIN)"/>
        <t:Anchor>
          <t:Comment id="1586342720"/>
        </t:Anchor>
        <t:Assign userId="S::Viktor.KOLOBARA@ec.europa.eu::5815ef9b-77ad-48dd-91d1-1fe75b00e46b" userProvider="AD" userName="KOLOBARA Viktor (SG-RECOVER)"/>
      </t:Event>
      <t:Event id="{1F7BE2DF-EE6A-4BD1-8527-7F2D3BFDEE81}" time="2023-11-10T11:27:13.956Z">
        <t:Attribution userId="S::uros.saraja@ec.europa.eu::da21f095-2dc8-46bc-807a-8c4350cfae80" userProvider="AD" userName="SARAJA Uros-Valentino (ECFIN)"/>
        <t:Anchor>
          <t:Comment id="1586342720"/>
        </t:Anchor>
        <t:SetTitle title="@KOLOBARA Viktor (SG-RECOVER) We need to have some deadline it cannot be without no?"/>
      </t:Event>
      <t:Event id="{7EAB9423-2B11-4738-A49C-AB6CFDD81A47}" time="2023-11-10T11:33:01.728Z">
        <t:Attribution userId="S::uros.saraja@ec.europa.eu::da21f095-2dc8-46bc-807a-8c4350cfae80" userProvider="AD" userName="SARAJA Uros-Valentino (ECFIN)"/>
        <t:Progress percentComplete="100"/>
      </t:Event>
    </t:History>
  </t:Task>
  <t:Task id="{8D62331A-4C15-4346-9FE4-C461550AAEE6}">
    <t:Anchor>
      <t:Comment id="956175729"/>
    </t:Anchor>
    <t:History>
      <t:Event id="{8513FC4B-3AA1-4766-AEB8-FC3763936912}" time="2023-11-13T09:31:40.522Z">
        <t:Attribution userId="S::gabriele.giudice@ec.europa.eu::d748798a-92ac-430c-8461-6411ffe3f30d" userProvider="AD" userName="GIUDICE Gabriele (ECFIN)"/>
        <t:Anchor>
          <t:Comment id="894116585"/>
        </t:Anchor>
        <t:Create/>
      </t:Event>
      <t:Event id="{D15EF718-57AB-449E-8FCB-97AA2264833C}" time="2023-11-13T09:31:40.522Z">
        <t:Attribution userId="S::gabriele.giudice@ec.europa.eu::d748798a-92ac-430c-8461-6411ffe3f30d" userProvider="AD" userName="GIUDICE Gabriele (ECFIN)"/>
        <t:Anchor>
          <t:Comment id="894116585"/>
        </t:Anchor>
        <t:Assign userId="S::Zeljko.KOVACEVIC@ec.europa.eu::e0663f12-c27c-437c-b2fb-5d83c515756d" userProvider="AD" userName="KOVACEVIC Zeljko (SG-RECOVER)"/>
      </t:Event>
      <t:Event id="{0F29F61B-2942-485B-9F46-826872428412}" time="2023-11-13T09:31:40.522Z">
        <t:Attribution userId="S::gabriele.giudice@ec.europa.eu::d748798a-92ac-430c-8461-6411ffe3f30d" userProvider="AD" userName="GIUDICE Gabriele (ECFIN)"/>
        <t:Anchor>
          <t:Comment id="894116585"/>
        </t:Anchor>
        <t:SetTitle title="@KOVACEVIC Zeljko (SG-RECOVER) ; can up please ensure the tables are presented in a readable way? I assume they are correct, as I cannot check them online"/>
      </t:Event>
    </t:History>
  </t:Task>
  <t:Task id="{6E74FC27-B8AB-43A8-9868-C7694C3E6A8D}">
    <t:Anchor>
      <t:Comment id="1199912829"/>
    </t:Anchor>
    <t:History>
      <t:Event id="{28DF0AD2-3F78-44E3-A8D8-42D5B4A7A0F0}" time="2023-11-13T09:27:13.713Z">
        <t:Attribution userId="S::gabriele.giudice@ec.europa.eu::d748798a-92ac-430c-8461-6411ffe3f30d" userProvider="AD" userName="GIUDICE Gabriele (ECFIN)"/>
        <t:Anchor>
          <t:Comment id="1199912829"/>
        </t:Anchor>
        <t:Create/>
      </t:Event>
      <t:Event id="{1A578C12-5A13-4CA1-859A-2A373DC88AA7}" time="2023-11-13T09:27:13.713Z">
        <t:Attribution userId="S::gabriele.giudice@ec.europa.eu::d748798a-92ac-430c-8461-6411ffe3f30d" userProvider="AD" userName="GIUDICE Gabriele (ECFIN)"/>
        <t:Anchor>
          <t:Comment id="1199912829"/>
        </t:Anchor>
        <t:Assign userId="S::Zeljko.KOVACEVIC@ec.europa.eu::e0663f12-c27c-437c-b2fb-5d83c515756d" userProvider="AD" userName="KOVACEVIC Zeljko (SG-RECOVER)"/>
      </t:Event>
      <t:Event id="{99EF339A-815C-42AD-A240-032E3EBDCF05}" time="2023-11-13T09:27:13.713Z">
        <t:Attribution userId="S::gabriele.giudice@ec.europa.eu::d748798a-92ac-430c-8461-6411ffe3f30d" userProvider="AD" userName="GIUDICE Gabriele (ECFIN)"/>
        <t:Anchor>
          <t:Comment id="1199912829"/>
        </t:Anchor>
        <t:SetTitle title="to? for? should it not be 'TSO certification to Plinacro'? @KOVACEVIC Zeljko (SG-RECOV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6" ma:contentTypeDescription="Create a new document." ma:contentTypeScope="" ma:versionID="07f3873f937a172c3d20d58506370c86">
  <xsd:schema xmlns:xsd="http://www.w3.org/2001/XMLSchema" xmlns:xs="http://www.w3.org/2001/XMLSchema" xmlns:p="http://schemas.microsoft.com/office/2006/metadata/properties" xmlns:ns1="http://schemas.microsoft.com/sharepoint/v3" xmlns:ns2="1700ab43-7395-48ff-866c-657c86ba7f4e" xmlns:ns3="e6c3bc29-9e11-4027-900b-c73633d7928a" targetNamespace="http://schemas.microsoft.com/office/2006/metadata/properties" ma:root="true" ma:fieldsID="ef80ccd467c2c6fe1cab37a19ed0a0bd" ns1:_="" ns2:_="" ns3:_="">
    <xsd:import namespace="http://schemas.microsoft.com/sharepoint/v3"/>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60b4a5-ff48-4974-86bf-928fadcba5eb}"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813A-8EC5-49E4-B259-4776C898ED66}">
  <ds:schemaRefs>
    <ds:schemaRef ds:uri="http://schemas.microsoft.com/office/2006/metadata/properties"/>
    <ds:schemaRef ds:uri="http://schemas.microsoft.com/office/infopath/2007/PartnerControls"/>
    <ds:schemaRef ds:uri="http://schemas.microsoft.com/sharepoint/v3"/>
    <ds:schemaRef ds:uri="e6c3bc29-9e11-4027-900b-c73633d7928a"/>
    <ds:schemaRef ds:uri="1700ab43-7395-48ff-866c-657c86ba7f4e"/>
  </ds:schemaRefs>
</ds:datastoreItem>
</file>

<file path=customXml/itemProps2.xml><?xml version="1.0" encoding="utf-8"?>
<ds:datastoreItem xmlns:ds="http://schemas.openxmlformats.org/officeDocument/2006/customXml" ds:itemID="{1CF2A361-EE22-46D8-BA41-893464E39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87C7B-EACD-4BF9-8DF9-DFF9F4DF9403}">
  <ds:schemaRefs>
    <ds:schemaRef ds:uri="http://schemas.microsoft.com/sharepoint/v3/contenttype/forms"/>
  </ds:schemaRefs>
</ds:datastoreItem>
</file>

<file path=customXml/itemProps4.xml><?xml version="1.0" encoding="utf-8"?>
<ds:datastoreItem xmlns:ds="http://schemas.openxmlformats.org/officeDocument/2006/customXml" ds:itemID="{80D90126-5FEE-4461-B3AB-41E5C026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94246</Words>
  <Characters>537203</Characters>
  <Application>Microsoft Office Word</Application>
  <DocSecurity>0</DocSecurity>
  <Lines>4476</Lines>
  <Paragraphs>1260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ROGULJIC Marija (ECFIN)</dc:creator>
  <cp:keywords/>
  <dc:description/>
  <cp:lastModifiedBy>EC CoDe</cp:lastModifiedBy>
  <cp:revision>25</cp:revision>
  <dcterms:created xsi:type="dcterms:W3CDTF">2023-11-19T07:24:00Z</dcterms:created>
  <dcterms:modified xsi:type="dcterms:W3CDTF">2023-11-28T08:45:00Z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2023-11-08T15:22:17Z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6b3f9a57-562e-4825-9a86-79f7bac157d2</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