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833F" w14:textId="669A1988" w:rsidR="003903E1" w:rsidRPr="00416F40" w:rsidRDefault="00EC047C" w:rsidP="00EC047C">
      <w:pPr>
        <w:pStyle w:val="Pagedecouverture"/>
        <w:rPr>
          <w:noProof/>
          <w:lang w:val="en-IE"/>
        </w:rPr>
      </w:pPr>
      <w:r>
        <w:rPr>
          <w:noProof/>
          <w:lang w:val="en-IE"/>
        </w:rPr>
        <w:pict w14:anchorId="4ADEF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FC0E1BF-5A3B-4E35-AF06-3B8270FFC565" style="width:455.25pt;height:414pt">
            <v:imagedata r:id="rId11" o:title=""/>
          </v:shape>
        </w:pict>
      </w:r>
    </w:p>
    <w:p w14:paraId="22E4B49F" w14:textId="77777777" w:rsidR="003903E1" w:rsidRPr="00416F40" w:rsidRDefault="003903E1" w:rsidP="003903E1">
      <w:pPr>
        <w:rPr>
          <w:noProof/>
          <w:lang w:val="en-IE"/>
        </w:rPr>
        <w:sectPr w:rsidR="003903E1" w:rsidRPr="00416F40" w:rsidSect="00EC047C">
          <w:footerReference w:type="default" r:id="rId12"/>
          <w:pgSz w:w="11907" w:h="16839"/>
          <w:pgMar w:top="1134" w:right="1417" w:bottom="1134" w:left="1417" w:header="709" w:footer="709" w:gutter="0"/>
          <w:pgNumType w:start="0"/>
          <w:cols w:space="720"/>
          <w:docGrid w:linePitch="360"/>
        </w:sectPr>
      </w:pPr>
    </w:p>
    <w:p w14:paraId="3AF1FC19" w14:textId="77777777" w:rsidR="003903E1" w:rsidRPr="00416F40" w:rsidRDefault="003903E1" w:rsidP="00BB6B30">
      <w:pPr>
        <w:pStyle w:val="Exposdesmotifstitre"/>
        <w:rPr>
          <w:noProof/>
          <w:lang w:val="en-IE"/>
        </w:rPr>
      </w:pPr>
      <w:bookmarkStart w:id="0" w:name="_GoBack"/>
      <w:bookmarkEnd w:id="0"/>
      <w:r w:rsidRPr="00416F40">
        <w:rPr>
          <w:noProof/>
          <w:lang w:val="en-IE"/>
        </w:rPr>
        <w:lastRenderedPageBreak/>
        <w:t>EXPLANATORY MEMORANDUM</w:t>
      </w:r>
    </w:p>
    <w:p w14:paraId="706117BB" w14:textId="77777777" w:rsidR="003903E1" w:rsidRPr="00416F40" w:rsidRDefault="003903E1" w:rsidP="00BB6B30">
      <w:pPr>
        <w:pStyle w:val="ManualHeading1"/>
        <w:rPr>
          <w:noProof/>
          <w:lang w:val="en-IE"/>
        </w:rPr>
      </w:pPr>
      <w:r w:rsidRPr="00416F40">
        <w:rPr>
          <w:noProof/>
          <w:lang w:val="en-IE"/>
        </w:rPr>
        <w:t>1.</w:t>
      </w:r>
      <w:r w:rsidRPr="00416F40">
        <w:rPr>
          <w:noProof/>
          <w:lang w:val="en-IE"/>
        </w:rPr>
        <w:tab/>
        <w:t>CONTEXT OF THE PROPOSAL</w:t>
      </w:r>
    </w:p>
    <w:p w14:paraId="57D85A2B" w14:textId="77777777" w:rsidR="003903E1" w:rsidRPr="00416F40" w:rsidRDefault="003903E1" w:rsidP="00044058">
      <w:pPr>
        <w:pStyle w:val="ManualHeading2"/>
        <w:rPr>
          <w:rFonts w:eastAsia="Arial Unicode MS"/>
          <w:noProof/>
          <w:lang w:val="en-IE"/>
        </w:rPr>
      </w:pPr>
      <w:r w:rsidRPr="00416F40">
        <w:rPr>
          <w:rFonts w:eastAsia="Arial Unicode MS"/>
          <w:noProof/>
          <w:color w:val="000000"/>
          <w:u w:color="000000"/>
          <w:bdr w:val="nil"/>
          <w:lang w:val="en-IE" w:eastAsia="en-GB"/>
        </w:rPr>
        <w:t>•</w:t>
      </w:r>
      <w:r w:rsidRPr="00416F40">
        <w:rPr>
          <w:rFonts w:eastAsia="Arial Unicode MS"/>
          <w:noProof/>
          <w:color w:val="000000"/>
          <w:u w:color="000000"/>
          <w:bdr w:val="nil"/>
          <w:lang w:val="en-IE" w:eastAsia="en-GB"/>
        </w:rPr>
        <w:tab/>
      </w:r>
      <w:r w:rsidRPr="00416F40">
        <w:rPr>
          <w:rFonts w:eastAsia="Arial Unicode MS"/>
          <w:noProof/>
          <w:lang w:val="en-IE"/>
        </w:rPr>
        <w:t>Reasons for and objectives of the proposal</w:t>
      </w:r>
    </w:p>
    <w:p w14:paraId="3538907D" w14:textId="77777777" w:rsidR="00C074A3" w:rsidRPr="00416F40" w:rsidRDefault="004618B6" w:rsidP="00032F5E">
      <w:pPr>
        <w:spacing w:after="0"/>
        <w:rPr>
          <w:rFonts w:eastAsia="Calibri"/>
          <w:noProof/>
          <w:szCs w:val="24"/>
          <w:lang w:val="en-IE"/>
        </w:rPr>
      </w:pPr>
      <w:r w:rsidRPr="00416F40">
        <w:rPr>
          <w:rFonts w:eastAsia="Calibri"/>
          <w:noProof/>
          <w:szCs w:val="24"/>
          <w:lang w:val="en-IE"/>
        </w:rPr>
        <w:t>Regulation (EU) 2021/1232 (“Interim Regulation”)</w:t>
      </w:r>
      <w:r w:rsidR="00F86834" w:rsidRPr="00416F40">
        <w:rPr>
          <w:rStyle w:val="FootnoteReference"/>
          <w:noProof/>
          <w:lang w:val="en-IE"/>
        </w:rPr>
        <w:footnoteReference w:id="1"/>
      </w:r>
      <w:r w:rsidR="006A1180" w:rsidRPr="00416F40">
        <w:rPr>
          <w:rFonts w:eastAsia="Calibri"/>
          <w:noProof/>
          <w:szCs w:val="24"/>
          <w:lang w:val="en-IE"/>
        </w:rPr>
        <w:t xml:space="preserve"> </w:t>
      </w:r>
      <w:r w:rsidRPr="00416F40">
        <w:rPr>
          <w:rFonts w:eastAsia="Calibri"/>
          <w:noProof/>
          <w:szCs w:val="24"/>
          <w:lang w:val="en-IE"/>
        </w:rPr>
        <w:t xml:space="preserve">lays down temporary and strictly limited rules derogating from certain obligations laid down in </w:t>
      </w:r>
      <w:r w:rsidR="00F26627" w:rsidRPr="00416F40">
        <w:rPr>
          <w:rFonts w:eastAsia="Calibri"/>
          <w:noProof/>
          <w:szCs w:val="24"/>
          <w:lang w:val="en-IE"/>
        </w:rPr>
        <w:t>Directive 2002/58/EC (“</w:t>
      </w:r>
      <w:r w:rsidRPr="00416F40">
        <w:rPr>
          <w:rFonts w:eastAsia="Calibri"/>
          <w:noProof/>
          <w:szCs w:val="24"/>
          <w:lang w:val="en-IE"/>
        </w:rPr>
        <w:t>the ePrivacy Directive</w:t>
      </w:r>
      <w:r w:rsidR="00F26627" w:rsidRPr="00416F40">
        <w:rPr>
          <w:rFonts w:eastAsia="Calibri"/>
          <w:noProof/>
          <w:szCs w:val="24"/>
          <w:lang w:val="en-IE"/>
        </w:rPr>
        <w:t>”)</w:t>
      </w:r>
      <w:r w:rsidRPr="00416F40">
        <w:rPr>
          <w:rFonts w:eastAsia="Calibri"/>
          <w:noProof/>
          <w:szCs w:val="24"/>
          <w:lang w:val="en-IE"/>
        </w:rPr>
        <w:t xml:space="preserve">, with the sole objective of enabling providers of certain number-independent interpersonal communications services to use specific technologies for the processing of personal and other data to the extent strictly necessary to detect online child sexual abuse on their services and report it and to remove online child sexual abuse material from their services. </w:t>
      </w:r>
    </w:p>
    <w:p w14:paraId="4EE7546C" w14:textId="1537EC48" w:rsidR="00C074A3" w:rsidRPr="00416F40" w:rsidRDefault="00C074A3" w:rsidP="00C074A3">
      <w:pPr>
        <w:spacing w:after="0"/>
        <w:rPr>
          <w:rFonts w:eastAsia="Arial Unicode MS"/>
          <w:noProof/>
          <w:lang w:val="en-IE"/>
        </w:rPr>
      </w:pPr>
      <w:r w:rsidRPr="00416F40">
        <w:rPr>
          <w:rFonts w:eastAsia="Calibri"/>
          <w:noProof/>
          <w:szCs w:val="24"/>
          <w:lang w:val="en-IE"/>
        </w:rPr>
        <w:t xml:space="preserve">As explained in </w:t>
      </w:r>
      <w:r w:rsidR="00146944" w:rsidRPr="00416F40">
        <w:rPr>
          <w:rFonts w:eastAsia="Calibri"/>
          <w:noProof/>
          <w:szCs w:val="24"/>
          <w:lang w:val="en-IE"/>
        </w:rPr>
        <w:t xml:space="preserve">its </w:t>
      </w:r>
      <w:r w:rsidRPr="00416F40">
        <w:rPr>
          <w:rFonts w:eastAsia="Calibri"/>
          <w:noProof/>
          <w:szCs w:val="24"/>
          <w:lang w:val="en-IE"/>
        </w:rPr>
        <w:t>Recital 10</w:t>
      </w:r>
      <w:r w:rsidR="00146944" w:rsidRPr="00416F40">
        <w:rPr>
          <w:rFonts w:eastAsia="Calibri"/>
          <w:noProof/>
          <w:szCs w:val="24"/>
          <w:lang w:val="en-IE"/>
        </w:rPr>
        <w:t>,</w:t>
      </w:r>
      <w:r w:rsidRPr="00416F40">
        <w:rPr>
          <w:rFonts w:eastAsia="Calibri"/>
          <w:noProof/>
          <w:szCs w:val="24"/>
          <w:lang w:val="en-IE"/>
        </w:rPr>
        <w:t xml:space="preserve"> the Interim Regulation is intended to provide a temporary solution pending the adoption of a long-term legal framework to tackle child sexual abuse at Union level. According to its Article 10, second subparagraph, t</w:t>
      </w:r>
      <w:r w:rsidR="004618B6" w:rsidRPr="00416F40">
        <w:rPr>
          <w:rFonts w:eastAsia="Arial Unicode MS"/>
          <w:noProof/>
          <w:lang w:val="en-IE"/>
        </w:rPr>
        <w:t xml:space="preserve">he Interim Regulation will expire on 3 August 2024. </w:t>
      </w:r>
    </w:p>
    <w:p w14:paraId="38EDBD45" w14:textId="3A102FFA" w:rsidR="00C074A3" w:rsidRPr="00416F40" w:rsidRDefault="00C074A3" w:rsidP="003A1ACA">
      <w:pPr>
        <w:spacing w:after="0"/>
        <w:rPr>
          <w:rFonts w:eastAsia="Arial Unicode MS"/>
          <w:noProof/>
          <w:lang w:val="en-IE"/>
        </w:rPr>
      </w:pPr>
      <w:r w:rsidRPr="00416F40">
        <w:rPr>
          <w:rFonts w:eastAsia="Arial Unicode MS"/>
          <w:noProof/>
          <w:lang w:val="en-IE"/>
        </w:rPr>
        <w:t>The proposal for a Regulation of the European Parliament and of the Council laying down rules to prevent and combat child sexual abuse,</w:t>
      </w:r>
      <w:r w:rsidRPr="00A76A21">
        <w:rPr>
          <w:rStyle w:val="FootnoteReference"/>
          <w:noProof/>
        </w:rPr>
        <w:footnoteReference w:id="2"/>
      </w:r>
      <w:r w:rsidRPr="00416F40">
        <w:rPr>
          <w:rFonts w:eastAsia="Arial Unicode MS"/>
          <w:noProof/>
          <w:lang w:val="en-IE"/>
        </w:rPr>
        <w:t xml:space="preserve"> which the Commission adopted on 11 May 2022, aims to provide that long-term legal framework.</w:t>
      </w:r>
    </w:p>
    <w:p w14:paraId="26FDF044" w14:textId="34F9939A" w:rsidR="00B10F7C" w:rsidRPr="00416F40" w:rsidRDefault="00032F5E" w:rsidP="00032F5E">
      <w:pPr>
        <w:pBdr>
          <w:top w:val="nil"/>
          <w:left w:val="nil"/>
          <w:bottom w:val="nil"/>
          <w:right w:val="nil"/>
          <w:between w:val="nil"/>
          <w:bar w:val="nil"/>
        </w:pBdr>
        <w:rPr>
          <w:rFonts w:eastAsia="Arial Unicode MS"/>
          <w:noProof/>
          <w:lang w:val="en-IE"/>
        </w:rPr>
      </w:pPr>
      <w:r w:rsidRPr="00416F40">
        <w:rPr>
          <w:rFonts w:eastAsia="Arial Unicode MS"/>
          <w:noProof/>
          <w:lang w:val="en-IE"/>
        </w:rPr>
        <w:t xml:space="preserve">The inter-institutional negotiations on the </w:t>
      </w:r>
      <w:r w:rsidR="00C074A3" w:rsidRPr="00416F40">
        <w:rPr>
          <w:rFonts w:eastAsia="Arial Unicode MS"/>
          <w:noProof/>
          <w:lang w:val="en-IE"/>
        </w:rPr>
        <w:t xml:space="preserve">proposed </w:t>
      </w:r>
      <w:r w:rsidRPr="00416F40">
        <w:rPr>
          <w:rFonts w:eastAsia="Arial Unicode MS"/>
          <w:noProof/>
          <w:lang w:val="en-IE"/>
        </w:rPr>
        <w:t xml:space="preserve">long-term Regulation </w:t>
      </w:r>
      <w:r w:rsidR="00B76C78" w:rsidRPr="00416F40">
        <w:rPr>
          <w:rFonts w:eastAsia="Arial Unicode MS"/>
          <w:noProof/>
          <w:lang w:val="en-IE"/>
        </w:rPr>
        <w:t xml:space="preserve">have not concluded and it is uncertain that they will conclude for the long-term Regulation to enter into force and to apply </w:t>
      </w:r>
      <w:r w:rsidRPr="00416F40">
        <w:rPr>
          <w:rFonts w:eastAsia="Arial Unicode MS"/>
          <w:noProof/>
          <w:lang w:val="en-IE"/>
        </w:rPr>
        <w:t xml:space="preserve">before the Interim Regulation is set to expire. Therefore, it is necessary to introduce through this proposal </w:t>
      </w:r>
      <w:r w:rsidR="00B10F7C" w:rsidRPr="00416F40">
        <w:rPr>
          <w:rFonts w:eastAsia="Arial Unicode MS"/>
          <w:noProof/>
          <w:lang w:val="en-IE"/>
        </w:rPr>
        <w:t xml:space="preserve">a limited time extension to the </w:t>
      </w:r>
      <w:r w:rsidRPr="00416F40">
        <w:rPr>
          <w:rFonts w:eastAsia="Arial Unicode MS"/>
          <w:noProof/>
          <w:lang w:val="en-IE"/>
        </w:rPr>
        <w:t>I</w:t>
      </w:r>
      <w:r w:rsidR="00B10F7C" w:rsidRPr="00416F40">
        <w:rPr>
          <w:rFonts w:eastAsia="Arial Unicode MS"/>
          <w:noProof/>
          <w:lang w:val="en-IE"/>
        </w:rPr>
        <w:t xml:space="preserve">nterim Regulation, </w:t>
      </w:r>
      <w:r w:rsidRPr="00416F40">
        <w:rPr>
          <w:rFonts w:eastAsia="Arial Unicode MS"/>
          <w:noProof/>
          <w:lang w:val="en-IE"/>
        </w:rPr>
        <w:t>to</w:t>
      </w:r>
      <w:r w:rsidR="00B10F7C" w:rsidRPr="00416F40">
        <w:rPr>
          <w:rFonts w:eastAsia="Arial Unicode MS"/>
          <w:noProof/>
          <w:lang w:val="en-IE"/>
        </w:rPr>
        <w:t xml:space="preserve"> enable the continuation of the </w:t>
      </w:r>
      <w:r w:rsidRPr="00416F40">
        <w:rPr>
          <w:rFonts w:eastAsia="Arial Unicode MS"/>
          <w:noProof/>
          <w:lang w:val="en-IE"/>
        </w:rPr>
        <w:t xml:space="preserve">above </w:t>
      </w:r>
      <w:r w:rsidR="00B10F7C" w:rsidRPr="00416F40">
        <w:rPr>
          <w:rFonts w:eastAsia="Arial Unicode MS"/>
          <w:noProof/>
          <w:lang w:val="en-IE"/>
        </w:rPr>
        <w:t xml:space="preserve">voluntary activities </w:t>
      </w:r>
      <w:r w:rsidR="001248BC" w:rsidRPr="00416F40">
        <w:rPr>
          <w:rFonts w:eastAsia="Arial Unicode MS"/>
          <w:noProof/>
          <w:lang w:val="en-IE"/>
        </w:rPr>
        <w:t xml:space="preserve">during a sufficient period of time to allow the inter-institutional negotiations of the </w:t>
      </w:r>
      <w:r w:rsidRPr="00416F40">
        <w:rPr>
          <w:rFonts w:eastAsia="Arial Unicode MS"/>
          <w:noProof/>
          <w:lang w:val="en-IE"/>
        </w:rPr>
        <w:t xml:space="preserve">long-term Regulation </w:t>
      </w:r>
      <w:r w:rsidR="001248BC" w:rsidRPr="00416F40">
        <w:rPr>
          <w:rFonts w:eastAsia="Arial Unicode MS"/>
          <w:noProof/>
          <w:lang w:val="en-IE"/>
        </w:rPr>
        <w:t>to conclude</w:t>
      </w:r>
      <w:r w:rsidRPr="00416F40">
        <w:rPr>
          <w:rFonts w:eastAsia="Arial Unicode MS"/>
          <w:noProof/>
          <w:lang w:val="en-IE"/>
        </w:rPr>
        <w:t xml:space="preserve">. This will ensure that </w:t>
      </w:r>
      <w:r w:rsidRPr="00416F40">
        <w:rPr>
          <w:noProof/>
          <w:lang w:val="en-IE"/>
        </w:rPr>
        <w:t xml:space="preserve">child sexual abuse online can be effectively and lawfully combated without interruptions </w:t>
      </w:r>
      <w:r w:rsidR="001248BC" w:rsidRPr="00416F40">
        <w:rPr>
          <w:noProof/>
          <w:lang w:val="en-IE"/>
        </w:rPr>
        <w:t>until the</w:t>
      </w:r>
      <w:r w:rsidRPr="00416F40">
        <w:rPr>
          <w:noProof/>
          <w:lang w:val="en-IE"/>
        </w:rPr>
        <w:t xml:space="preserve"> long-term regime created by the proposed Regulation</w:t>
      </w:r>
      <w:r w:rsidR="001248BC" w:rsidRPr="00416F40">
        <w:rPr>
          <w:noProof/>
          <w:lang w:val="en-IE"/>
        </w:rPr>
        <w:t xml:space="preserve"> is agreed</w:t>
      </w:r>
      <w:r w:rsidRPr="00416F40">
        <w:rPr>
          <w:noProof/>
          <w:lang w:val="en-IE"/>
        </w:rPr>
        <w:t xml:space="preserve">. </w:t>
      </w:r>
    </w:p>
    <w:p w14:paraId="76F72A34" w14:textId="77777777" w:rsidR="003903E1" w:rsidRPr="00416F40" w:rsidRDefault="003903E1" w:rsidP="00B10F7C">
      <w:pPr>
        <w:pStyle w:val="ManualHeading2"/>
        <w:spacing w:after="0"/>
        <w:rPr>
          <w:rFonts w:eastAsia="Arial Unicode MS"/>
          <w:noProof/>
          <w:color w:val="000000"/>
          <w:u w:color="000000"/>
          <w:bdr w:val="nil"/>
          <w:lang w:val="en-IE" w:eastAsia="en-GB"/>
        </w:rPr>
      </w:pPr>
      <w:r w:rsidRPr="00416F40">
        <w:rPr>
          <w:rFonts w:eastAsia="Arial Unicode MS"/>
          <w:noProof/>
          <w:color w:val="000000"/>
          <w:u w:color="000000"/>
          <w:bdr w:val="nil"/>
          <w:lang w:val="en-IE" w:eastAsia="en-GB"/>
        </w:rPr>
        <w:t>•</w:t>
      </w:r>
      <w:r w:rsidRPr="00416F40">
        <w:rPr>
          <w:rFonts w:eastAsia="Arial Unicode MS"/>
          <w:noProof/>
          <w:color w:val="000000"/>
          <w:u w:color="000000"/>
          <w:bdr w:val="nil"/>
          <w:lang w:val="en-IE" w:eastAsia="en-GB"/>
        </w:rPr>
        <w:tab/>
      </w:r>
      <w:r w:rsidRPr="00416F40">
        <w:rPr>
          <w:rFonts w:eastAsia="Arial Unicode MS"/>
          <w:noProof/>
          <w:lang w:val="en-IE"/>
        </w:rPr>
        <w:t>Consistency with existing policy provisions in the policy area</w:t>
      </w:r>
    </w:p>
    <w:p w14:paraId="031B145D" w14:textId="77777777" w:rsidR="00B10F7C" w:rsidRPr="00416F40" w:rsidRDefault="00B10F7C" w:rsidP="00C53C1C">
      <w:pPr>
        <w:spacing w:after="0"/>
        <w:rPr>
          <w:rFonts w:eastAsia="Arial Unicode MS"/>
          <w:noProof/>
          <w:lang w:val="en-IE"/>
        </w:rPr>
      </w:pPr>
      <w:r w:rsidRPr="00416F40">
        <w:rPr>
          <w:noProof/>
          <w:lang w:val="en-IE"/>
        </w:rPr>
        <w:t xml:space="preserve">This proposal delivers on commitments made in the EU Strategy for a More Effective Fight Against Child Sexual Abuse, notably to propose legislation to tackle child sexual abuse online effectively. </w:t>
      </w:r>
      <w:r w:rsidRPr="00416F40">
        <w:rPr>
          <w:rFonts w:eastAsia="Arial Unicode MS"/>
          <w:noProof/>
          <w:lang w:val="en-IE"/>
        </w:rPr>
        <w:t xml:space="preserve">The current EU legal framework in this area consists of Union legislation relating to child sexual abuse, such as the Child Sexual Abuse Directive, and </w:t>
      </w:r>
      <w:r w:rsidR="00F86834" w:rsidRPr="00416F40">
        <w:rPr>
          <w:rFonts w:eastAsia="Arial Unicode MS"/>
          <w:noProof/>
          <w:lang w:val="en-IE"/>
        </w:rPr>
        <w:t>the Interim Regulation</w:t>
      </w:r>
      <w:r w:rsidRPr="00416F40">
        <w:rPr>
          <w:rFonts w:eastAsia="Arial Unicode MS"/>
          <w:noProof/>
          <w:lang w:val="en-IE"/>
        </w:rPr>
        <w:t xml:space="preserve">, which applies until 3 August 2024. </w:t>
      </w:r>
    </w:p>
    <w:p w14:paraId="40E8F6D9" w14:textId="77777777" w:rsidR="00B10F7C" w:rsidRPr="00416F40" w:rsidRDefault="00B10F7C" w:rsidP="00B10F7C">
      <w:pPr>
        <w:pBdr>
          <w:top w:val="nil"/>
          <w:left w:val="nil"/>
          <w:bottom w:val="nil"/>
          <w:right w:val="nil"/>
          <w:between w:val="nil"/>
          <w:bar w:val="nil"/>
        </w:pBdr>
        <w:spacing w:before="360"/>
        <w:rPr>
          <w:rFonts w:eastAsia="Arial Unicode MS"/>
          <w:noProof/>
          <w:lang w:val="en-IE"/>
        </w:rPr>
      </w:pPr>
      <w:r w:rsidRPr="00416F40">
        <w:rPr>
          <w:rFonts w:eastAsia="Arial Unicode MS"/>
          <w:noProof/>
          <w:lang w:val="en-IE"/>
        </w:rPr>
        <w:t>The proposed legislation complements the European Strategy for a Better Internet for Children</w:t>
      </w:r>
      <w:r w:rsidRPr="00416F40">
        <w:rPr>
          <w:rStyle w:val="FootnoteReference"/>
          <w:rFonts w:eastAsia="Arial Unicode MS"/>
          <w:noProof/>
          <w:lang w:val="en-IE"/>
        </w:rPr>
        <w:footnoteReference w:id="3"/>
      </w:r>
      <w:r w:rsidRPr="00416F40">
        <w:rPr>
          <w:rFonts w:eastAsia="Arial Unicode MS"/>
          <w:noProof/>
          <w:lang w:val="en-IE"/>
        </w:rPr>
        <w:t xml:space="preserve">, which aims to create safe digital experiences for children and to promote digital empowerment.   </w:t>
      </w:r>
    </w:p>
    <w:p w14:paraId="4452AC1D" w14:textId="77777777" w:rsidR="003903E1" w:rsidRPr="00416F40" w:rsidRDefault="003903E1" w:rsidP="00B10F7C">
      <w:pPr>
        <w:pStyle w:val="ManualHeading2"/>
        <w:spacing w:after="0"/>
        <w:rPr>
          <w:rFonts w:eastAsia="Arial Unicode MS"/>
          <w:noProof/>
          <w:lang w:val="en-IE"/>
        </w:rPr>
      </w:pPr>
      <w:r w:rsidRPr="00416F40">
        <w:rPr>
          <w:rFonts w:eastAsia="Arial Unicode MS"/>
          <w:noProof/>
          <w:color w:val="000000"/>
          <w:u w:color="000000"/>
          <w:bdr w:val="nil"/>
          <w:lang w:val="en-IE" w:eastAsia="en-GB"/>
        </w:rPr>
        <w:t>•</w:t>
      </w:r>
      <w:r w:rsidRPr="00416F40">
        <w:rPr>
          <w:rFonts w:eastAsia="Arial Unicode MS"/>
          <w:noProof/>
          <w:color w:val="000000"/>
          <w:u w:color="000000"/>
          <w:bdr w:val="nil"/>
          <w:lang w:val="en-IE" w:eastAsia="en-GB"/>
        </w:rPr>
        <w:tab/>
      </w:r>
      <w:r w:rsidRPr="00416F40">
        <w:rPr>
          <w:rFonts w:eastAsia="Arial Unicode MS"/>
          <w:noProof/>
          <w:lang w:val="en-IE"/>
        </w:rPr>
        <w:t>Consistency with other Union policies</w:t>
      </w:r>
    </w:p>
    <w:p w14:paraId="5C876E59" w14:textId="04BE3189" w:rsidR="00464B5B" w:rsidRPr="00416F40" w:rsidRDefault="00B10F7C" w:rsidP="00751A00">
      <w:pPr>
        <w:pBdr>
          <w:top w:val="nil"/>
          <w:left w:val="nil"/>
          <w:bottom w:val="nil"/>
          <w:right w:val="nil"/>
          <w:between w:val="nil"/>
          <w:bar w:val="nil"/>
        </w:pBdr>
        <w:spacing w:after="0"/>
        <w:rPr>
          <w:rFonts w:eastAsia="Arial Unicode MS"/>
          <w:noProof/>
          <w:lang w:val="en-IE"/>
        </w:rPr>
      </w:pPr>
      <w:r w:rsidRPr="00416F40">
        <w:rPr>
          <w:rFonts w:eastAsia="Arial Unicode MS"/>
          <w:noProof/>
          <w:lang w:val="en-IE"/>
        </w:rPr>
        <w:t xml:space="preserve">The proposal </w:t>
      </w:r>
      <w:r w:rsidR="00464B5B" w:rsidRPr="00416F40">
        <w:rPr>
          <w:rFonts w:eastAsia="Arial Unicode MS"/>
          <w:noProof/>
          <w:lang w:val="en-IE"/>
        </w:rPr>
        <w:t>extends the period of application of the Interim Regulation,</w:t>
      </w:r>
      <w:r w:rsidR="00146944" w:rsidRPr="00416F40">
        <w:rPr>
          <w:rFonts w:eastAsia="Arial Unicode MS"/>
          <w:noProof/>
          <w:lang w:val="en-IE"/>
        </w:rPr>
        <w:t xml:space="preserve"> for a limited period of time,</w:t>
      </w:r>
      <w:r w:rsidR="00464B5B" w:rsidRPr="00416F40">
        <w:rPr>
          <w:rFonts w:eastAsia="Arial Unicode MS"/>
          <w:noProof/>
          <w:lang w:val="en-IE"/>
        </w:rPr>
        <w:t xml:space="preserve"> without otherwise amending </w:t>
      </w:r>
      <w:r w:rsidR="00146944" w:rsidRPr="00416F40">
        <w:rPr>
          <w:rFonts w:eastAsia="Arial Unicode MS"/>
          <w:noProof/>
          <w:lang w:val="en-IE"/>
        </w:rPr>
        <w:t>that Regulation</w:t>
      </w:r>
      <w:r w:rsidR="00464B5B" w:rsidRPr="00416F40">
        <w:rPr>
          <w:rFonts w:eastAsia="Arial Unicode MS"/>
          <w:noProof/>
          <w:lang w:val="en-IE"/>
        </w:rPr>
        <w:t xml:space="preserve"> in any way. </w:t>
      </w:r>
    </w:p>
    <w:p w14:paraId="32A1B7BE" w14:textId="462AF101" w:rsidR="00B10F7C" w:rsidRPr="00416F40" w:rsidRDefault="00464B5B" w:rsidP="00751A00">
      <w:pPr>
        <w:pBdr>
          <w:top w:val="nil"/>
          <w:left w:val="nil"/>
          <w:bottom w:val="nil"/>
          <w:right w:val="nil"/>
          <w:between w:val="nil"/>
          <w:bar w:val="nil"/>
        </w:pBdr>
        <w:spacing w:after="0"/>
        <w:rPr>
          <w:rFonts w:eastAsia="Arial Unicode MS"/>
          <w:noProof/>
          <w:lang w:val="en-IE"/>
        </w:rPr>
      </w:pPr>
      <w:r w:rsidRPr="00416F40">
        <w:rPr>
          <w:rFonts w:eastAsia="Arial Unicode MS"/>
          <w:noProof/>
          <w:lang w:val="en-IE"/>
        </w:rPr>
        <w:t xml:space="preserve">Consequently, as is the case with the Interim Regulation as it stands prior to the amendment now proposed, the approach embodied therein </w:t>
      </w:r>
      <w:r w:rsidR="00B10F7C" w:rsidRPr="00416F40">
        <w:rPr>
          <w:rFonts w:eastAsia="Arial Unicode MS"/>
          <w:noProof/>
          <w:lang w:val="en-IE"/>
        </w:rPr>
        <w:t>builds on the General Data Protection Regulation</w:t>
      </w:r>
      <w:r w:rsidR="00B10F7C" w:rsidRPr="00416F40">
        <w:rPr>
          <w:rStyle w:val="FootnoteReference"/>
          <w:rFonts w:eastAsia="Arial Unicode MS"/>
          <w:noProof/>
          <w:lang w:val="en-IE"/>
        </w:rPr>
        <w:footnoteReference w:id="4"/>
      </w:r>
      <w:r w:rsidR="00B10F7C" w:rsidRPr="00416F40">
        <w:rPr>
          <w:rFonts w:eastAsia="Arial Unicode MS"/>
          <w:noProof/>
          <w:lang w:val="en-IE"/>
        </w:rPr>
        <w:t xml:space="preserve"> (GDPR).</w:t>
      </w:r>
      <w:r w:rsidRPr="00416F40">
        <w:rPr>
          <w:rFonts w:eastAsia="Arial Unicode MS"/>
          <w:noProof/>
          <w:lang w:val="en-IE"/>
        </w:rPr>
        <w:t xml:space="preserve"> As explained in Recitals 12 and 15 as well as Article 1(1) of the Interim Regulation, the GDPR applies and is left unaffected</w:t>
      </w:r>
      <w:r w:rsidR="00146944" w:rsidRPr="00416F40">
        <w:rPr>
          <w:rFonts w:eastAsia="Arial Unicode MS"/>
          <w:noProof/>
          <w:lang w:val="en-IE"/>
        </w:rPr>
        <w:t xml:space="preserve"> by the Interim Regulation</w:t>
      </w:r>
      <w:r w:rsidRPr="00416F40">
        <w:rPr>
          <w:rFonts w:eastAsia="Arial Unicode MS"/>
          <w:noProof/>
          <w:lang w:val="en-IE"/>
        </w:rPr>
        <w:t xml:space="preserve">. Therefore, the rules set out in the GDPR must </w:t>
      </w:r>
      <w:r w:rsidR="00146944" w:rsidRPr="00416F40">
        <w:rPr>
          <w:rFonts w:eastAsia="Arial Unicode MS"/>
          <w:noProof/>
          <w:lang w:val="en-IE"/>
        </w:rPr>
        <w:t xml:space="preserve">continue to </w:t>
      </w:r>
      <w:r w:rsidRPr="00416F40">
        <w:rPr>
          <w:rFonts w:eastAsia="Arial Unicode MS"/>
          <w:noProof/>
          <w:lang w:val="en-IE"/>
        </w:rPr>
        <w:t>be respected, including those on the lawfulness of processing (Article 6).</w:t>
      </w:r>
      <w:r w:rsidR="00B10F7C" w:rsidRPr="00416F40">
        <w:rPr>
          <w:rFonts w:eastAsia="Arial Unicode MS"/>
          <w:noProof/>
          <w:lang w:val="en-IE"/>
        </w:rPr>
        <w:t xml:space="preserve"> In practice, providers tend to invoke various grounds for processing provided for in the GDPR to carry out the processing of personal data inherent in voluntary detection and reporting of child sexual abuse online. </w:t>
      </w:r>
    </w:p>
    <w:p w14:paraId="0112BA63" w14:textId="60B0067E" w:rsidR="00B10F7C" w:rsidRPr="00416F40" w:rsidRDefault="00B10F7C" w:rsidP="00B10F7C">
      <w:pPr>
        <w:pBdr>
          <w:top w:val="nil"/>
          <w:left w:val="nil"/>
          <w:bottom w:val="nil"/>
          <w:right w:val="nil"/>
          <w:between w:val="nil"/>
          <w:bar w:val="nil"/>
        </w:pBdr>
        <w:rPr>
          <w:rFonts w:eastAsia="Arial Unicode MS"/>
          <w:noProof/>
          <w:lang w:val="en-IE"/>
        </w:rPr>
      </w:pPr>
      <w:r w:rsidRPr="00416F40">
        <w:rPr>
          <w:rFonts w:eastAsia="Arial Unicode MS"/>
          <w:noProof/>
          <w:lang w:val="en-IE"/>
        </w:rPr>
        <w:t>The proposal</w:t>
      </w:r>
      <w:r w:rsidR="00464B5B" w:rsidRPr="00416F40">
        <w:rPr>
          <w:rFonts w:eastAsia="Arial Unicode MS"/>
          <w:noProof/>
          <w:lang w:val="en-IE"/>
        </w:rPr>
        <w:t>, as is the case for the Interim Regulation as it stands,</w:t>
      </w:r>
      <w:r w:rsidRPr="00416F40">
        <w:rPr>
          <w:rFonts w:eastAsia="Arial Unicode MS"/>
          <w:noProof/>
          <w:lang w:val="en-IE"/>
        </w:rPr>
        <w:t xml:space="preserve"> covers providers that offer number independent interpersonal communications services and hence are subject to national provisions implementing the ePrivacy Directive</w:t>
      </w:r>
      <w:r w:rsidRPr="00416F40">
        <w:rPr>
          <w:rStyle w:val="FootnoteReference"/>
          <w:rFonts w:eastAsia="Arial Unicode MS"/>
          <w:noProof/>
          <w:lang w:val="en-IE"/>
        </w:rPr>
        <w:footnoteReference w:id="5"/>
      </w:r>
      <w:r w:rsidRPr="00416F40">
        <w:rPr>
          <w:rFonts w:eastAsia="Arial Unicode MS"/>
          <w:noProof/>
          <w:lang w:val="en-IE"/>
        </w:rPr>
        <w:t xml:space="preserve"> and its proposed revision currently in negotiations</w:t>
      </w:r>
      <w:r w:rsidRPr="00416F40">
        <w:rPr>
          <w:rStyle w:val="FootnoteReference"/>
          <w:rFonts w:eastAsia="Arial Unicode MS"/>
          <w:noProof/>
          <w:lang w:val="en-IE"/>
        </w:rPr>
        <w:footnoteReference w:id="6"/>
      </w:r>
      <w:r w:rsidRPr="00416F40">
        <w:rPr>
          <w:rFonts w:eastAsia="Arial Unicode MS"/>
          <w:noProof/>
          <w:lang w:val="en-IE"/>
        </w:rPr>
        <w:t xml:space="preserve">, with both of which the proposal is coherent. </w:t>
      </w:r>
    </w:p>
    <w:p w14:paraId="46850A95" w14:textId="4D648892" w:rsidR="00751A00" w:rsidRPr="00416F40" w:rsidRDefault="00751A00" w:rsidP="00B10F7C">
      <w:pPr>
        <w:pBdr>
          <w:top w:val="nil"/>
          <w:left w:val="nil"/>
          <w:bottom w:val="nil"/>
          <w:right w:val="nil"/>
          <w:between w:val="nil"/>
          <w:bar w:val="nil"/>
        </w:pBdr>
        <w:rPr>
          <w:rFonts w:eastAsia="Arial Unicode MS"/>
          <w:noProof/>
          <w:lang w:val="en-IE"/>
        </w:rPr>
      </w:pPr>
      <w:r w:rsidRPr="00416F40">
        <w:rPr>
          <w:rFonts w:eastAsia="Arial Unicode MS"/>
          <w:noProof/>
          <w:lang w:val="en-IE"/>
        </w:rPr>
        <w:t>The proposal is also coherent with</w:t>
      </w:r>
      <w:r w:rsidRPr="00416F40" w:rsidDel="009044C7">
        <w:rPr>
          <w:rFonts w:eastAsia="Arial Unicode MS"/>
          <w:noProof/>
          <w:lang w:val="en-IE"/>
        </w:rPr>
        <w:t xml:space="preserve"> </w:t>
      </w:r>
      <w:r w:rsidRPr="00416F40">
        <w:rPr>
          <w:rFonts w:eastAsia="Arial Unicode MS"/>
          <w:noProof/>
          <w:lang w:val="en-IE"/>
        </w:rPr>
        <w:t xml:space="preserve">the </w:t>
      </w:r>
      <w:r w:rsidRPr="00416F40">
        <w:rPr>
          <w:noProof/>
          <w:lang w:val="en-IE"/>
        </w:rPr>
        <w:t>Digital Services Act (DSA)</w:t>
      </w:r>
      <w:r w:rsidRPr="00416F40">
        <w:rPr>
          <w:rStyle w:val="FootnoteReference"/>
          <w:noProof/>
          <w:lang w:val="en-IE"/>
        </w:rPr>
        <w:footnoteReference w:id="7"/>
      </w:r>
      <w:r w:rsidRPr="00416F40">
        <w:rPr>
          <w:noProof/>
          <w:lang w:val="en-IE"/>
        </w:rPr>
        <w:t xml:space="preserve">. </w:t>
      </w:r>
      <w:r w:rsidRPr="00416F40">
        <w:rPr>
          <w:rFonts w:eastAsia="Arial Unicode MS"/>
          <w:noProof/>
          <w:lang w:val="en-IE"/>
        </w:rPr>
        <w:t xml:space="preserve">The </w:t>
      </w:r>
      <w:r w:rsidR="00131190" w:rsidRPr="00416F40">
        <w:rPr>
          <w:rFonts w:eastAsia="Arial Unicode MS"/>
          <w:noProof/>
          <w:lang w:val="en-IE"/>
        </w:rPr>
        <w:t xml:space="preserve">Interim Regulation, as to be extended, </w:t>
      </w:r>
      <w:r w:rsidR="00464B5B" w:rsidRPr="00416F40">
        <w:rPr>
          <w:rFonts w:eastAsia="Arial Unicode MS"/>
          <w:noProof/>
          <w:lang w:val="en-IE"/>
        </w:rPr>
        <w:t xml:space="preserve">complements </w:t>
      </w:r>
      <w:r w:rsidRPr="00416F40">
        <w:rPr>
          <w:rFonts w:eastAsia="Arial Unicode MS"/>
          <w:noProof/>
          <w:lang w:val="en-IE"/>
        </w:rPr>
        <w:t>the horizontal framework of the DSA</w:t>
      </w:r>
      <w:r w:rsidR="00464B5B" w:rsidRPr="00416F40">
        <w:rPr>
          <w:rFonts w:eastAsia="Arial Unicode MS"/>
          <w:noProof/>
          <w:lang w:val="en-IE"/>
        </w:rPr>
        <w:t xml:space="preserve">, </w:t>
      </w:r>
      <w:r w:rsidRPr="00416F40">
        <w:rPr>
          <w:rFonts w:eastAsia="Arial Unicode MS"/>
          <w:noProof/>
          <w:lang w:val="en-IE"/>
        </w:rPr>
        <w:t>setting out specific rules where needed for the particular case of combating online child sexual abuse.</w:t>
      </w:r>
    </w:p>
    <w:p w14:paraId="78F3CCD2" w14:textId="77777777" w:rsidR="003903E1" w:rsidRPr="00416F40" w:rsidRDefault="003903E1" w:rsidP="00550536">
      <w:pPr>
        <w:pStyle w:val="ManualHeading1"/>
        <w:rPr>
          <w:noProof/>
          <w:lang w:val="en-IE"/>
        </w:rPr>
      </w:pPr>
      <w:r w:rsidRPr="00416F40">
        <w:rPr>
          <w:noProof/>
          <w:lang w:val="en-IE"/>
        </w:rPr>
        <w:t>2.</w:t>
      </w:r>
      <w:r w:rsidRPr="00416F40">
        <w:rPr>
          <w:noProof/>
          <w:lang w:val="en-IE"/>
        </w:rPr>
        <w:tab/>
        <w:t>LEGAL BASIS, SUBSIDIARITY AND PROPORTIONALITY</w:t>
      </w:r>
    </w:p>
    <w:p w14:paraId="3C057FA9"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Legal basis</w:t>
      </w:r>
    </w:p>
    <w:p w14:paraId="39FF5B79" w14:textId="11DBCDA1" w:rsidR="00B07617" w:rsidRPr="00416F40" w:rsidRDefault="00B07617"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The relevant legal bases are Article 16 and Article 114 of the Treaty on the Functioning of the European Union (‘TFEU’)</w:t>
      </w:r>
      <w:r w:rsidR="00131190" w:rsidRPr="00416F40">
        <w:rPr>
          <w:rFonts w:eastAsia="Arial Unicode MS"/>
          <w:noProof/>
          <w:color w:val="000000"/>
          <w:szCs w:val="24"/>
          <w:u w:color="000000"/>
          <w:bdr w:val="nil"/>
          <w:lang w:val="en-IE" w:eastAsia="en-GB"/>
        </w:rPr>
        <w:t>. These</w:t>
      </w:r>
      <w:r w:rsidR="00146944" w:rsidRPr="00416F40">
        <w:rPr>
          <w:rFonts w:eastAsia="Arial Unicode MS"/>
          <w:noProof/>
          <w:color w:val="000000"/>
          <w:szCs w:val="24"/>
          <w:u w:color="000000"/>
          <w:bdr w:val="nil"/>
          <w:lang w:val="en-IE" w:eastAsia="en-GB"/>
        </w:rPr>
        <w:t xml:space="preserve"> provisions a</w:t>
      </w:r>
      <w:r w:rsidR="00131190" w:rsidRPr="00416F40">
        <w:rPr>
          <w:rFonts w:eastAsia="Arial Unicode MS"/>
          <w:noProof/>
          <w:color w:val="000000"/>
          <w:szCs w:val="24"/>
          <w:u w:color="000000"/>
          <w:bdr w:val="nil"/>
          <w:lang w:val="en-IE" w:eastAsia="en-GB"/>
        </w:rPr>
        <w:t>re</w:t>
      </w:r>
      <w:r w:rsidR="00146944" w:rsidRPr="00416F40">
        <w:rPr>
          <w:rFonts w:eastAsia="Arial Unicode MS"/>
          <w:noProof/>
          <w:color w:val="000000"/>
          <w:szCs w:val="24"/>
          <w:u w:color="000000"/>
          <w:bdr w:val="nil"/>
          <w:lang w:val="en-IE" w:eastAsia="en-GB"/>
        </w:rPr>
        <w:t xml:space="preserve"> also</w:t>
      </w:r>
      <w:r w:rsidR="00131190" w:rsidRPr="00416F40">
        <w:rPr>
          <w:rFonts w:eastAsia="Arial Unicode MS"/>
          <w:noProof/>
          <w:color w:val="000000"/>
          <w:szCs w:val="24"/>
          <w:u w:color="000000"/>
          <w:bdr w:val="nil"/>
          <w:lang w:val="en-IE" w:eastAsia="en-GB"/>
        </w:rPr>
        <w:t xml:space="preserve"> the</w:t>
      </w:r>
      <w:r w:rsidR="00146944" w:rsidRPr="00416F40">
        <w:rPr>
          <w:rFonts w:eastAsia="Arial Unicode MS"/>
          <w:noProof/>
          <w:color w:val="000000"/>
          <w:szCs w:val="24"/>
          <w:u w:color="000000"/>
          <w:bdr w:val="nil"/>
          <w:lang w:val="en-IE" w:eastAsia="en-GB"/>
        </w:rPr>
        <w:t xml:space="preserve"> legal bases of</w:t>
      </w:r>
      <w:r w:rsidR="00400FAF" w:rsidRPr="00416F40">
        <w:rPr>
          <w:rFonts w:eastAsia="Arial Unicode MS"/>
          <w:noProof/>
          <w:color w:val="000000"/>
          <w:szCs w:val="24"/>
          <w:u w:color="000000"/>
          <w:bdr w:val="nil"/>
          <w:lang w:val="en-IE" w:eastAsia="en-GB"/>
        </w:rPr>
        <w:t xml:space="preserve"> the Interim Regulation</w:t>
      </w:r>
      <w:r w:rsidRPr="00416F40">
        <w:rPr>
          <w:rFonts w:eastAsia="Arial Unicode MS"/>
          <w:noProof/>
          <w:color w:val="000000"/>
          <w:szCs w:val="24"/>
          <w:u w:color="000000"/>
          <w:bdr w:val="nil"/>
          <w:lang w:val="en-IE" w:eastAsia="en-GB"/>
        </w:rPr>
        <w:t xml:space="preserve">. </w:t>
      </w:r>
    </w:p>
    <w:p w14:paraId="14650C13"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 xml:space="preserve">Subsidiarity (for non-exclusive competence) </w:t>
      </w:r>
    </w:p>
    <w:p w14:paraId="038CE396" w14:textId="77777777" w:rsidR="008636CA" w:rsidRPr="00416F40" w:rsidRDefault="008636CA"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noProof/>
          <w:color w:val="000000"/>
          <w:shd w:val="clear" w:color="auto" w:fill="FFFFFF"/>
        </w:rPr>
        <w:t xml:space="preserve">According to the principle of subsidiarity, EU action may only be taken if the envisaged aims cannot be achieved by Member States alone. EU intervention is needed to maintain the ability of providers of number-independent interpersonal communications services to voluntarily detect and report child sexual abuse online and remove child sexual abuse material, as well as to continue ensuring a uniform and coherent legal framework for the activities in question throughout the internal market, as provided for in the </w:t>
      </w:r>
      <w:r w:rsidR="00F86834" w:rsidRPr="00416F40">
        <w:rPr>
          <w:noProof/>
          <w:color w:val="000000"/>
          <w:shd w:val="clear" w:color="auto" w:fill="FFFFFF"/>
        </w:rPr>
        <w:t>I</w:t>
      </w:r>
      <w:r w:rsidRPr="00416F40">
        <w:rPr>
          <w:noProof/>
          <w:color w:val="000000"/>
          <w:shd w:val="clear" w:color="auto" w:fill="FFFFFF"/>
        </w:rPr>
        <w:t>nterim Regulation. The limited time extension of the</w:t>
      </w:r>
      <w:r w:rsidR="00F86834" w:rsidRPr="00416F40">
        <w:rPr>
          <w:noProof/>
          <w:color w:val="000000"/>
          <w:shd w:val="clear" w:color="auto" w:fill="FFFFFF"/>
        </w:rPr>
        <w:t xml:space="preserve"> I</w:t>
      </w:r>
      <w:r w:rsidRPr="00416F40">
        <w:rPr>
          <w:noProof/>
          <w:color w:val="000000"/>
          <w:shd w:val="clear" w:color="auto" w:fill="FFFFFF"/>
        </w:rPr>
        <w:t xml:space="preserve">nterim Regulation can only be adopted by Union legislation. </w:t>
      </w:r>
    </w:p>
    <w:p w14:paraId="4F03AB30"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Proportionality</w:t>
      </w:r>
    </w:p>
    <w:p w14:paraId="5ACB2508" w14:textId="77777777" w:rsidR="0079033B" w:rsidRPr="00416F40" w:rsidRDefault="0079033B" w:rsidP="0079033B">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 xml:space="preserve">The proposal complies with the principle of proportionality as set out in Article 5 of the Treaty on European Union as it will not go beyond what is necessary for the achievement of the set objectives. It introduces a limited time extension to the targeted and temporary derogation as regards certain aspects of changes to the current framework in order to ensure that certain measures remain permissible to the extent that they currently comply with Union law. </w:t>
      </w:r>
    </w:p>
    <w:p w14:paraId="3E588085" w14:textId="14B792E6" w:rsidR="0079033B" w:rsidRPr="00416F40" w:rsidRDefault="0079033B" w:rsidP="0079033B">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The duration of the extension is limited to a time period strictly necessary to adopt the long-term legislation</w:t>
      </w:r>
      <w:r w:rsidR="00240088" w:rsidRPr="00416F40">
        <w:rPr>
          <w:rFonts w:eastAsia="Arial Unicode MS"/>
          <w:noProof/>
          <w:color w:val="000000"/>
          <w:szCs w:val="24"/>
          <w:u w:color="000000"/>
          <w:bdr w:val="nil"/>
          <w:lang w:val="en-IE" w:eastAsia="en-GB"/>
        </w:rPr>
        <w:t>, as can reasonabl</w:t>
      </w:r>
      <w:r w:rsidR="00E31CB0">
        <w:rPr>
          <w:rFonts w:eastAsia="Arial Unicode MS"/>
          <w:noProof/>
          <w:color w:val="000000"/>
          <w:szCs w:val="24"/>
          <w:u w:color="000000"/>
          <w:bdr w:val="nil"/>
          <w:lang w:val="en-IE" w:eastAsia="en-GB"/>
        </w:rPr>
        <w:t>y</w:t>
      </w:r>
      <w:r w:rsidR="00240088" w:rsidRPr="00416F40">
        <w:rPr>
          <w:rFonts w:eastAsia="Arial Unicode MS"/>
          <w:noProof/>
          <w:color w:val="000000"/>
          <w:szCs w:val="24"/>
          <w:u w:color="000000"/>
          <w:bdr w:val="nil"/>
          <w:lang w:val="en-IE" w:eastAsia="en-GB"/>
        </w:rPr>
        <w:t xml:space="preserve"> be assessed at present having regard in particular to the current state of the negotiations and the upcoming elections of the European Parliament</w:t>
      </w:r>
      <w:r w:rsidR="00B651DE" w:rsidRPr="00416F40">
        <w:rPr>
          <w:noProof/>
          <w:lang w:val="en-IE"/>
        </w:rPr>
        <w:t>.</w:t>
      </w:r>
    </w:p>
    <w:p w14:paraId="64473546"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Choice of the instrument</w:t>
      </w:r>
    </w:p>
    <w:p w14:paraId="1AD398CC" w14:textId="03CED93E" w:rsidR="003903E1" w:rsidRPr="00416F40" w:rsidRDefault="00B07617" w:rsidP="00550536">
      <w:pPr>
        <w:pBdr>
          <w:top w:val="nil"/>
          <w:left w:val="nil"/>
          <w:bottom w:val="nil"/>
          <w:right w:val="nil"/>
          <w:between w:val="nil"/>
          <w:bar w:val="nil"/>
        </w:pBdr>
        <w:spacing w:before="0" w:after="240"/>
        <w:rPr>
          <w:rFonts w:eastAsia="Arial Unicode MS"/>
          <w:noProof/>
          <w:lang w:val="en-IE"/>
        </w:rPr>
      </w:pPr>
      <w:r w:rsidRPr="00416F40">
        <w:rPr>
          <w:rFonts w:eastAsia="Arial Unicode MS"/>
          <w:noProof/>
          <w:color w:val="000000"/>
          <w:szCs w:val="24"/>
          <w:u w:color="000000"/>
          <w:bdr w:val="nil"/>
          <w:lang w:val="en-IE" w:eastAsia="en-GB"/>
        </w:rPr>
        <w:t>The objectives of the present proposal can best be pursued through a Regulation</w:t>
      </w:r>
      <w:r w:rsidR="00131190" w:rsidRPr="00416F40">
        <w:rPr>
          <w:rFonts w:eastAsia="Arial Unicode MS"/>
          <w:noProof/>
          <w:color w:val="000000"/>
          <w:szCs w:val="24"/>
          <w:u w:color="000000"/>
          <w:bdr w:val="nil"/>
          <w:lang w:val="en-IE" w:eastAsia="en-GB"/>
        </w:rPr>
        <w:t>, given that the act that is amended, namely the Interim Regulation, is also a Regulation</w:t>
      </w:r>
      <w:r w:rsidRPr="00416F40">
        <w:rPr>
          <w:rFonts w:eastAsia="Arial Unicode MS"/>
          <w:noProof/>
          <w:color w:val="000000"/>
          <w:szCs w:val="24"/>
          <w:u w:color="000000"/>
          <w:bdr w:val="nil"/>
          <w:lang w:val="en-IE" w:eastAsia="en-GB"/>
        </w:rPr>
        <w:t xml:space="preserve">. </w:t>
      </w:r>
    </w:p>
    <w:p w14:paraId="42997FD5" w14:textId="77777777" w:rsidR="003903E1" w:rsidRPr="00416F40" w:rsidRDefault="003903E1" w:rsidP="00550536">
      <w:pPr>
        <w:pStyle w:val="ManualHeading1"/>
        <w:rPr>
          <w:noProof/>
          <w:lang w:val="en-IE"/>
        </w:rPr>
      </w:pPr>
      <w:r w:rsidRPr="00416F40">
        <w:rPr>
          <w:noProof/>
          <w:lang w:val="en-IE"/>
        </w:rPr>
        <w:t>3.</w:t>
      </w:r>
      <w:r w:rsidRPr="00416F40">
        <w:rPr>
          <w:noProof/>
          <w:lang w:val="en-IE"/>
        </w:rPr>
        <w:tab/>
        <w:t>RESULTS OF EX-POST EVALUATIONS, STAKEHOLDER CONSULTATIONS AND IMPACT ASSESSMENTS</w:t>
      </w:r>
    </w:p>
    <w:p w14:paraId="15C9F14A"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Ex-post evaluations/fitness checks of existing legislation</w:t>
      </w:r>
    </w:p>
    <w:p w14:paraId="7F3A4E5D" w14:textId="77777777" w:rsidR="00B07617" w:rsidRPr="00416F40" w:rsidRDefault="00B07617"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Not applicable</w:t>
      </w:r>
    </w:p>
    <w:p w14:paraId="7ADD459C"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Stakeholder consultations</w:t>
      </w:r>
    </w:p>
    <w:p w14:paraId="15C46D62" w14:textId="77777777" w:rsidR="00B07617" w:rsidRPr="00416F40" w:rsidRDefault="00B07617"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Not applicable</w:t>
      </w:r>
    </w:p>
    <w:p w14:paraId="2BA4F7E2"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Collection and use of expertise</w:t>
      </w:r>
    </w:p>
    <w:p w14:paraId="72C6642D" w14:textId="77777777" w:rsidR="00B07617" w:rsidRPr="00416F40" w:rsidRDefault="00B07617"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Not applicable</w:t>
      </w:r>
    </w:p>
    <w:p w14:paraId="3FFE12B3"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Impact assessment</w:t>
      </w:r>
    </w:p>
    <w:p w14:paraId="11203CB7" w14:textId="77777777" w:rsidR="00B07617" w:rsidRPr="00416F40" w:rsidRDefault="00B07617" w:rsidP="00B07617">
      <w:pPr>
        <w:pBdr>
          <w:top w:val="nil"/>
          <w:left w:val="nil"/>
          <w:bottom w:val="nil"/>
          <w:right w:val="nil"/>
          <w:between w:val="nil"/>
          <w:bar w:val="nil"/>
        </w:pBdr>
        <w:spacing w:before="0" w:after="240"/>
        <w:rPr>
          <w:rFonts w:eastAsia="Arial Unicode MS"/>
          <w:noProof/>
          <w:lang w:val="en-IE"/>
        </w:rPr>
      </w:pPr>
      <w:r w:rsidRPr="00416F40">
        <w:rPr>
          <w:noProof/>
        </w:rPr>
        <w:t xml:space="preserve">In view of the policy objective and the time-sensitive nature of the issue, there are no other materially different policy options available, and thus no impact assessment </w:t>
      </w:r>
      <w:r w:rsidR="00F26627" w:rsidRPr="00416F40">
        <w:rPr>
          <w:noProof/>
        </w:rPr>
        <w:t>is necessary</w:t>
      </w:r>
      <w:r w:rsidRPr="00416F40">
        <w:rPr>
          <w:noProof/>
        </w:rPr>
        <w:t xml:space="preserve">. In particular, the measure intends to introduce a limited time extension of the interim and strictly limited derogation from the applicability of Articles 5(1) and 6 of the ePrivacy Directive to ensure that number-independent interpersonal communications service providers can continue to voluntarily using specific technologies to detect and report child sexual abuse online and to remove child sexual abuse material on their services after </w:t>
      </w:r>
      <w:r w:rsidR="00F26627" w:rsidRPr="00416F40">
        <w:rPr>
          <w:rFonts w:eastAsia="Arial Unicode MS"/>
          <w:noProof/>
          <w:lang w:val="en-IE"/>
        </w:rPr>
        <w:t>3 August 2024</w:t>
      </w:r>
      <w:r w:rsidRPr="00416F40">
        <w:rPr>
          <w:noProof/>
        </w:rPr>
        <w:t xml:space="preserve">, pending the adoption of long-term legislation. </w:t>
      </w:r>
    </w:p>
    <w:p w14:paraId="1CC5EA3C"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Fundamental rights</w:t>
      </w:r>
    </w:p>
    <w:p w14:paraId="1DBAFAF4" w14:textId="77777777" w:rsidR="00131190" w:rsidRPr="00416F40" w:rsidRDefault="00B07617"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The proposal takes full account of the fundamental rights and principles recognised by the Charter of Fundamental Rights of the European Union</w:t>
      </w:r>
      <w:r w:rsidR="00F26627" w:rsidRPr="00416F40">
        <w:rPr>
          <w:rFonts w:eastAsia="Arial Unicode MS"/>
          <w:noProof/>
          <w:color w:val="000000"/>
          <w:szCs w:val="24"/>
          <w:u w:color="000000"/>
          <w:bdr w:val="nil"/>
          <w:lang w:val="en-IE" w:eastAsia="en-GB"/>
        </w:rPr>
        <w:t xml:space="preserve"> (“the Charter”)</w:t>
      </w:r>
      <w:r w:rsidRPr="00416F40">
        <w:rPr>
          <w:rFonts w:eastAsia="Arial Unicode MS"/>
          <w:noProof/>
          <w:color w:val="000000"/>
          <w:szCs w:val="24"/>
          <w:u w:color="000000"/>
          <w:bdr w:val="nil"/>
          <w:lang w:val="en-IE" w:eastAsia="en-GB"/>
        </w:rPr>
        <w:t xml:space="preserve">. </w:t>
      </w:r>
    </w:p>
    <w:p w14:paraId="487E74EE" w14:textId="42264E65" w:rsidR="00131190" w:rsidRPr="00416F40" w:rsidRDefault="00146944"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T</w:t>
      </w:r>
      <w:r w:rsidR="00B07617" w:rsidRPr="00416F40">
        <w:rPr>
          <w:rFonts w:eastAsia="Arial Unicode MS"/>
          <w:noProof/>
          <w:color w:val="000000"/>
          <w:szCs w:val="24"/>
          <w:u w:color="000000"/>
          <w:bdr w:val="nil"/>
          <w:lang w:val="en-IE" w:eastAsia="en-GB"/>
        </w:rPr>
        <w:t xml:space="preserve">he proposed measures </w:t>
      </w:r>
      <w:r w:rsidR="00B8440E" w:rsidRPr="00416F40">
        <w:rPr>
          <w:rFonts w:eastAsia="Arial Unicode MS"/>
          <w:noProof/>
          <w:color w:val="000000"/>
          <w:szCs w:val="24"/>
          <w:u w:color="000000"/>
          <w:bdr w:val="nil"/>
          <w:lang w:val="en-IE" w:eastAsia="en-GB"/>
        </w:rPr>
        <w:t xml:space="preserve">comply with </w:t>
      </w:r>
      <w:r w:rsidR="00B07617" w:rsidRPr="00416F40">
        <w:rPr>
          <w:rFonts w:eastAsia="Arial Unicode MS"/>
          <w:noProof/>
          <w:color w:val="000000"/>
          <w:szCs w:val="24"/>
          <w:u w:color="000000"/>
          <w:bdr w:val="nil"/>
          <w:lang w:val="en-IE" w:eastAsia="en-GB"/>
        </w:rPr>
        <w:t>Article 7 of the Charter</w:t>
      </w:r>
      <w:r w:rsidR="00F26627" w:rsidRPr="00416F40">
        <w:rPr>
          <w:rFonts w:eastAsia="Arial Unicode MS"/>
          <w:noProof/>
          <w:color w:val="000000"/>
          <w:szCs w:val="24"/>
          <w:u w:color="000000"/>
          <w:bdr w:val="nil"/>
          <w:lang w:val="en-IE" w:eastAsia="en-GB"/>
        </w:rPr>
        <w:t>,</w:t>
      </w:r>
      <w:r w:rsidR="00B07617" w:rsidRPr="00416F40">
        <w:rPr>
          <w:rFonts w:eastAsia="Arial Unicode MS"/>
          <w:noProof/>
          <w:color w:val="000000"/>
          <w:szCs w:val="24"/>
          <w:u w:color="000000"/>
          <w:bdr w:val="nil"/>
          <w:lang w:val="en-IE" w:eastAsia="en-GB"/>
        </w:rPr>
        <w:t xml:space="preserve"> </w:t>
      </w:r>
      <w:r w:rsidR="00F26627" w:rsidRPr="00416F40">
        <w:rPr>
          <w:rFonts w:eastAsia="Arial Unicode MS"/>
          <w:noProof/>
          <w:color w:val="000000"/>
          <w:szCs w:val="24"/>
          <w:u w:color="000000"/>
          <w:bdr w:val="nil"/>
          <w:lang w:val="en-IE" w:eastAsia="en-GB"/>
        </w:rPr>
        <w:t xml:space="preserve">which </w:t>
      </w:r>
      <w:r w:rsidR="00B07617" w:rsidRPr="00416F40">
        <w:rPr>
          <w:rFonts w:eastAsia="Arial Unicode MS"/>
          <w:noProof/>
          <w:color w:val="000000"/>
          <w:szCs w:val="24"/>
          <w:u w:color="000000"/>
          <w:bdr w:val="nil"/>
          <w:lang w:val="en-IE" w:eastAsia="en-GB"/>
        </w:rPr>
        <w:t xml:space="preserve">protects the fundamental right of everyone to the respect for his or her private and family life, home and communications, </w:t>
      </w:r>
      <w:r w:rsidR="00F26627" w:rsidRPr="00416F40">
        <w:rPr>
          <w:rFonts w:eastAsia="Arial Unicode MS"/>
          <w:noProof/>
          <w:color w:val="000000"/>
          <w:szCs w:val="24"/>
          <w:u w:color="000000"/>
          <w:bdr w:val="nil"/>
          <w:lang w:val="en-IE" w:eastAsia="en-GB"/>
        </w:rPr>
        <w:t xml:space="preserve">and </w:t>
      </w:r>
      <w:r w:rsidR="00B07617" w:rsidRPr="00416F40">
        <w:rPr>
          <w:rFonts w:eastAsia="Arial Unicode MS"/>
          <w:noProof/>
          <w:color w:val="000000"/>
          <w:szCs w:val="24"/>
          <w:u w:color="000000"/>
          <w:bdr w:val="nil"/>
          <w:lang w:val="en-IE" w:eastAsia="en-GB"/>
        </w:rPr>
        <w:t>includes the confidentiality of communications. Moreover, to the extent that</w:t>
      </w:r>
      <w:r w:rsidR="00F26627" w:rsidRPr="00416F40">
        <w:rPr>
          <w:rFonts w:eastAsia="Arial Unicode MS"/>
          <w:noProof/>
          <w:color w:val="000000"/>
          <w:szCs w:val="24"/>
          <w:u w:color="000000"/>
          <w:bdr w:val="nil"/>
          <w:lang w:val="en-IE" w:eastAsia="en-GB"/>
        </w:rPr>
        <w:t xml:space="preserve"> the</w:t>
      </w:r>
      <w:r w:rsidR="00B07617" w:rsidRPr="00416F40">
        <w:rPr>
          <w:rFonts w:eastAsia="Arial Unicode MS"/>
          <w:noProof/>
          <w:color w:val="000000"/>
          <w:szCs w:val="24"/>
          <w:u w:color="000000"/>
          <w:bdr w:val="nil"/>
          <w:lang w:val="en-IE" w:eastAsia="en-GB"/>
        </w:rPr>
        <w:t xml:space="preserve"> processing of electronic communications by number-independent interpersonal communications services for the sole purpose of detecting and reporting child sexual abuse online and removing child sexual abuse material falls into the scope of the derogation created by this proposal, the </w:t>
      </w:r>
      <w:r w:rsidRPr="00416F40">
        <w:rPr>
          <w:rFonts w:eastAsia="Arial Unicode MS"/>
          <w:noProof/>
          <w:color w:val="000000"/>
          <w:szCs w:val="24"/>
          <w:u w:color="000000"/>
          <w:bdr w:val="nil"/>
          <w:lang w:val="en-IE" w:eastAsia="en-GB"/>
        </w:rPr>
        <w:t>GDPR</w:t>
      </w:r>
      <w:r w:rsidR="00B07617" w:rsidRPr="00416F40">
        <w:rPr>
          <w:rFonts w:eastAsia="Arial Unicode MS"/>
          <w:noProof/>
          <w:color w:val="000000"/>
          <w:szCs w:val="24"/>
          <w:u w:color="000000"/>
          <w:bdr w:val="nil"/>
          <w:lang w:val="en-IE" w:eastAsia="en-GB"/>
        </w:rPr>
        <w:t>, which implements in secondary legislation Article 8(1) of the Charter,</w:t>
      </w:r>
      <w:r w:rsidR="00F26627" w:rsidRPr="00416F40">
        <w:rPr>
          <w:rFonts w:eastAsia="Arial Unicode MS"/>
          <w:noProof/>
          <w:color w:val="000000"/>
          <w:szCs w:val="24"/>
          <w:u w:color="000000"/>
          <w:bdr w:val="nil"/>
          <w:lang w:val="en-IE" w:eastAsia="en-GB"/>
        </w:rPr>
        <w:t xml:space="preserve"> which provides that everyone enjoys the right to the protection of personal data,</w:t>
      </w:r>
      <w:r w:rsidR="00B07617" w:rsidRPr="00416F40">
        <w:rPr>
          <w:rFonts w:eastAsia="Arial Unicode MS"/>
          <w:noProof/>
          <w:color w:val="000000"/>
          <w:szCs w:val="24"/>
          <w:u w:color="000000"/>
          <w:bdr w:val="nil"/>
          <w:lang w:val="en-IE" w:eastAsia="en-GB"/>
        </w:rPr>
        <w:t xml:space="preserve"> continues to apply to such processing. </w:t>
      </w:r>
    </w:p>
    <w:p w14:paraId="6FB7CAA6" w14:textId="0A3187C5" w:rsidR="00B07617" w:rsidRPr="00416F40" w:rsidRDefault="00131190"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In addition, the proposal complies with Article 24(2) of the Charter, which provides that, in all actions relating to children, whether taken by public authorities or private institutions, the child’s best interests must be a primary consideration. It also complies with Articles 1, 3 and 4 of the Charter, on the rights to human dignity, the right to the integrity of the person and the prohibition of inhuman or degrading treatment, respectively</w:t>
      </w:r>
      <w:r w:rsidR="00146944" w:rsidRPr="00416F40">
        <w:rPr>
          <w:rFonts w:eastAsia="Arial Unicode MS"/>
          <w:noProof/>
          <w:color w:val="000000"/>
          <w:szCs w:val="24"/>
          <w:u w:color="000000"/>
          <w:bdr w:val="nil"/>
          <w:lang w:val="en-IE" w:eastAsia="en-GB"/>
        </w:rPr>
        <w:t>, considering that child sexual abuse can (gravely) interfere with these fundamental rights of the children involved.</w:t>
      </w:r>
    </w:p>
    <w:p w14:paraId="0CE6E0F1" w14:textId="2081DF07" w:rsidR="00131190" w:rsidRPr="00416F40" w:rsidRDefault="00146944" w:rsidP="00B07617">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 xml:space="preserve">Finally, by making it possible, subject to certain appropriate conditions, for providers to take voluntary measures to tackle possible misuse of their services, the proposal also takes account of their freedom to conduct a business, guaranteed under Article 16 of the Charter. </w:t>
      </w:r>
    </w:p>
    <w:p w14:paraId="78E62DC0" w14:textId="77777777" w:rsidR="003903E1" w:rsidRPr="00416F40" w:rsidRDefault="003903E1" w:rsidP="00550536">
      <w:pPr>
        <w:pStyle w:val="ManualHeading1"/>
        <w:rPr>
          <w:noProof/>
          <w:lang w:val="en-IE"/>
        </w:rPr>
      </w:pPr>
      <w:r w:rsidRPr="00416F40">
        <w:rPr>
          <w:noProof/>
          <w:lang w:val="en-IE"/>
        </w:rPr>
        <w:t>4.</w:t>
      </w:r>
      <w:r w:rsidRPr="00416F40">
        <w:rPr>
          <w:noProof/>
          <w:lang w:val="en-IE"/>
        </w:rPr>
        <w:tab/>
        <w:t>BUDGETARY IMPLICATIONS</w:t>
      </w:r>
    </w:p>
    <w:p w14:paraId="31760ADF" w14:textId="77777777" w:rsidR="00645153" w:rsidRPr="00416F40" w:rsidRDefault="00645153" w:rsidP="00645153">
      <w:pPr>
        <w:pBdr>
          <w:top w:val="nil"/>
          <w:left w:val="nil"/>
          <w:bottom w:val="nil"/>
          <w:right w:val="nil"/>
          <w:between w:val="nil"/>
          <w:bar w:val="nil"/>
        </w:pBd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This proposal has no implications for the EU budget.</w:t>
      </w:r>
    </w:p>
    <w:p w14:paraId="188BEB0D" w14:textId="77777777" w:rsidR="003903E1" w:rsidRPr="00416F40" w:rsidRDefault="003903E1" w:rsidP="00550536">
      <w:pPr>
        <w:pStyle w:val="ManualHeading1"/>
        <w:rPr>
          <w:noProof/>
          <w:lang w:val="en-IE"/>
        </w:rPr>
      </w:pPr>
      <w:r w:rsidRPr="00416F40">
        <w:rPr>
          <w:noProof/>
          <w:lang w:val="en-IE"/>
        </w:rPr>
        <w:t>5.</w:t>
      </w:r>
      <w:r w:rsidRPr="00416F40">
        <w:rPr>
          <w:noProof/>
          <w:lang w:val="en-IE"/>
        </w:rPr>
        <w:tab/>
        <w:t>OTHER ELEMENTS</w:t>
      </w:r>
    </w:p>
    <w:p w14:paraId="4AC503A0"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Implementation plans and monitoring, evaluation and reporting arrangements</w:t>
      </w:r>
    </w:p>
    <w:p w14:paraId="0328E9EB" w14:textId="77777777" w:rsidR="00645153" w:rsidRPr="00416F40" w:rsidRDefault="00645153" w:rsidP="00645153">
      <w:pPr>
        <w:pBdr>
          <w:top w:val="nil"/>
          <w:left w:val="nil"/>
          <w:bottom w:val="nil"/>
          <w:right w:val="nil"/>
          <w:between w:val="nil"/>
          <w:bar w:val="nil"/>
        </w:pBdr>
        <w:spacing w:after="240"/>
        <w:rPr>
          <w:rFonts w:eastAsia="Arial Unicode MS"/>
          <w:i/>
          <w:noProof/>
          <w:color w:val="000000"/>
          <w:szCs w:val="24"/>
          <w:u w:color="000000"/>
          <w:bdr w:val="nil"/>
          <w:lang w:val="en-IE" w:eastAsia="en-GB"/>
        </w:rPr>
      </w:pPr>
      <w:r w:rsidRPr="00416F40">
        <w:rPr>
          <w:rFonts w:eastAsia="Arial Unicode MS"/>
          <w:noProof/>
          <w:color w:val="000000"/>
          <w:szCs w:val="24"/>
          <w:u w:color="000000"/>
          <w:bdr w:val="nil"/>
          <w:lang w:val="en-IE" w:eastAsia="en-GB"/>
        </w:rPr>
        <w:t>Not applicable</w:t>
      </w:r>
    </w:p>
    <w:p w14:paraId="53A29936" w14:textId="77777777" w:rsidR="003903E1" w:rsidRPr="00416F40" w:rsidRDefault="003903E1" w:rsidP="00A4693B">
      <w:pPr>
        <w:pStyle w:val="ManualHeading2"/>
        <w:rPr>
          <w:rFonts w:eastAsia="Arial Unicode MS"/>
          <w:noProof/>
          <w:u w:color="000000"/>
          <w:bdr w:val="nil"/>
          <w:lang w:val="en-IE" w:eastAsia="en-GB"/>
        </w:rPr>
      </w:pPr>
      <w:r w:rsidRPr="00416F40">
        <w:rPr>
          <w:rFonts w:eastAsia="Arial Unicode MS"/>
          <w:noProof/>
          <w:u w:color="000000"/>
          <w:bdr w:val="nil"/>
          <w:lang w:val="en-IE" w:eastAsia="en-GB"/>
        </w:rPr>
        <w:t>•</w:t>
      </w:r>
      <w:r w:rsidRPr="00416F40">
        <w:rPr>
          <w:rFonts w:eastAsia="Arial Unicode MS"/>
          <w:noProof/>
          <w:u w:color="000000"/>
          <w:bdr w:val="nil"/>
          <w:lang w:val="en-IE" w:eastAsia="en-GB"/>
        </w:rPr>
        <w:tab/>
        <w:t>Detailed explanation of the specific provisions of the proposal</w:t>
      </w:r>
    </w:p>
    <w:p w14:paraId="1FDC9958" w14:textId="32E59B31" w:rsidR="00082480" w:rsidRPr="00416F40" w:rsidRDefault="00082480" w:rsidP="00082480">
      <w:pP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Article 1 sets</w:t>
      </w:r>
      <w:r w:rsidR="002F1444" w:rsidRPr="00416F40">
        <w:rPr>
          <w:rFonts w:eastAsia="Arial Unicode MS"/>
          <w:noProof/>
          <w:color w:val="000000"/>
          <w:szCs w:val="24"/>
          <w:u w:color="000000"/>
          <w:bdr w:val="nil"/>
          <w:lang w:val="en-IE" w:eastAsia="en-GB"/>
        </w:rPr>
        <w:t xml:space="preserve"> out the amendment to</w:t>
      </w:r>
      <w:r w:rsidR="002F1444" w:rsidRPr="00416F40">
        <w:rPr>
          <w:rFonts w:eastAsia="Calibri"/>
          <w:noProof/>
          <w:lang w:val="en-IE"/>
        </w:rPr>
        <w:t xml:space="preserve"> </w:t>
      </w:r>
      <w:r w:rsidR="006A1180" w:rsidRPr="00416F40">
        <w:rPr>
          <w:rFonts w:eastAsia="Calibri"/>
          <w:noProof/>
          <w:lang w:val="en-IE"/>
        </w:rPr>
        <w:t>the Interim Regulation</w:t>
      </w:r>
      <w:r w:rsidR="002F1444" w:rsidRPr="00416F40">
        <w:rPr>
          <w:rFonts w:eastAsia="Calibri"/>
          <w:noProof/>
          <w:lang w:val="en-IE"/>
        </w:rPr>
        <w:t xml:space="preserve"> brought about by </w:t>
      </w:r>
      <w:r w:rsidRPr="00416F40">
        <w:rPr>
          <w:rFonts w:eastAsia="Arial Unicode MS"/>
          <w:noProof/>
          <w:color w:val="000000"/>
          <w:szCs w:val="24"/>
          <w:u w:color="000000"/>
          <w:bdr w:val="nil"/>
          <w:lang w:val="en-IE" w:eastAsia="en-GB"/>
        </w:rPr>
        <w:t>the</w:t>
      </w:r>
      <w:r w:rsidR="002F1444" w:rsidRPr="00416F40">
        <w:rPr>
          <w:rFonts w:eastAsia="Arial Unicode MS"/>
          <w:noProof/>
          <w:color w:val="000000"/>
          <w:szCs w:val="24"/>
          <w:u w:color="000000"/>
          <w:bdr w:val="nil"/>
          <w:lang w:val="en-IE" w:eastAsia="en-GB"/>
        </w:rPr>
        <w:t xml:space="preserve"> present</w:t>
      </w:r>
      <w:r w:rsidRPr="00416F40">
        <w:rPr>
          <w:rFonts w:eastAsia="Arial Unicode MS"/>
          <w:noProof/>
          <w:color w:val="000000"/>
          <w:szCs w:val="24"/>
          <w:u w:color="000000"/>
          <w:bdr w:val="nil"/>
          <w:lang w:val="en-IE" w:eastAsia="en-GB"/>
        </w:rPr>
        <w:t xml:space="preserve"> Regulation</w:t>
      </w:r>
      <w:r w:rsidR="002F1444" w:rsidRPr="00416F40">
        <w:rPr>
          <w:rFonts w:eastAsia="Arial Unicode MS"/>
          <w:noProof/>
          <w:color w:val="000000"/>
          <w:szCs w:val="24"/>
          <w:u w:color="000000"/>
          <w:bdr w:val="nil"/>
          <w:lang w:val="en-IE" w:eastAsia="en-GB"/>
        </w:rPr>
        <w:t>, consisting of a</w:t>
      </w:r>
      <w:r w:rsidR="00146944" w:rsidRPr="00416F40">
        <w:rPr>
          <w:rFonts w:eastAsia="Arial Unicode MS"/>
          <w:noProof/>
          <w:color w:val="000000"/>
          <w:szCs w:val="24"/>
          <w:u w:color="000000"/>
          <w:bdr w:val="nil"/>
          <w:lang w:val="en-IE" w:eastAsia="en-GB"/>
        </w:rPr>
        <w:t xml:space="preserve"> limited</w:t>
      </w:r>
      <w:r w:rsidR="002F1444" w:rsidRPr="00416F40">
        <w:rPr>
          <w:rFonts w:eastAsia="Arial Unicode MS"/>
          <w:noProof/>
          <w:color w:val="000000"/>
          <w:szCs w:val="24"/>
          <w:u w:color="000000"/>
          <w:bdr w:val="nil"/>
          <w:lang w:val="en-IE" w:eastAsia="en-GB"/>
        </w:rPr>
        <w:t xml:space="preserve"> extension of the period of application of </w:t>
      </w:r>
      <w:r w:rsidR="006A1180" w:rsidRPr="00416F40">
        <w:rPr>
          <w:rFonts w:eastAsia="Calibri"/>
          <w:noProof/>
          <w:lang w:val="en-IE"/>
        </w:rPr>
        <w:t>the Interim Regulation</w:t>
      </w:r>
      <w:r w:rsidRPr="00416F40">
        <w:rPr>
          <w:rFonts w:eastAsia="Arial Unicode MS"/>
          <w:noProof/>
          <w:color w:val="000000"/>
          <w:szCs w:val="24"/>
          <w:u w:color="000000"/>
          <w:bdr w:val="nil"/>
          <w:lang w:val="en-IE" w:eastAsia="en-GB"/>
        </w:rPr>
        <w:t>.</w:t>
      </w:r>
      <w:r w:rsidR="00146944" w:rsidRPr="00416F40">
        <w:rPr>
          <w:rFonts w:eastAsia="Arial Unicode MS"/>
          <w:noProof/>
          <w:color w:val="000000"/>
          <w:szCs w:val="24"/>
          <w:u w:color="000000"/>
          <w:bdr w:val="nil"/>
          <w:lang w:val="en-IE" w:eastAsia="en-GB"/>
        </w:rPr>
        <w:t xml:space="preserve"> That is the sole amendment made to the Interim Regulation.</w:t>
      </w:r>
    </w:p>
    <w:p w14:paraId="6CF37E96" w14:textId="77777777" w:rsidR="00082480" w:rsidRPr="00416F40" w:rsidRDefault="00082480" w:rsidP="00082480">
      <w:pPr>
        <w:spacing w:after="240"/>
        <w:rPr>
          <w:rFonts w:eastAsia="Arial Unicode MS"/>
          <w:noProof/>
          <w:color w:val="000000"/>
          <w:szCs w:val="24"/>
          <w:u w:color="000000"/>
          <w:bdr w:val="nil"/>
          <w:lang w:val="en-IE" w:eastAsia="en-GB"/>
        </w:rPr>
      </w:pPr>
      <w:r w:rsidRPr="00416F40">
        <w:rPr>
          <w:rFonts w:eastAsia="Arial Unicode MS"/>
          <w:noProof/>
          <w:color w:val="000000"/>
          <w:szCs w:val="24"/>
          <w:u w:color="000000"/>
          <w:bdr w:val="nil"/>
          <w:lang w:val="en-IE" w:eastAsia="en-GB"/>
        </w:rPr>
        <w:t>Article 2 sets the date for entering into force of the</w:t>
      </w:r>
      <w:r w:rsidR="002F1444" w:rsidRPr="00416F40">
        <w:rPr>
          <w:rFonts w:eastAsia="Arial Unicode MS"/>
          <w:noProof/>
          <w:color w:val="000000"/>
          <w:szCs w:val="24"/>
          <w:u w:color="000000"/>
          <w:bdr w:val="nil"/>
          <w:lang w:val="en-IE" w:eastAsia="en-GB"/>
        </w:rPr>
        <w:t xml:space="preserve"> present</w:t>
      </w:r>
      <w:r w:rsidRPr="00416F40">
        <w:rPr>
          <w:rFonts w:eastAsia="Arial Unicode MS"/>
          <w:noProof/>
          <w:color w:val="000000"/>
          <w:szCs w:val="24"/>
          <w:u w:color="000000"/>
          <w:bdr w:val="nil"/>
          <w:lang w:val="en-IE" w:eastAsia="en-GB"/>
        </w:rPr>
        <w:t xml:space="preserve"> Regulation.</w:t>
      </w:r>
    </w:p>
    <w:p w14:paraId="544C347B" w14:textId="77777777" w:rsidR="003903E1" w:rsidRPr="00416F40" w:rsidRDefault="003903E1" w:rsidP="00F96E01">
      <w:pPr>
        <w:rPr>
          <w:noProof/>
          <w:lang w:val="en-IE"/>
        </w:rPr>
        <w:sectPr w:rsidR="003903E1" w:rsidRPr="00416F40" w:rsidSect="00EC047C">
          <w:footerReference w:type="default" r:id="rId13"/>
          <w:footerReference w:type="first" r:id="rId14"/>
          <w:pgSz w:w="11907" w:h="16839"/>
          <w:pgMar w:top="1134" w:right="1417" w:bottom="1134" w:left="1417" w:header="709" w:footer="709" w:gutter="0"/>
          <w:cols w:space="708"/>
          <w:docGrid w:linePitch="360"/>
        </w:sectPr>
      </w:pPr>
    </w:p>
    <w:p w14:paraId="5ED9BCBF" w14:textId="4279A5B7" w:rsidR="00EC0EB7" w:rsidRDefault="00EC0EB7" w:rsidP="00EC0EB7">
      <w:pPr>
        <w:pStyle w:val="Rfrenceinterinstitutionnelle"/>
        <w:rPr>
          <w:noProof/>
        </w:rPr>
      </w:pPr>
      <w:r w:rsidRPr="00EC0EB7">
        <w:t>2023/0452 (COD)</w:t>
      </w:r>
    </w:p>
    <w:p w14:paraId="0A86336B" w14:textId="6E055D50" w:rsidR="003903E1" w:rsidRPr="00416F40" w:rsidRDefault="008276E9" w:rsidP="008276E9">
      <w:pPr>
        <w:pStyle w:val="Statut"/>
        <w:rPr>
          <w:noProof/>
          <w:lang w:val="en-IE"/>
        </w:rPr>
      </w:pPr>
      <w:r w:rsidRPr="008276E9">
        <w:rPr>
          <w:noProof/>
        </w:rPr>
        <w:t>Proposal for a</w:t>
      </w:r>
    </w:p>
    <w:p w14:paraId="596F5674" w14:textId="71FE5B42" w:rsidR="003903E1" w:rsidRPr="00416F40" w:rsidRDefault="008276E9" w:rsidP="008276E9">
      <w:pPr>
        <w:pStyle w:val="Typedudocument"/>
        <w:rPr>
          <w:noProof/>
          <w:lang w:val="en-IE"/>
        </w:rPr>
      </w:pPr>
      <w:r w:rsidRPr="008276E9">
        <w:rPr>
          <w:noProof/>
        </w:rPr>
        <w:t>REGULATION OF THE EUROPEAN PARLIAMENT AND OF THE COUNCIL</w:t>
      </w:r>
    </w:p>
    <w:p w14:paraId="1F547E07" w14:textId="034CC9A3" w:rsidR="003903E1" w:rsidRPr="00416F40" w:rsidRDefault="008276E9" w:rsidP="008276E9">
      <w:pPr>
        <w:pStyle w:val="Titreobjet"/>
        <w:rPr>
          <w:noProof/>
          <w:lang w:val="en-IE"/>
        </w:rPr>
      </w:pPr>
      <w:r w:rsidRPr="008276E9">
        <w:rPr>
          <w:noProof/>
        </w:rPr>
        <w:t>amending Regulation (EU) 2021/1232 of the European Parliament and of the Council on a temporary derogation from certain provisions of Directive 2002/58/EC for the purpose of combating online child sexual abuse</w:t>
      </w:r>
    </w:p>
    <w:p w14:paraId="07739CE0" w14:textId="38F8EA24" w:rsidR="003903E1" w:rsidRPr="00416F40" w:rsidRDefault="008276E9" w:rsidP="008276E9">
      <w:pPr>
        <w:pStyle w:val="IntrtEEE"/>
        <w:rPr>
          <w:noProof/>
          <w:lang w:val="en-IE"/>
        </w:rPr>
      </w:pPr>
      <w:r w:rsidRPr="008276E9">
        <w:rPr>
          <w:noProof/>
        </w:rPr>
        <w:t>(Text with EEA relevance)</w:t>
      </w:r>
    </w:p>
    <w:p w14:paraId="7955F80A" w14:textId="77777777" w:rsidR="003903E1" w:rsidRPr="00416F40" w:rsidRDefault="003903E1" w:rsidP="006D42BA">
      <w:pPr>
        <w:pStyle w:val="Institutionquiagit"/>
        <w:rPr>
          <w:noProof/>
          <w:lang w:val="en-IE"/>
        </w:rPr>
      </w:pPr>
      <w:r w:rsidRPr="00416F40">
        <w:rPr>
          <w:noProof/>
          <w:lang w:val="en-IE"/>
        </w:rPr>
        <w:t>THE EUROPEAN PARLIAMENT AND THE COUNCIL OF THE EUROPEAN UNION,</w:t>
      </w:r>
    </w:p>
    <w:p w14:paraId="7219A073" w14:textId="27B21E7F" w:rsidR="003903E1" w:rsidRPr="00416F40" w:rsidRDefault="003903E1" w:rsidP="006D42BA">
      <w:pPr>
        <w:rPr>
          <w:noProof/>
          <w:lang w:val="en-IE"/>
        </w:rPr>
      </w:pPr>
      <w:r w:rsidRPr="00416F40">
        <w:rPr>
          <w:noProof/>
          <w:lang w:val="en-IE"/>
        </w:rPr>
        <w:t xml:space="preserve">Having regard to the Treaty on the Functioning of the European Union, and in particular Article </w:t>
      </w:r>
      <w:r w:rsidR="00774347" w:rsidRPr="00416F40">
        <w:rPr>
          <w:noProof/>
          <w:lang w:val="en-IE"/>
        </w:rPr>
        <w:t>16(2), in conjunction with Article 114(1)</w:t>
      </w:r>
      <w:r w:rsidR="00381BF3" w:rsidRPr="00416F40">
        <w:rPr>
          <w:noProof/>
          <w:lang w:val="en-IE"/>
        </w:rPr>
        <w:t>,</w:t>
      </w:r>
      <w:r w:rsidR="00774347" w:rsidRPr="00416F40">
        <w:rPr>
          <w:noProof/>
          <w:lang w:val="en-IE"/>
        </w:rPr>
        <w:t xml:space="preserve"> </w:t>
      </w:r>
      <w:r w:rsidRPr="00416F40">
        <w:rPr>
          <w:noProof/>
          <w:lang w:val="en-IE"/>
        </w:rPr>
        <w:t>thereof,</w:t>
      </w:r>
    </w:p>
    <w:p w14:paraId="5C2D4FB1" w14:textId="77777777" w:rsidR="003903E1" w:rsidRPr="00416F40" w:rsidRDefault="003903E1" w:rsidP="006D42BA">
      <w:pPr>
        <w:rPr>
          <w:noProof/>
          <w:lang w:val="en-IE"/>
        </w:rPr>
      </w:pPr>
      <w:r w:rsidRPr="00416F40">
        <w:rPr>
          <w:noProof/>
          <w:lang w:val="en-IE"/>
        </w:rPr>
        <w:t>Having regard to the proposal from the European Commission,</w:t>
      </w:r>
    </w:p>
    <w:p w14:paraId="51571324" w14:textId="1A05D028" w:rsidR="003903E1" w:rsidRDefault="003903E1" w:rsidP="006D42BA">
      <w:pPr>
        <w:rPr>
          <w:noProof/>
          <w:lang w:val="en-IE"/>
        </w:rPr>
      </w:pPr>
      <w:r w:rsidRPr="00416F40">
        <w:rPr>
          <w:noProof/>
          <w:lang w:val="en-IE"/>
        </w:rPr>
        <w:t>After transmission of the draft legislative act to the national parliaments,</w:t>
      </w:r>
    </w:p>
    <w:p w14:paraId="7A225784" w14:textId="68C1ADC7" w:rsidR="00AD7EB2" w:rsidRPr="00F96E01" w:rsidRDefault="00AD7EB2" w:rsidP="00AD7EB2">
      <w:pPr>
        <w:rPr>
          <w:noProof/>
        </w:rPr>
      </w:pPr>
      <w:r w:rsidRPr="00F96E01">
        <w:rPr>
          <w:noProof/>
        </w:rPr>
        <w:t>Having regard to the opinion of the European Economic and Social Committee</w:t>
      </w:r>
      <w:r w:rsidRPr="00F96E01">
        <w:rPr>
          <w:rStyle w:val="FootnoteReference"/>
          <w:noProof/>
        </w:rPr>
        <w:footnoteReference w:id="8"/>
      </w:r>
      <w:r w:rsidRPr="00F96E01">
        <w:rPr>
          <w:noProof/>
        </w:rPr>
        <w:t xml:space="preserve">, </w:t>
      </w:r>
    </w:p>
    <w:p w14:paraId="14861DC1" w14:textId="77777777" w:rsidR="003903E1" w:rsidRPr="00416F40" w:rsidRDefault="003903E1" w:rsidP="006D42BA">
      <w:pPr>
        <w:rPr>
          <w:noProof/>
          <w:lang w:val="en-IE"/>
        </w:rPr>
      </w:pPr>
      <w:r w:rsidRPr="00416F40">
        <w:rPr>
          <w:noProof/>
          <w:lang w:val="en-IE"/>
        </w:rPr>
        <w:t>Acting in accordance with the ordinary legislative procedure,</w:t>
      </w:r>
    </w:p>
    <w:p w14:paraId="78302823" w14:textId="77777777" w:rsidR="003903E1" w:rsidRPr="00416F40" w:rsidRDefault="003903E1" w:rsidP="006D42BA">
      <w:pPr>
        <w:rPr>
          <w:noProof/>
          <w:lang w:val="en-IE"/>
        </w:rPr>
      </w:pPr>
      <w:r w:rsidRPr="00416F40">
        <w:rPr>
          <w:noProof/>
          <w:lang w:val="en-IE"/>
        </w:rPr>
        <w:t>Whereas:</w:t>
      </w:r>
    </w:p>
    <w:p w14:paraId="6A80BB4D" w14:textId="33A87864" w:rsidR="00437EC5" w:rsidRPr="00416F40" w:rsidRDefault="00A2615E" w:rsidP="00A2615E">
      <w:pPr>
        <w:pStyle w:val="ManualConsidrant"/>
        <w:rPr>
          <w:noProof/>
          <w:lang w:val="en-IE"/>
        </w:rPr>
      </w:pPr>
      <w:r w:rsidRPr="00A2615E">
        <w:t>(1)</w:t>
      </w:r>
      <w:r w:rsidRPr="00A2615E">
        <w:tab/>
      </w:r>
      <w:r w:rsidR="005F5BBD" w:rsidRPr="00416F40">
        <w:rPr>
          <w:noProof/>
          <w:lang w:val="en-IE"/>
        </w:rPr>
        <w:t>Regulation (EU) 2021/1232 of the European Parliament and of the Council</w:t>
      </w:r>
      <w:r w:rsidR="005F5BBD" w:rsidRPr="00416F40">
        <w:rPr>
          <w:rStyle w:val="FootnoteReference"/>
          <w:noProof/>
        </w:rPr>
        <w:footnoteReference w:id="9"/>
      </w:r>
      <w:r w:rsidR="005F5BBD" w:rsidRPr="00416F40">
        <w:rPr>
          <w:noProof/>
          <w:vertAlign w:val="superscript"/>
          <w:lang w:val="en-IE"/>
        </w:rPr>
        <w:t xml:space="preserve"> </w:t>
      </w:r>
      <w:r w:rsidR="005F5BBD" w:rsidRPr="00416F40">
        <w:rPr>
          <w:noProof/>
          <w:lang w:val="en-IE"/>
        </w:rPr>
        <w:t xml:space="preserve">provides for a temporary </w:t>
      </w:r>
      <w:r w:rsidR="00C44255" w:rsidRPr="00416F40">
        <w:rPr>
          <w:noProof/>
          <w:lang w:val="en-IE"/>
        </w:rPr>
        <w:t xml:space="preserve">regime </w:t>
      </w:r>
      <w:r w:rsidR="005F5BBD" w:rsidRPr="00416F40">
        <w:rPr>
          <w:noProof/>
          <w:lang w:val="en-IE"/>
        </w:rPr>
        <w:t xml:space="preserve">in respect of the use of technologies by certain providers of publicly available interpersonal communications services for the purpose of combating online child sexual abuse, pending the preparation and adoption of a long-term legal framework. </w:t>
      </w:r>
      <w:r w:rsidR="00437EC5" w:rsidRPr="00416F40">
        <w:rPr>
          <w:noProof/>
          <w:lang w:val="en-IE"/>
        </w:rPr>
        <w:t>That Regulation applies until 3 August 2024.</w:t>
      </w:r>
    </w:p>
    <w:p w14:paraId="679E6B16" w14:textId="489FC07E" w:rsidR="00437EC5" w:rsidRPr="00416F40" w:rsidRDefault="00A2615E" w:rsidP="00A2615E">
      <w:pPr>
        <w:pStyle w:val="ManualConsidrant"/>
        <w:rPr>
          <w:noProof/>
          <w:lang w:val="en-IE"/>
        </w:rPr>
      </w:pPr>
      <w:bookmarkStart w:id="1" w:name="_Hlk151978631"/>
      <w:r w:rsidRPr="00A2615E">
        <w:t>(2)</w:t>
      </w:r>
      <w:r w:rsidRPr="00A2615E">
        <w:tab/>
      </w:r>
      <w:r w:rsidR="005F5BBD" w:rsidRPr="00416F40">
        <w:rPr>
          <w:noProof/>
          <w:lang w:val="en-IE"/>
        </w:rPr>
        <w:t xml:space="preserve">The </w:t>
      </w:r>
      <w:r w:rsidR="00437EC5" w:rsidRPr="00416F40">
        <w:rPr>
          <w:noProof/>
          <w:lang w:val="en-IE"/>
        </w:rPr>
        <w:t>p</w:t>
      </w:r>
      <w:r w:rsidR="005F5BBD" w:rsidRPr="00416F40">
        <w:rPr>
          <w:noProof/>
          <w:lang w:val="en-IE"/>
        </w:rPr>
        <w:t>roposal for a Regulation of the European Parliament and of the Council laying down rules to prevent and combat child sexual abuse</w:t>
      </w:r>
      <w:r w:rsidR="005F5BBD" w:rsidRPr="00416F40">
        <w:rPr>
          <w:rStyle w:val="FootnoteReference"/>
          <w:rFonts w:eastAsia="Calibri"/>
          <w:noProof/>
          <w:lang w:val="en-IE"/>
        </w:rPr>
        <w:footnoteReference w:id="10"/>
      </w:r>
      <w:r w:rsidR="005F5BBD" w:rsidRPr="00416F40">
        <w:rPr>
          <w:noProof/>
          <w:lang w:val="en-IE"/>
        </w:rPr>
        <w:t xml:space="preserve"> </w:t>
      </w:r>
      <w:r w:rsidR="00437EC5" w:rsidRPr="00416F40">
        <w:rPr>
          <w:noProof/>
          <w:lang w:val="en-IE"/>
        </w:rPr>
        <w:t xml:space="preserve">aims to </w:t>
      </w:r>
      <w:r w:rsidR="005F5BBD" w:rsidRPr="00416F40">
        <w:rPr>
          <w:noProof/>
          <w:lang w:val="en-IE"/>
        </w:rPr>
        <w:t>provide that long-term legal framework</w:t>
      </w:r>
      <w:r w:rsidR="00437EC5" w:rsidRPr="00416F40">
        <w:rPr>
          <w:noProof/>
          <w:lang w:val="en-IE"/>
        </w:rPr>
        <w:t xml:space="preserve">. </w:t>
      </w:r>
      <w:bookmarkEnd w:id="1"/>
      <w:r w:rsidR="00437EC5" w:rsidRPr="00416F40">
        <w:rPr>
          <w:noProof/>
          <w:lang w:val="en-IE"/>
        </w:rPr>
        <w:t>However,</w:t>
      </w:r>
      <w:r w:rsidR="005F5BBD" w:rsidRPr="00416F40">
        <w:rPr>
          <w:noProof/>
          <w:lang w:val="en-IE"/>
        </w:rPr>
        <w:t xml:space="preserve"> the inter-institutional negotiations</w:t>
      </w:r>
      <w:r w:rsidR="00437EC5" w:rsidRPr="00416F40">
        <w:rPr>
          <w:noProof/>
          <w:lang w:val="en-IE"/>
        </w:rPr>
        <w:t xml:space="preserve"> on that proposal</w:t>
      </w:r>
      <w:r w:rsidR="005F5BBD" w:rsidRPr="00416F40">
        <w:rPr>
          <w:noProof/>
          <w:lang w:val="en-IE"/>
        </w:rPr>
        <w:t xml:space="preserve"> have not </w:t>
      </w:r>
      <w:r w:rsidR="00437EC5" w:rsidRPr="00416F40">
        <w:rPr>
          <w:noProof/>
          <w:lang w:val="en-IE"/>
        </w:rPr>
        <w:t xml:space="preserve">yet been </w:t>
      </w:r>
      <w:r w:rsidR="005F5BBD" w:rsidRPr="00416F40">
        <w:rPr>
          <w:noProof/>
          <w:lang w:val="en-IE"/>
        </w:rPr>
        <w:t>concluded</w:t>
      </w:r>
      <w:r w:rsidR="00437EC5" w:rsidRPr="00416F40">
        <w:rPr>
          <w:noProof/>
          <w:lang w:val="en-IE"/>
        </w:rPr>
        <w:t xml:space="preserve"> and it is uncertain </w:t>
      </w:r>
      <w:r w:rsidR="00C44255" w:rsidRPr="00416F40">
        <w:rPr>
          <w:noProof/>
          <w:lang w:val="en-IE"/>
        </w:rPr>
        <w:t>whether</w:t>
      </w:r>
      <w:r w:rsidR="00437EC5" w:rsidRPr="00416F40">
        <w:rPr>
          <w:noProof/>
          <w:lang w:val="en-IE"/>
        </w:rPr>
        <w:t xml:space="preserve"> they will be concluded on time for the long-term legal framework</w:t>
      </w:r>
      <w:r w:rsidR="00C44255" w:rsidRPr="00416F40">
        <w:rPr>
          <w:noProof/>
          <w:lang w:val="en-IE"/>
        </w:rPr>
        <w:t xml:space="preserve">, including any amendments to Regulation (EU) 2021/1232 that it may contain, </w:t>
      </w:r>
      <w:r w:rsidR="00437EC5" w:rsidRPr="00416F40">
        <w:rPr>
          <w:noProof/>
          <w:lang w:val="en-IE"/>
        </w:rPr>
        <w:t>to</w:t>
      </w:r>
      <w:r w:rsidR="002F1444" w:rsidRPr="00416F40">
        <w:rPr>
          <w:noProof/>
          <w:lang w:val="en-IE"/>
        </w:rPr>
        <w:t xml:space="preserve"> be adopted</w:t>
      </w:r>
      <w:r w:rsidR="00D30B2E" w:rsidRPr="00416F40">
        <w:rPr>
          <w:noProof/>
          <w:lang w:val="en-IE"/>
        </w:rPr>
        <w:t>,</w:t>
      </w:r>
      <w:r w:rsidR="002F1444" w:rsidRPr="00416F40">
        <w:rPr>
          <w:noProof/>
          <w:lang w:val="en-IE"/>
        </w:rPr>
        <w:t xml:space="preserve"> to</w:t>
      </w:r>
      <w:r w:rsidR="00437EC5" w:rsidRPr="00416F40">
        <w:rPr>
          <w:noProof/>
          <w:lang w:val="en-IE"/>
        </w:rPr>
        <w:t xml:space="preserve"> enter into force </w:t>
      </w:r>
      <w:r w:rsidR="00C44255" w:rsidRPr="00416F40">
        <w:rPr>
          <w:noProof/>
          <w:lang w:val="en-IE"/>
        </w:rPr>
        <w:t>and</w:t>
      </w:r>
      <w:r w:rsidR="00F26627" w:rsidRPr="00416F40">
        <w:rPr>
          <w:noProof/>
          <w:lang w:val="en-IE"/>
        </w:rPr>
        <w:t xml:space="preserve"> to</w:t>
      </w:r>
      <w:r w:rsidR="00C44255" w:rsidRPr="00416F40">
        <w:rPr>
          <w:noProof/>
          <w:lang w:val="en-IE"/>
        </w:rPr>
        <w:t xml:space="preserve"> </w:t>
      </w:r>
      <w:r w:rsidR="002F1444" w:rsidRPr="00416F40">
        <w:rPr>
          <w:noProof/>
          <w:lang w:val="en-IE"/>
        </w:rPr>
        <w:t>apply</w:t>
      </w:r>
      <w:r w:rsidR="00C44255" w:rsidRPr="00416F40">
        <w:rPr>
          <w:noProof/>
          <w:lang w:val="en-IE"/>
        </w:rPr>
        <w:t xml:space="preserve"> </w:t>
      </w:r>
      <w:r w:rsidR="00437EC5" w:rsidRPr="00416F40">
        <w:rPr>
          <w:noProof/>
          <w:lang w:val="en-IE"/>
        </w:rPr>
        <w:t>before 3 August 2024</w:t>
      </w:r>
      <w:r w:rsidR="005F5BBD" w:rsidRPr="00416F40">
        <w:rPr>
          <w:noProof/>
          <w:lang w:val="en-IE"/>
        </w:rPr>
        <w:t xml:space="preserve">. </w:t>
      </w:r>
    </w:p>
    <w:p w14:paraId="437F1D55" w14:textId="5D4C066F" w:rsidR="00437EC5" w:rsidRPr="00416F40" w:rsidRDefault="00A2615E" w:rsidP="00A2615E">
      <w:pPr>
        <w:pStyle w:val="ManualConsidrant"/>
        <w:rPr>
          <w:noProof/>
          <w:lang w:val="en-IE"/>
        </w:rPr>
      </w:pPr>
      <w:r w:rsidRPr="00A2615E">
        <w:t>(3)</w:t>
      </w:r>
      <w:r w:rsidRPr="00A2615E">
        <w:tab/>
      </w:r>
      <w:r w:rsidR="005F5BBD" w:rsidRPr="00416F40">
        <w:rPr>
          <w:noProof/>
          <w:lang w:val="en-IE"/>
        </w:rPr>
        <w:t>It is important that child sexual abuse online can be effectively combated</w:t>
      </w:r>
      <w:r w:rsidR="00437EC5" w:rsidRPr="00416F40">
        <w:rPr>
          <w:noProof/>
          <w:lang w:val="en-IE"/>
        </w:rPr>
        <w:t>, in accordance with the</w:t>
      </w:r>
      <w:r w:rsidR="00C44255" w:rsidRPr="00416F40">
        <w:rPr>
          <w:noProof/>
          <w:lang w:val="en-IE"/>
        </w:rPr>
        <w:t xml:space="preserve"> applicable rules of Union law, including the</w:t>
      </w:r>
      <w:r w:rsidR="00437EC5" w:rsidRPr="00416F40">
        <w:rPr>
          <w:noProof/>
          <w:lang w:val="en-IE"/>
        </w:rPr>
        <w:t xml:space="preserve"> conditions set out in </w:t>
      </w:r>
      <w:r w:rsidR="00437EC5" w:rsidRPr="00416F40">
        <w:rPr>
          <w:rFonts w:eastAsia="Calibri"/>
          <w:noProof/>
          <w:lang w:val="en-IE"/>
        </w:rPr>
        <w:t>Regulation (EU) 2021/1232,</w:t>
      </w:r>
      <w:r w:rsidR="005F5BBD" w:rsidRPr="00416F40">
        <w:rPr>
          <w:noProof/>
          <w:lang w:val="en-IE"/>
        </w:rPr>
        <w:t xml:space="preserve"> without interruptions</w:t>
      </w:r>
      <w:r w:rsidR="00437EC5" w:rsidRPr="00416F40">
        <w:rPr>
          <w:noProof/>
          <w:lang w:val="en-IE"/>
        </w:rPr>
        <w:t xml:space="preserve"> pending </w:t>
      </w:r>
      <w:r w:rsidR="00C44255" w:rsidRPr="00416F40">
        <w:rPr>
          <w:noProof/>
          <w:lang w:val="en-IE"/>
        </w:rPr>
        <w:t>the conclusion of</w:t>
      </w:r>
      <w:r w:rsidR="005F5BBD" w:rsidRPr="00416F40">
        <w:rPr>
          <w:noProof/>
          <w:lang w:val="en-IE"/>
        </w:rPr>
        <w:t xml:space="preserve"> th</w:t>
      </w:r>
      <w:r w:rsidR="00437EC5" w:rsidRPr="00416F40">
        <w:rPr>
          <w:noProof/>
          <w:lang w:val="en-IE"/>
        </w:rPr>
        <w:t>os</w:t>
      </w:r>
      <w:r w:rsidR="005F5BBD" w:rsidRPr="00416F40">
        <w:rPr>
          <w:noProof/>
          <w:lang w:val="en-IE"/>
        </w:rPr>
        <w:t xml:space="preserve">e </w:t>
      </w:r>
      <w:r w:rsidR="001248BC" w:rsidRPr="00416F40">
        <w:rPr>
          <w:noProof/>
          <w:lang w:val="en-IE"/>
        </w:rPr>
        <w:t>inter-institutional negotiations</w:t>
      </w:r>
      <w:r w:rsidR="00437EC5" w:rsidRPr="00416F40">
        <w:rPr>
          <w:noProof/>
          <w:lang w:val="en-IE"/>
        </w:rPr>
        <w:t xml:space="preserve"> and the adoption</w:t>
      </w:r>
      <w:r w:rsidR="00D30B2E" w:rsidRPr="00416F40">
        <w:rPr>
          <w:noProof/>
          <w:lang w:val="en-IE"/>
        </w:rPr>
        <w:t xml:space="preserve"> </w:t>
      </w:r>
      <w:r w:rsidR="00437EC5" w:rsidRPr="00416F40">
        <w:rPr>
          <w:noProof/>
          <w:lang w:val="en-IE"/>
        </w:rPr>
        <w:t>entry into force</w:t>
      </w:r>
      <w:r w:rsidR="00C44255" w:rsidRPr="00416F40">
        <w:rPr>
          <w:noProof/>
          <w:lang w:val="en-IE"/>
        </w:rPr>
        <w:t xml:space="preserve"> and application</w:t>
      </w:r>
      <w:r w:rsidR="00437EC5" w:rsidRPr="00416F40">
        <w:rPr>
          <w:noProof/>
          <w:lang w:val="en-IE"/>
        </w:rPr>
        <w:t xml:space="preserve"> of </w:t>
      </w:r>
      <w:r w:rsidR="001248BC" w:rsidRPr="00416F40">
        <w:rPr>
          <w:noProof/>
          <w:lang w:val="en-IE"/>
        </w:rPr>
        <w:t xml:space="preserve">the </w:t>
      </w:r>
      <w:r w:rsidR="005F5BBD" w:rsidRPr="00416F40">
        <w:rPr>
          <w:noProof/>
          <w:lang w:val="en-IE"/>
        </w:rPr>
        <w:t>long-term</w:t>
      </w:r>
      <w:r w:rsidR="00437EC5" w:rsidRPr="00416F40">
        <w:rPr>
          <w:noProof/>
          <w:lang w:val="en-IE"/>
        </w:rPr>
        <w:t xml:space="preserve"> legal framework</w:t>
      </w:r>
      <w:r w:rsidR="005F5BBD" w:rsidRPr="00416F40">
        <w:rPr>
          <w:noProof/>
          <w:lang w:val="en-IE"/>
        </w:rPr>
        <w:t xml:space="preserve">. </w:t>
      </w:r>
    </w:p>
    <w:p w14:paraId="7E9526C2" w14:textId="513AF168" w:rsidR="003903E1" w:rsidRPr="00416F40" w:rsidRDefault="00A2615E" w:rsidP="00A2615E">
      <w:pPr>
        <w:pStyle w:val="ManualConsidrant"/>
        <w:rPr>
          <w:noProof/>
          <w:lang w:val="en-IE"/>
        </w:rPr>
      </w:pPr>
      <w:r w:rsidRPr="00A2615E">
        <w:t>(4)</w:t>
      </w:r>
      <w:r w:rsidRPr="00A2615E">
        <w:tab/>
      </w:r>
      <w:r w:rsidR="005F5BBD" w:rsidRPr="00416F40">
        <w:rPr>
          <w:noProof/>
          <w:lang w:val="en-IE"/>
        </w:rPr>
        <w:t>Therefore, Regulation (EU) 2021/1232</w:t>
      </w:r>
      <w:r w:rsidR="00C44255" w:rsidRPr="00416F40">
        <w:rPr>
          <w:noProof/>
          <w:lang w:val="en-IE"/>
        </w:rPr>
        <w:t xml:space="preserve"> should be amended to extend its period of application for a</w:t>
      </w:r>
      <w:r w:rsidR="00F4355D" w:rsidRPr="00416F40">
        <w:rPr>
          <w:noProof/>
          <w:lang w:val="en-IE"/>
        </w:rPr>
        <w:t>n</w:t>
      </w:r>
      <w:r w:rsidR="00C44255" w:rsidRPr="00416F40">
        <w:rPr>
          <w:noProof/>
          <w:lang w:val="en-IE"/>
        </w:rPr>
        <w:t xml:space="preserve"> additional period of time</w:t>
      </w:r>
      <w:r w:rsidR="00F4355D" w:rsidRPr="00416F40">
        <w:rPr>
          <w:noProof/>
          <w:lang w:val="en-IE"/>
        </w:rPr>
        <w:t xml:space="preserve"> </w:t>
      </w:r>
      <w:r w:rsidR="00F4355D" w:rsidRPr="00416F40">
        <w:rPr>
          <w:rFonts w:eastAsia="Arial Unicode MS"/>
          <w:noProof/>
          <w:color w:val="000000"/>
          <w:szCs w:val="24"/>
          <w:u w:color="000000"/>
          <w:bdr w:val="nil"/>
          <w:lang w:val="en-IE" w:eastAsia="en-GB"/>
        </w:rPr>
        <w:t>strictly necessary to adopt the long-term legislation</w:t>
      </w:r>
      <w:r w:rsidR="005F5BBD" w:rsidRPr="00416F40">
        <w:rPr>
          <w:noProof/>
          <w:lang w:val="en-IE"/>
        </w:rPr>
        <w:t>.</w:t>
      </w:r>
      <w:r w:rsidR="005F5BBD" w:rsidRPr="00416F40">
        <w:rPr>
          <w:rFonts w:eastAsia="Calibri"/>
          <w:noProof/>
          <w:lang w:val="en-IE"/>
        </w:rPr>
        <w:t xml:space="preserve"> </w:t>
      </w:r>
    </w:p>
    <w:p w14:paraId="3AFCDB5C" w14:textId="55379AD0" w:rsidR="00C44255" w:rsidRPr="00416F40" w:rsidRDefault="00A2615E" w:rsidP="00A2615E">
      <w:pPr>
        <w:pStyle w:val="ManualConsidrant"/>
        <w:rPr>
          <w:noProof/>
          <w:lang w:val="en-IE"/>
        </w:rPr>
      </w:pPr>
      <w:r w:rsidRPr="00A2615E">
        <w:t>(5)</w:t>
      </w:r>
      <w:r w:rsidRPr="00A2615E">
        <w:tab/>
      </w:r>
      <w:r w:rsidR="00C44255" w:rsidRPr="00416F40">
        <w:rPr>
          <w:noProof/>
          <w:lang w:val="en-IE"/>
        </w:rPr>
        <w:t xml:space="preserve">Considering the need to ensure, in a timely manner, legal certainty, as well as </w:t>
      </w:r>
      <w:r w:rsidR="007E0AA4" w:rsidRPr="00416F40">
        <w:rPr>
          <w:noProof/>
          <w:lang w:val="en-IE"/>
        </w:rPr>
        <w:t xml:space="preserve">the limited nature of the amendment, namely </w:t>
      </w:r>
      <w:r w:rsidR="00C44255" w:rsidRPr="00416F40">
        <w:rPr>
          <w:noProof/>
          <w:lang w:val="en-IE"/>
        </w:rPr>
        <w:t>the extension of the period of application of the existing regime, it is appropriate to provide that this Regulation enter</w:t>
      </w:r>
      <w:r w:rsidR="00381BF3" w:rsidRPr="00416F40">
        <w:rPr>
          <w:noProof/>
          <w:lang w:val="en-IE"/>
        </w:rPr>
        <w:t>s</w:t>
      </w:r>
      <w:r w:rsidR="00C44255" w:rsidRPr="00416F40">
        <w:rPr>
          <w:noProof/>
          <w:lang w:val="en-IE"/>
        </w:rPr>
        <w:t xml:space="preserve"> into force as soon as possible</w:t>
      </w:r>
      <w:r w:rsidR="007E0AA4" w:rsidRPr="00416F40">
        <w:rPr>
          <w:noProof/>
          <w:lang w:val="en-IE"/>
        </w:rPr>
        <w:t>,</w:t>
      </w:r>
    </w:p>
    <w:p w14:paraId="11782E11" w14:textId="77777777" w:rsidR="003903E1" w:rsidRPr="00416F40" w:rsidRDefault="003903E1" w:rsidP="006D42BA">
      <w:pPr>
        <w:pStyle w:val="Formuledadoption"/>
        <w:rPr>
          <w:noProof/>
          <w:lang w:val="en-IE"/>
        </w:rPr>
      </w:pPr>
      <w:r w:rsidRPr="00416F40">
        <w:rPr>
          <w:noProof/>
          <w:lang w:val="en-IE"/>
        </w:rPr>
        <w:t>HAVE ADOPTED THIS REGULATION:</w:t>
      </w:r>
    </w:p>
    <w:p w14:paraId="4A8C0D41" w14:textId="77777777" w:rsidR="003903E1" w:rsidRPr="00416F40" w:rsidRDefault="003903E1" w:rsidP="006D42BA">
      <w:pPr>
        <w:pStyle w:val="Titrearticle"/>
        <w:rPr>
          <w:noProof/>
          <w:lang w:val="en-IE"/>
        </w:rPr>
      </w:pPr>
      <w:r w:rsidRPr="00416F40">
        <w:rPr>
          <w:noProof/>
          <w:lang w:val="en-IE"/>
        </w:rPr>
        <w:t>Article 1</w:t>
      </w:r>
    </w:p>
    <w:p w14:paraId="79E55099" w14:textId="77777777" w:rsidR="00822B95" w:rsidRPr="00416F40" w:rsidRDefault="007E0AA4" w:rsidP="00822B95">
      <w:pPr>
        <w:rPr>
          <w:noProof/>
          <w:lang w:val="en-IE"/>
        </w:rPr>
      </w:pPr>
      <w:r w:rsidRPr="00416F40">
        <w:rPr>
          <w:noProof/>
        </w:rPr>
        <w:t xml:space="preserve">In Article 10 of </w:t>
      </w:r>
      <w:r w:rsidR="00774347" w:rsidRPr="00416F40">
        <w:rPr>
          <w:noProof/>
        </w:rPr>
        <w:t>Regulation (EU) 2021/1232</w:t>
      </w:r>
      <w:r w:rsidRPr="00416F40">
        <w:rPr>
          <w:noProof/>
        </w:rPr>
        <w:t>,</w:t>
      </w:r>
      <w:r w:rsidR="00774347" w:rsidRPr="00416F40">
        <w:rPr>
          <w:noProof/>
        </w:rPr>
        <w:t xml:space="preserve"> </w:t>
      </w:r>
      <w:r w:rsidR="00822B95" w:rsidRPr="00416F40">
        <w:rPr>
          <w:noProof/>
          <w:lang w:val="en-IE"/>
        </w:rPr>
        <w:t>the second subparagraph is replaced by the following:</w:t>
      </w:r>
    </w:p>
    <w:p w14:paraId="6D52038D" w14:textId="77777777" w:rsidR="00774347" w:rsidRPr="00416F40" w:rsidRDefault="00822B95" w:rsidP="00822B95">
      <w:pPr>
        <w:rPr>
          <w:noProof/>
          <w:lang w:val="en-IE"/>
        </w:rPr>
      </w:pPr>
      <w:r w:rsidRPr="00416F40">
        <w:rPr>
          <w:noProof/>
          <w:lang w:val="en-IE"/>
        </w:rPr>
        <w:t>“It shall apply until</w:t>
      </w:r>
      <w:r w:rsidR="00400FAF" w:rsidRPr="00416F40">
        <w:rPr>
          <w:noProof/>
          <w:lang w:val="en-IE"/>
        </w:rPr>
        <w:t xml:space="preserve"> 3 </w:t>
      </w:r>
      <w:r w:rsidR="006870ED" w:rsidRPr="00416F40">
        <w:rPr>
          <w:noProof/>
          <w:lang w:val="en-IE"/>
        </w:rPr>
        <w:t>August</w:t>
      </w:r>
      <w:r w:rsidR="00400FAF" w:rsidRPr="00416F40">
        <w:rPr>
          <w:noProof/>
          <w:lang w:val="en-IE"/>
        </w:rPr>
        <w:t xml:space="preserve"> 2026”.</w:t>
      </w:r>
      <w:r w:rsidRPr="00416F40">
        <w:rPr>
          <w:noProof/>
          <w:lang w:val="en-IE"/>
        </w:rPr>
        <w:t xml:space="preserve"> </w:t>
      </w:r>
    </w:p>
    <w:p w14:paraId="7E5F2FBB" w14:textId="77777777" w:rsidR="003903E1" w:rsidRPr="00416F40" w:rsidRDefault="003903E1" w:rsidP="006D42BA">
      <w:pPr>
        <w:pStyle w:val="Titrearticle"/>
        <w:rPr>
          <w:noProof/>
          <w:lang w:val="en-IE"/>
        </w:rPr>
      </w:pPr>
      <w:r w:rsidRPr="00416F40">
        <w:rPr>
          <w:noProof/>
          <w:lang w:val="en-IE"/>
        </w:rPr>
        <w:t xml:space="preserve">Article </w:t>
      </w:r>
      <w:r w:rsidR="00774347" w:rsidRPr="00416F40">
        <w:rPr>
          <w:noProof/>
        </w:rPr>
        <w:t>2</w:t>
      </w:r>
    </w:p>
    <w:p w14:paraId="24B70E59" w14:textId="77777777" w:rsidR="003903E1" w:rsidRPr="00416F40" w:rsidRDefault="003903E1" w:rsidP="006D42BA">
      <w:pPr>
        <w:rPr>
          <w:noProof/>
          <w:lang w:val="en-IE"/>
        </w:rPr>
      </w:pPr>
      <w:r w:rsidRPr="00416F40">
        <w:rPr>
          <w:noProof/>
          <w:lang w:val="en-IE"/>
        </w:rPr>
        <w:t xml:space="preserve">This Regulation shall enter into force on the day following that of its publication in the </w:t>
      </w:r>
      <w:r w:rsidRPr="00416F40">
        <w:rPr>
          <w:i/>
          <w:noProof/>
          <w:lang w:val="en-IE"/>
        </w:rPr>
        <w:t>Official Journal of the European Union</w:t>
      </w:r>
      <w:r w:rsidRPr="00416F40">
        <w:rPr>
          <w:noProof/>
          <w:lang w:val="en-IE"/>
        </w:rPr>
        <w:t>.</w:t>
      </w:r>
    </w:p>
    <w:p w14:paraId="1DAE3816" w14:textId="77777777" w:rsidR="003903E1" w:rsidRPr="00416F40" w:rsidRDefault="003903E1" w:rsidP="006D42BA">
      <w:pPr>
        <w:pStyle w:val="Applicationdirecte"/>
        <w:rPr>
          <w:noProof/>
          <w:lang w:val="en-IE"/>
        </w:rPr>
      </w:pPr>
      <w:r w:rsidRPr="00416F40">
        <w:rPr>
          <w:noProof/>
          <w:lang w:val="en-IE"/>
        </w:rPr>
        <w:t>This Regulation shall be binding in its entirety and directly applicable in all Member States.</w:t>
      </w:r>
    </w:p>
    <w:p w14:paraId="3FAA6FF8" w14:textId="01079319" w:rsidR="003903E1" w:rsidRPr="00416F40" w:rsidRDefault="00607851" w:rsidP="00195F13">
      <w:pPr>
        <w:pStyle w:val="Fait"/>
        <w:rPr>
          <w:noProof/>
          <w:lang w:val="en-IE"/>
        </w:rPr>
      </w:pPr>
      <w:r w:rsidRPr="00607851">
        <w:t>Done at Brussels,</w:t>
      </w:r>
    </w:p>
    <w:p w14:paraId="08965DFB" w14:textId="77777777" w:rsidR="003903E1" w:rsidRPr="00416F40" w:rsidRDefault="003903E1" w:rsidP="00195F13">
      <w:pPr>
        <w:pStyle w:val="Institutionquisigne"/>
        <w:rPr>
          <w:noProof/>
          <w:lang w:val="en-IE"/>
        </w:rPr>
      </w:pPr>
      <w:r w:rsidRPr="00416F40">
        <w:rPr>
          <w:noProof/>
          <w:lang w:val="en-IE"/>
        </w:rPr>
        <w:t>For the European Parliament</w:t>
      </w:r>
      <w:r w:rsidRPr="00416F40">
        <w:rPr>
          <w:noProof/>
          <w:lang w:val="en-IE"/>
        </w:rPr>
        <w:tab/>
        <w:t>For the Council</w:t>
      </w:r>
    </w:p>
    <w:p w14:paraId="0BA01458" w14:textId="77777777" w:rsidR="003903E1" w:rsidRPr="00416F40" w:rsidRDefault="003903E1" w:rsidP="003903E1">
      <w:pPr>
        <w:pStyle w:val="Personnequisigne"/>
        <w:rPr>
          <w:noProof/>
          <w:lang w:val="en-IE"/>
        </w:rPr>
      </w:pPr>
      <w:r w:rsidRPr="00416F40">
        <w:rPr>
          <w:noProof/>
          <w:lang w:val="en-IE"/>
        </w:rPr>
        <w:t>The President</w:t>
      </w:r>
      <w:r w:rsidRPr="00416F40">
        <w:rPr>
          <w:noProof/>
          <w:lang w:val="en-IE"/>
        </w:rPr>
        <w:tab/>
        <w:t>The President</w:t>
      </w:r>
    </w:p>
    <w:sectPr w:rsidR="003903E1" w:rsidRPr="00416F40" w:rsidSect="00EC047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344C" w14:textId="77777777" w:rsidR="00E62D3E" w:rsidRDefault="00E62D3E" w:rsidP="003903E1">
      <w:pPr>
        <w:spacing w:before="0" w:after="0"/>
      </w:pPr>
      <w:r>
        <w:separator/>
      </w:r>
    </w:p>
  </w:endnote>
  <w:endnote w:type="continuationSeparator" w:id="0">
    <w:p w14:paraId="3385276B" w14:textId="77777777" w:rsidR="00E62D3E" w:rsidRDefault="00E62D3E" w:rsidP="003903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5774" w14:textId="42A93312" w:rsidR="008276E9" w:rsidRPr="00EC047C" w:rsidRDefault="00EC047C" w:rsidP="00EC047C">
    <w:pPr>
      <w:pStyle w:val="Footer"/>
      <w:rPr>
        <w:rFonts w:ascii="Arial" w:hAnsi="Arial" w:cs="Arial"/>
        <w:b/>
        <w:sz w:val="48"/>
      </w:rPr>
    </w:pPr>
    <w:r w:rsidRPr="00EC047C">
      <w:rPr>
        <w:rFonts w:ascii="Arial" w:hAnsi="Arial" w:cs="Arial"/>
        <w:b/>
        <w:sz w:val="48"/>
      </w:rPr>
      <w:t>EN</w:t>
    </w:r>
    <w:r w:rsidRPr="00EC047C">
      <w:rPr>
        <w:rFonts w:ascii="Arial" w:hAnsi="Arial" w:cs="Arial"/>
        <w:b/>
        <w:sz w:val="48"/>
      </w:rPr>
      <w:tab/>
    </w:r>
    <w:r w:rsidRPr="00EC047C">
      <w:rPr>
        <w:rFonts w:ascii="Arial" w:hAnsi="Arial" w:cs="Arial"/>
        <w:b/>
        <w:sz w:val="48"/>
      </w:rPr>
      <w:tab/>
    </w:r>
    <w:r w:rsidRPr="00EC047C">
      <w:tab/>
    </w:r>
    <w:r w:rsidRPr="00EC047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189F" w14:textId="6CDEAACE" w:rsidR="00EC047C" w:rsidRPr="00EC047C" w:rsidRDefault="00EC047C" w:rsidP="00EC047C">
    <w:pPr>
      <w:pStyle w:val="Footer"/>
      <w:rPr>
        <w:rFonts w:ascii="Arial" w:hAnsi="Arial" w:cs="Arial"/>
        <w:b/>
        <w:sz w:val="48"/>
      </w:rPr>
    </w:pPr>
    <w:r w:rsidRPr="00EC047C">
      <w:rPr>
        <w:rFonts w:ascii="Arial" w:hAnsi="Arial" w:cs="Arial"/>
        <w:b/>
        <w:sz w:val="48"/>
      </w:rPr>
      <w:t>EN</w:t>
    </w:r>
    <w:r w:rsidRPr="00EC047C">
      <w:rPr>
        <w:rFonts w:ascii="Arial" w:hAnsi="Arial" w:cs="Arial"/>
        <w:b/>
        <w:sz w:val="48"/>
      </w:rPr>
      <w:tab/>
    </w:r>
    <w:r>
      <w:fldChar w:fldCharType="begin"/>
    </w:r>
    <w:r>
      <w:instrText xml:space="preserve"> PAGE  \* MERGEFORMAT </w:instrText>
    </w:r>
    <w:r>
      <w:fldChar w:fldCharType="separate"/>
    </w:r>
    <w:r w:rsidR="00195F13">
      <w:rPr>
        <w:noProof/>
      </w:rPr>
      <w:t>6</w:t>
    </w:r>
    <w:r>
      <w:fldChar w:fldCharType="end"/>
    </w:r>
    <w:r>
      <w:tab/>
    </w:r>
    <w:r w:rsidRPr="00EC047C">
      <w:tab/>
    </w:r>
    <w:r w:rsidRPr="00EC047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B041" w14:textId="77777777" w:rsidR="00EC047C" w:rsidRPr="00EC047C" w:rsidRDefault="00EC047C" w:rsidP="00EC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0D23" w14:textId="77777777" w:rsidR="00E62D3E" w:rsidRDefault="00E62D3E" w:rsidP="003903E1">
      <w:pPr>
        <w:spacing w:before="0" w:after="0"/>
      </w:pPr>
      <w:r>
        <w:separator/>
      </w:r>
    </w:p>
  </w:footnote>
  <w:footnote w:type="continuationSeparator" w:id="0">
    <w:p w14:paraId="50FE912D" w14:textId="77777777" w:rsidR="00E62D3E" w:rsidRDefault="00E62D3E" w:rsidP="003903E1">
      <w:pPr>
        <w:spacing w:before="0" w:after="0"/>
      </w:pPr>
      <w:r>
        <w:continuationSeparator/>
      </w:r>
    </w:p>
  </w:footnote>
  <w:footnote w:id="1">
    <w:p w14:paraId="75D9DA56" w14:textId="77777777" w:rsidR="00F86834" w:rsidRPr="002527C0" w:rsidRDefault="00F86834" w:rsidP="00C53C1C">
      <w:pPr>
        <w:pStyle w:val="FootnoteText"/>
        <w:rPr>
          <w:lang w:val="en-IE"/>
        </w:rPr>
      </w:pPr>
      <w:r w:rsidRPr="00DD7265">
        <w:rPr>
          <w:rStyle w:val="FootnoteReference"/>
        </w:rPr>
        <w:footnoteRef/>
      </w:r>
      <w:r>
        <w:rPr>
          <w:lang w:val="en-IE"/>
        </w:rPr>
        <w:tab/>
      </w:r>
      <w:hyperlink r:id="rId1" w:history="1">
        <w:r w:rsidRPr="00911ACA">
          <w:rPr>
            <w:rStyle w:val="Hyperlink"/>
            <w:lang w:val="en-IE"/>
          </w:rPr>
          <w:t>Regulation 2021/1232/EU</w:t>
        </w:r>
      </w:hyperlink>
      <w:r w:rsidRPr="00911ACA">
        <w:rPr>
          <w:lang w:val="en-IE"/>
        </w:rPr>
        <w:t xml:space="preserve"> of the European Parliament and of the Council of 14</w:t>
      </w:r>
      <w:r>
        <w:rPr>
          <w:lang w:val="en-IE"/>
        </w:rPr>
        <w:t xml:space="preserve"> </w:t>
      </w:r>
      <w:r w:rsidRPr="00911ACA">
        <w:rPr>
          <w:lang w:val="en-IE"/>
        </w:rPr>
        <w:t>July 2021 on a</w:t>
      </w:r>
      <w:r>
        <w:rPr>
          <w:lang w:val="en-IE"/>
        </w:rPr>
        <w:t xml:space="preserve"> </w:t>
      </w:r>
      <w:r w:rsidRPr="003F372A">
        <w:rPr>
          <w:lang w:val="en-IE"/>
        </w:rPr>
        <w:t xml:space="preserve">temporary derogation </w:t>
      </w:r>
      <w:r w:rsidRPr="00911ACA">
        <w:rPr>
          <w:lang w:val="en-IE"/>
        </w:rPr>
        <w:t>from</w:t>
      </w:r>
      <w:r>
        <w:rPr>
          <w:lang w:val="en-IE"/>
        </w:rPr>
        <w:t xml:space="preserve"> </w:t>
      </w:r>
      <w:r w:rsidRPr="003F372A">
        <w:rPr>
          <w:lang w:val="en-IE"/>
        </w:rPr>
        <w:t xml:space="preserve">certain provisions </w:t>
      </w:r>
      <w:r w:rsidRPr="00911ACA">
        <w:rPr>
          <w:lang w:val="en-IE"/>
        </w:rPr>
        <w:t>of</w:t>
      </w:r>
      <w:r>
        <w:rPr>
          <w:lang w:val="en-IE"/>
        </w:rPr>
        <w:t xml:space="preserve"> </w:t>
      </w:r>
      <w:r w:rsidRPr="003F372A">
        <w:rPr>
          <w:lang w:val="en-IE"/>
        </w:rPr>
        <w:t xml:space="preserve">Directive 2002/58/EC </w:t>
      </w:r>
      <w:r w:rsidRPr="00911ACA">
        <w:rPr>
          <w:lang w:val="en-IE"/>
        </w:rPr>
        <w:t>as regards the use of technologies by providers of number-independent interpersonal communications services for the processing of personal and other data for the purpose of combating online child sexual abuse (Text with EEA relevance)</w:t>
      </w:r>
      <w:r>
        <w:rPr>
          <w:lang w:val="en-IE"/>
        </w:rPr>
        <w:t>.</w:t>
      </w:r>
    </w:p>
  </w:footnote>
  <w:footnote w:id="2">
    <w:p w14:paraId="4B3B33D9" w14:textId="77777777" w:rsidR="00C074A3" w:rsidRPr="005F5BBD" w:rsidRDefault="00C074A3" w:rsidP="00C074A3">
      <w:pPr>
        <w:pStyle w:val="FootnoteText"/>
        <w:rPr>
          <w:lang w:val="en-IE"/>
        </w:rPr>
      </w:pPr>
      <w:r w:rsidRPr="008B6FB9">
        <w:rPr>
          <w:rStyle w:val="FootnoteReference"/>
        </w:rPr>
        <w:footnoteRef/>
      </w:r>
      <w:r>
        <w:tab/>
      </w:r>
      <w:r>
        <w:rPr>
          <w:rFonts w:eastAsia="Calibri"/>
          <w:noProof/>
          <w:lang w:val="en-IE"/>
        </w:rPr>
        <w:t xml:space="preserve">Proposal for a </w:t>
      </w:r>
      <w:r w:rsidRPr="00130DF1">
        <w:rPr>
          <w:rFonts w:eastAsia="Calibri"/>
          <w:noProof/>
          <w:lang w:val="en-IE"/>
        </w:rPr>
        <w:t>Regulation</w:t>
      </w:r>
      <w:r>
        <w:rPr>
          <w:rFonts w:eastAsia="Calibri"/>
          <w:noProof/>
          <w:lang w:val="en-IE"/>
        </w:rPr>
        <w:t xml:space="preserve"> </w:t>
      </w:r>
      <w:r w:rsidRPr="00130DF1">
        <w:rPr>
          <w:rFonts w:eastAsia="Calibri"/>
          <w:noProof/>
          <w:lang w:val="en-IE"/>
        </w:rPr>
        <w:t>of the European Parliament and of the Council</w:t>
      </w:r>
      <w:r>
        <w:rPr>
          <w:rFonts w:eastAsia="Calibri"/>
          <w:noProof/>
          <w:lang w:val="en-IE"/>
        </w:rPr>
        <w:t xml:space="preserve"> laying down rules to prevent and combat child sexual abuse, </w:t>
      </w:r>
      <w:r w:rsidRPr="005F5BBD">
        <w:rPr>
          <w:rFonts w:eastAsia="Calibri"/>
          <w:noProof/>
          <w:lang w:val="en-IE"/>
        </w:rPr>
        <w:t>COM/2022/209 final</w:t>
      </w:r>
      <w:r>
        <w:rPr>
          <w:rFonts w:eastAsia="Calibri"/>
          <w:noProof/>
          <w:lang w:val="en-IE"/>
        </w:rPr>
        <w:t>.</w:t>
      </w:r>
    </w:p>
  </w:footnote>
  <w:footnote w:id="3">
    <w:p w14:paraId="4199FDC4" w14:textId="77777777" w:rsidR="00B10F7C" w:rsidRPr="00A3368D" w:rsidRDefault="00B10F7C" w:rsidP="00C53C1C">
      <w:pPr>
        <w:pStyle w:val="FootnoteText"/>
        <w:rPr>
          <w:lang w:val="en-IE"/>
        </w:rPr>
      </w:pPr>
      <w:r w:rsidRPr="00BD38BC">
        <w:rPr>
          <w:rStyle w:val="FootnoteReference"/>
        </w:rPr>
        <w:footnoteRef/>
      </w:r>
      <w:r>
        <w:tab/>
      </w:r>
      <w:r>
        <w:rPr>
          <w:lang w:val="en-IE"/>
        </w:rPr>
        <w:t>COM(2022) 212, 11 May 2022</w:t>
      </w:r>
      <w:r>
        <w:rPr>
          <w:i/>
          <w:iCs/>
          <w:lang w:val="en-IE"/>
        </w:rPr>
        <w:t>.</w:t>
      </w:r>
    </w:p>
  </w:footnote>
  <w:footnote w:id="4">
    <w:p w14:paraId="4BA93107" w14:textId="77777777" w:rsidR="00B10F7C" w:rsidRPr="00A3368D" w:rsidRDefault="00B10F7C" w:rsidP="00C53C1C">
      <w:pPr>
        <w:pStyle w:val="FootnoteText"/>
        <w:rPr>
          <w:lang w:val="en-IE"/>
        </w:rPr>
      </w:pPr>
      <w:r w:rsidRPr="00BD38BC">
        <w:rPr>
          <w:rStyle w:val="FootnoteReference"/>
        </w:rPr>
        <w:footnoteRef/>
      </w:r>
      <w:r>
        <w:tab/>
      </w:r>
      <w:hyperlink r:id="rId2" w:history="1">
        <w:r w:rsidRPr="00A3368D">
          <w:rPr>
            <w:rStyle w:val="Hyperlink"/>
            <w:lang w:val="en-IE"/>
          </w:rPr>
          <w:t>Regulation (EU) 2016/679</w:t>
        </w:r>
      </w:hyperlink>
      <w:r w:rsidRPr="00A3368D">
        <w:rPr>
          <w:lang w:val="en-IE"/>
        </w:rPr>
        <w:t xml:space="preserve"> of the </w:t>
      </w:r>
      <w:r w:rsidRPr="001E564E">
        <w:rPr>
          <w:i/>
          <w:lang w:val="en-IE"/>
        </w:rPr>
        <w:t>European</w:t>
      </w:r>
      <w:r w:rsidRPr="00A3368D">
        <w:rPr>
          <w:lang w:val="en-IE"/>
        </w:rPr>
        <w:t xml:space="preserve"> Parliament and of the Council of 27 April 2016 on the protection of natural persons with regard to the processing of personal data and on the free movement of such data, and repealing Directive 95/46/EC (General Data Protection Regulation)</w:t>
      </w:r>
      <w:r>
        <w:rPr>
          <w:lang w:val="en-IE"/>
        </w:rPr>
        <w:t>.</w:t>
      </w:r>
    </w:p>
  </w:footnote>
  <w:footnote w:id="5">
    <w:p w14:paraId="34CAB7CE" w14:textId="77777777" w:rsidR="00B10F7C" w:rsidRPr="00790DB4" w:rsidRDefault="00B10F7C" w:rsidP="00C53C1C">
      <w:pPr>
        <w:pStyle w:val="FootnoteText"/>
        <w:rPr>
          <w:lang w:val="en-IE"/>
        </w:rPr>
      </w:pPr>
      <w:r w:rsidRPr="00BD38BC">
        <w:rPr>
          <w:rStyle w:val="FootnoteReference"/>
        </w:rPr>
        <w:footnoteRef/>
      </w:r>
      <w:r>
        <w:tab/>
      </w:r>
      <w:hyperlink r:id="rId3" w:history="1">
        <w:r w:rsidRPr="00790DB4">
          <w:rPr>
            <w:rStyle w:val="Hyperlink"/>
            <w:lang w:val="en-IE"/>
          </w:rPr>
          <w:t>Directive 2000/31/EC</w:t>
        </w:r>
      </w:hyperlink>
      <w:r w:rsidRPr="00790DB4">
        <w:rPr>
          <w:lang w:val="en-IE"/>
        </w:rPr>
        <w:t xml:space="preserve"> of the European Parliament and of the Council of 8 June 2000 on certain legal aspects of information society services, in particular electronic commerce, in the Internal Market</w:t>
      </w:r>
      <w:r>
        <w:rPr>
          <w:lang w:val="en-IE"/>
        </w:rPr>
        <w:t>.</w:t>
      </w:r>
    </w:p>
  </w:footnote>
  <w:footnote w:id="6">
    <w:p w14:paraId="5FFA20A4" w14:textId="77777777" w:rsidR="00B10F7C" w:rsidRPr="00A3368D" w:rsidRDefault="00B10F7C" w:rsidP="00C53C1C">
      <w:pPr>
        <w:pStyle w:val="FootnoteText"/>
        <w:rPr>
          <w:lang w:val="en-IE"/>
        </w:rPr>
      </w:pPr>
      <w:r>
        <w:rPr>
          <w:rStyle w:val="FootnoteReference"/>
        </w:rPr>
        <w:footnoteRef/>
      </w:r>
      <w:r>
        <w:tab/>
      </w:r>
      <w:hyperlink r:id="rId4" w:history="1">
        <w:r w:rsidRPr="00A3368D">
          <w:rPr>
            <w:rStyle w:val="Hyperlink"/>
          </w:rPr>
          <w:t>Directive 2002/58/EC</w:t>
        </w:r>
      </w:hyperlink>
      <w:r w:rsidRPr="00A3368D">
        <w:t xml:space="preserve"> of the European Parliament and of the Council of 12 July 2002 concerning the processing of personal data </w:t>
      </w:r>
      <w:r w:rsidRPr="001E564E">
        <w:rPr>
          <w:lang w:val="en-IE"/>
        </w:rPr>
        <w:t>and</w:t>
      </w:r>
      <w:r w:rsidRPr="00A3368D">
        <w:t xml:space="preserve"> the protection of privacy in the electronic communications sector (Directive on privacy and electronic communications)</w:t>
      </w:r>
      <w:r>
        <w:t>.</w:t>
      </w:r>
    </w:p>
  </w:footnote>
  <w:footnote w:id="7">
    <w:p w14:paraId="19C3265F" w14:textId="77777777" w:rsidR="00751A00" w:rsidRPr="00844125" w:rsidRDefault="00751A00" w:rsidP="006A1180">
      <w:pPr>
        <w:pStyle w:val="FootnoteText"/>
      </w:pPr>
      <w:r w:rsidRPr="00DD7265">
        <w:rPr>
          <w:rStyle w:val="FootnoteReference"/>
        </w:rPr>
        <w:footnoteRef/>
      </w:r>
      <w:r>
        <w:tab/>
      </w:r>
      <w:hyperlink r:id="rId5" w:history="1">
        <w:r w:rsidRPr="00751A00">
          <w:rPr>
            <w:rStyle w:val="Hyperlink"/>
          </w:rPr>
          <w:t>Regulation (EU) 2022/2065</w:t>
        </w:r>
      </w:hyperlink>
      <w:r w:rsidRPr="00751A00">
        <w:t xml:space="preserve"> of the European Parliament and of the Council of 19 October 2022 on a Single Market For Digital Services and amending Directive 2000/31/EC (Digital Services Act)</w:t>
      </w:r>
      <w:r>
        <w:t>.</w:t>
      </w:r>
    </w:p>
  </w:footnote>
  <w:footnote w:id="8">
    <w:p w14:paraId="12845DC4" w14:textId="7C1F4CBF" w:rsidR="00AD7EB2" w:rsidRDefault="00AD7EB2" w:rsidP="00AD7EB2">
      <w:pPr>
        <w:pStyle w:val="FootnoteText"/>
      </w:pPr>
      <w:r>
        <w:rPr>
          <w:rStyle w:val="FootnoteReference"/>
        </w:rPr>
        <w:footnoteRef/>
      </w:r>
      <w:r>
        <w:tab/>
        <w:t>OJ C , , p. .</w:t>
      </w:r>
    </w:p>
  </w:footnote>
  <w:footnote w:id="9">
    <w:p w14:paraId="6EA3C87A" w14:textId="1B5B0917" w:rsidR="005F5BBD" w:rsidRPr="00137BF5" w:rsidRDefault="005F5BBD" w:rsidP="005F5BBD">
      <w:pPr>
        <w:pStyle w:val="FootnoteText"/>
        <w:rPr>
          <w:szCs w:val="24"/>
        </w:rPr>
      </w:pPr>
      <w:r w:rsidRPr="00137BF5">
        <w:rPr>
          <w:rStyle w:val="FootnoteReference"/>
          <w:bCs/>
          <w:szCs w:val="24"/>
        </w:rPr>
        <w:footnoteRef/>
      </w:r>
      <w:r w:rsidRPr="00137BF5">
        <w:rPr>
          <w:szCs w:val="24"/>
          <w:lang w:val="en-US"/>
        </w:rPr>
        <w:tab/>
        <w:t>Regulation (EU) 2021/1232 of the European Parliament and of the Council of 14 July 2021 on a temporary derogation from certain provisions of Directive 2002/58/EC as regards the use of technologies by providers of number-independent interpersonal communications services for the processing of personal and other data for the purpose of combating online child sexual abuse (OJ L 274, 30.7.2021, p. 41</w:t>
      </w:r>
      <w:r w:rsidR="003600CB">
        <w:rPr>
          <w:szCs w:val="24"/>
          <w:lang w:val="en-US"/>
        </w:rPr>
        <w:t xml:space="preserve">, </w:t>
      </w:r>
      <w:r w:rsidR="003600CB" w:rsidRPr="003600CB">
        <w:rPr>
          <w:szCs w:val="24"/>
        </w:rPr>
        <w:t>ELI: </w:t>
      </w:r>
      <w:hyperlink r:id="rId6" w:tooltip="Gives access to this document through its ELI URI." w:history="1">
        <w:r w:rsidR="003600CB" w:rsidRPr="003600CB">
          <w:rPr>
            <w:rStyle w:val="Hyperlink"/>
            <w:szCs w:val="24"/>
          </w:rPr>
          <w:t>http://data.europa.eu/eli/reg/2021/1232/oj</w:t>
        </w:r>
      </w:hyperlink>
      <w:r w:rsidRPr="00137BF5">
        <w:rPr>
          <w:szCs w:val="24"/>
          <w:lang w:val="en-US"/>
        </w:rPr>
        <w:t>).</w:t>
      </w:r>
    </w:p>
  </w:footnote>
  <w:footnote w:id="10">
    <w:p w14:paraId="1C4ED27B" w14:textId="0B15EE59" w:rsidR="005F5BBD" w:rsidRPr="005F5BBD" w:rsidRDefault="005F5BBD">
      <w:pPr>
        <w:pStyle w:val="FootnoteText"/>
        <w:rPr>
          <w:lang w:val="en-IE"/>
        </w:rPr>
      </w:pPr>
      <w:r w:rsidRPr="008B6FB9">
        <w:rPr>
          <w:rStyle w:val="FootnoteReference"/>
        </w:rPr>
        <w:footnoteRef/>
      </w:r>
      <w:r w:rsidR="008B6FB9">
        <w:tab/>
      </w:r>
      <w:r>
        <w:rPr>
          <w:rFonts w:eastAsia="Calibri"/>
          <w:noProof/>
          <w:lang w:val="en-IE"/>
        </w:rPr>
        <w:t xml:space="preserve">Proposal for a </w:t>
      </w:r>
      <w:r w:rsidRPr="00130DF1">
        <w:rPr>
          <w:rFonts w:eastAsia="Calibri"/>
          <w:noProof/>
          <w:lang w:val="en-IE"/>
        </w:rPr>
        <w:t>Regulation</w:t>
      </w:r>
      <w:r>
        <w:rPr>
          <w:rFonts w:eastAsia="Calibri"/>
          <w:noProof/>
          <w:lang w:val="en-IE"/>
        </w:rPr>
        <w:t xml:space="preserve"> </w:t>
      </w:r>
      <w:r w:rsidRPr="00130DF1">
        <w:rPr>
          <w:rFonts w:eastAsia="Calibri"/>
          <w:noProof/>
          <w:lang w:val="en-IE"/>
        </w:rPr>
        <w:t>of the European Parliament and of the Council</w:t>
      </w:r>
      <w:r>
        <w:rPr>
          <w:rFonts w:eastAsia="Calibri"/>
          <w:noProof/>
          <w:lang w:val="en-IE"/>
        </w:rPr>
        <w:t xml:space="preserve"> laying down rules to prevent and combat child sexual abuse, </w:t>
      </w:r>
      <w:r w:rsidRPr="005F5BBD">
        <w:rPr>
          <w:rFonts w:eastAsia="Calibri"/>
          <w:noProof/>
          <w:lang w:val="en-IE"/>
        </w:rPr>
        <w:t>COM/2022/209 final</w:t>
      </w:r>
      <w:r>
        <w:rPr>
          <w:rFonts w:eastAsia="Calibri"/>
          <w:noProof/>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44A03D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649E9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140C9E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74E1E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30 15:04:5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FC0E1BF-5A3B-4E35-AF06-3B8270FFC565"/>
    <w:docVar w:name="LW_COVERPAGE_TYPE" w:val="1"/>
    <w:docVar w:name="LW_CROSSREFERENCE" w:val="&lt;UNUSED&gt;"/>
    <w:docVar w:name="LW_DocType" w:val="COM"/>
    <w:docVar w:name="LW_EMISSION" w:val="30.11.2023"/>
    <w:docVar w:name="LW_EMISSION_ISODATE" w:val="2023-11-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52"/>
    <w:docVar w:name="LW_REF.II.NEW.CP_YEAR" w:val="2023"/>
    <w:docVar w:name="LW_REF.INST.NEW" w:val="COM"/>
    <w:docVar w:name="LW_REF.INST.NEW_ADOPTED" w:val="final"/>
    <w:docVar w:name="LW_REF.INST.NEW_TEXT" w:val="(2023) 77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1/1232 of the European Parliament and of the Council on a temporary derogation from certain provisions of Directive 2002/58/EC for the purpose of combating online child sexual abuse"/>
    <w:docVar w:name="LW_TYPE.DOC.CP" w:val="REGULATION OF THE EUROPEAN PARLIAMENT AND OF THE COUNCIL"/>
    <w:docVar w:name="LwApiVersions" w:val="LW4CoDe 1.23.2.0; LW 8.0, Build 20211117"/>
  </w:docVars>
  <w:rsids>
    <w:rsidRoot w:val="003903E1"/>
    <w:rsid w:val="00032F5E"/>
    <w:rsid w:val="00053161"/>
    <w:rsid w:val="00082480"/>
    <w:rsid w:val="000C43FF"/>
    <w:rsid w:val="001035B2"/>
    <w:rsid w:val="001065F5"/>
    <w:rsid w:val="001238EF"/>
    <w:rsid w:val="001248BC"/>
    <w:rsid w:val="00131190"/>
    <w:rsid w:val="001411D3"/>
    <w:rsid w:val="00146944"/>
    <w:rsid w:val="00195F13"/>
    <w:rsid w:val="00197613"/>
    <w:rsid w:val="001A6DC7"/>
    <w:rsid w:val="001C160A"/>
    <w:rsid w:val="00233DC7"/>
    <w:rsid w:val="00240088"/>
    <w:rsid w:val="00247779"/>
    <w:rsid w:val="00275C2C"/>
    <w:rsid w:val="00285BEE"/>
    <w:rsid w:val="0029533F"/>
    <w:rsid w:val="002B13C9"/>
    <w:rsid w:val="002B30AF"/>
    <w:rsid w:val="002F1444"/>
    <w:rsid w:val="00331E66"/>
    <w:rsid w:val="00332E8B"/>
    <w:rsid w:val="0033344A"/>
    <w:rsid w:val="00354260"/>
    <w:rsid w:val="003600CB"/>
    <w:rsid w:val="003610A5"/>
    <w:rsid w:val="00381BF3"/>
    <w:rsid w:val="003903E1"/>
    <w:rsid w:val="003910DA"/>
    <w:rsid w:val="003A1ACA"/>
    <w:rsid w:val="003C2253"/>
    <w:rsid w:val="00400FAF"/>
    <w:rsid w:val="00410937"/>
    <w:rsid w:val="00416F40"/>
    <w:rsid w:val="0042648E"/>
    <w:rsid w:val="00437531"/>
    <w:rsid w:val="00437EC5"/>
    <w:rsid w:val="00447B4A"/>
    <w:rsid w:val="004618B6"/>
    <w:rsid w:val="00464B5B"/>
    <w:rsid w:val="00465757"/>
    <w:rsid w:val="0048183B"/>
    <w:rsid w:val="004936D2"/>
    <w:rsid w:val="00496B88"/>
    <w:rsid w:val="0057181E"/>
    <w:rsid w:val="005B1EB6"/>
    <w:rsid w:val="005D0088"/>
    <w:rsid w:val="005F5BBD"/>
    <w:rsid w:val="00603295"/>
    <w:rsid w:val="00603B16"/>
    <w:rsid w:val="00607851"/>
    <w:rsid w:val="006376A9"/>
    <w:rsid w:val="00645153"/>
    <w:rsid w:val="00665DA4"/>
    <w:rsid w:val="0068503B"/>
    <w:rsid w:val="006870ED"/>
    <w:rsid w:val="00690732"/>
    <w:rsid w:val="00697769"/>
    <w:rsid w:val="006A1180"/>
    <w:rsid w:val="006A5984"/>
    <w:rsid w:val="006F6217"/>
    <w:rsid w:val="00704ABB"/>
    <w:rsid w:val="007161A8"/>
    <w:rsid w:val="007233DC"/>
    <w:rsid w:val="00723F50"/>
    <w:rsid w:val="00751A00"/>
    <w:rsid w:val="007624FD"/>
    <w:rsid w:val="00765DD4"/>
    <w:rsid w:val="00773331"/>
    <w:rsid w:val="00774347"/>
    <w:rsid w:val="0079033B"/>
    <w:rsid w:val="007932EF"/>
    <w:rsid w:val="007C628F"/>
    <w:rsid w:val="007D10E7"/>
    <w:rsid w:val="007D1C8B"/>
    <w:rsid w:val="007E05B0"/>
    <w:rsid w:val="007E0AA4"/>
    <w:rsid w:val="00805F57"/>
    <w:rsid w:val="00822B95"/>
    <w:rsid w:val="008276E9"/>
    <w:rsid w:val="00850E46"/>
    <w:rsid w:val="00857317"/>
    <w:rsid w:val="008636CA"/>
    <w:rsid w:val="00874D22"/>
    <w:rsid w:val="008A2914"/>
    <w:rsid w:val="008B339D"/>
    <w:rsid w:val="008B6FB9"/>
    <w:rsid w:val="008E4D8E"/>
    <w:rsid w:val="00923004"/>
    <w:rsid w:val="009230DC"/>
    <w:rsid w:val="009655A0"/>
    <w:rsid w:val="009740A1"/>
    <w:rsid w:val="009928B9"/>
    <w:rsid w:val="009A327D"/>
    <w:rsid w:val="009B7281"/>
    <w:rsid w:val="009C0489"/>
    <w:rsid w:val="009F5E2F"/>
    <w:rsid w:val="00A05889"/>
    <w:rsid w:val="00A2615E"/>
    <w:rsid w:val="00A52B8E"/>
    <w:rsid w:val="00A5474B"/>
    <w:rsid w:val="00A643CA"/>
    <w:rsid w:val="00A70240"/>
    <w:rsid w:val="00A70B4F"/>
    <w:rsid w:val="00A76A21"/>
    <w:rsid w:val="00A92751"/>
    <w:rsid w:val="00A953B9"/>
    <w:rsid w:val="00A9643E"/>
    <w:rsid w:val="00AB1E25"/>
    <w:rsid w:val="00AD5C3C"/>
    <w:rsid w:val="00AD7EB2"/>
    <w:rsid w:val="00B07617"/>
    <w:rsid w:val="00B10F7C"/>
    <w:rsid w:val="00B17CF8"/>
    <w:rsid w:val="00B3602D"/>
    <w:rsid w:val="00B651DE"/>
    <w:rsid w:val="00B66AA3"/>
    <w:rsid w:val="00B76C78"/>
    <w:rsid w:val="00B8440E"/>
    <w:rsid w:val="00B955B3"/>
    <w:rsid w:val="00C074A3"/>
    <w:rsid w:val="00C12301"/>
    <w:rsid w:val="00C24CC5"/>
    <w:rsid w:val="00C2624E"/>
    <w:rsid w:val="00C44255"/>
    <w:rsid w:val="00C53C1C"/>
    <w:rsid w:val="00C824DE"/>
    <w:rsid w:val="00C90711"/>
    <w:rsid w:val="00CA1F14"/>
    <w:rsid w:val="00CB7F96"/>
    <w:rsid w:val="00CC141B"/>
    <w:rsid w:val="00D01E19"/>
    <w:rsid w:val="00D20381"/>
    <w:rsid w:val="00D30B2E"/>
    <w:rsid w:val="00D477CC"/>
    <w:rsid w:val="00D723A6"/>
    <w:rsid w:val="00DA5B72"/>
    <w:rsid w:val="00DB03D9"/>
    <w:rsid w:val="00DD1FE6"/>
    <w:rsid w:val="00DE4288"/>
    <w:rsid w:val="00E03966"/>
    <w:rsid w:val="00E04E97"/>
    <w:rsid w:val="00E31CB0"/>
    <w:rsid w:val="00E62D3E"/>
    <w:rsid w:val="00EC047C"/>
    <w:rsid w:val="00EC0EB7"/>
    <w:rsid w:val="00F26627"/>
    <w:rsid w:val="00F4355D"/>
    <w:rsid w:val="00F46C5A"/>
    <w:rsid w:val="00F86834"/>
    <w:rsid w:val="00FB4C11"/>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39EA51"/>
  <w15:docId w15:val="{E073B2A5-1AAF-4F14-BC9E-811D46C2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F7C"/>
    <w:rPr>
      <w:color w:val="0000FF" w:themeColor="hyperlink"/>
      <w:u w:val="single"/>
    </w:rPr>
  </w:style>
  <w:style w:type="character" w:customStyle="1" w:styleId="UnresolvedMention">
    <w:name w:val="Unresolved Mention"/>
    <w:basedOn w:val="DefaultParagraphFont"/>
    <w:uiPriority w:val="99"/>
    <w:semiHidden/>
    <w:unhideWhenUsed/>
    <w:rsid w:val="00751A00"/>
    <w:rPr>
      <w:color w:val="605E5C"/>
      <w:shd w:val="clear" w:color="auto" w:fill="E1DFDD"/>
    </w:rPr>
  </w:style>
  <w:style w:type="paragraph" w:styleId="ListBullet">
    <w:name w:val="List Bullet"/>
    <w:basedOn w:val="Normal"/>
    <w:uiPriority w:val="99"/>
    <w:semiHidden/>
    <w:unhideWhenUsed/>
    <w:rsid w:val="00723F50"/>
    <w:pPr>
      <w:numPr>
        <w:numId w:val="1"/>
      </w:numPr>
      <w:contextualSpacing/>
    </w:pPr>
  </w:style>
  <w:style w:type="paragraph" w:styleId="ListBullet2">
    <w:name w:val="List Bullet 2"/>
    <w:basedOn w:val="Normal"/>
    <w:uiPriority w:val="99"/>
    <w:semiHidden/>
    <w:unhideWhenUsed/>
    <w:rsid w:val="00723F50"/>
    <w:pPr>
      <w:numPr>
        <w:numId w:val="2"/>
      </w:numPr>
      <w:contextualSpacing/>
    </w:pPr>
  </w:style>
  <w:style w:type="paragraph" w:styleId="ListBullet3">
    <w:name w:val="List Bullet 3"/>
    <w:basedOn w:val="Normal"/>
    <w:uiPriority w:val="99"/>
    <w:semiHidden/>
    <w:unhideWhenUsed/>
    <w:rsid w:val="00723F50"/>
    <w:pPr>
      <w:numPr>
        <w:numId w:val="3"/>
      </w:numPr>
      <w:contextualSpacing/>
    </w:pPr>
  </w:style>
  <w:style w:type="paragraph" w:styleId="ListBullet4">
    <w:name w:val="List Bullet 4"/>
    <w:basedOn w:val="Normal"/>
    <w:uiPriority w:val="99"/>
    <w:semiHidden/>
    <w:unhideWhenUsed/>
    <w:rsid w:val="00723F50"/>
    <w:pPr>
      <w:numPr>
        <w:numId w:val="4"/>
      </w:numPr>
      <w:contextualSpacing/>
    </w:pPr>
  </w:style>
  <w:style w:type="paragraph" w:styleId="Revision">
    <w:name w:val="Revision"/>
    <w:hidden/>
    <w:uiPriority w:val="99"/>
    <w:semiHidden/>
    <w:rsid w:val="00437EC5"/>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2F1444"/>
    <w:rPr>
      <w:sz w:val="16"/>
      <w:szCs w:val="16"/>
    </w:rPr>
  </w:style>
  <w:style w:type="paragraph" w:styleId="CommentText">
    <w:name w:val="annotation text"/>
    <w:basedOn w:val="Normal"/>
    <w:link w:val="CommentTextChar"/>
    <w:uiPriority w:val="99"/>
    <w:unhideWhenUsed/>
    <w:rsid w:val="002F1444"/>
    <w:rPr>
      <w:sz w:val="20"/>
      <w:szCs w:val="20"/>
    </w:rPr>
  </w:style>
  <w:style w:type="character" w:customStyle="1" w:styleId="CommentTextChar">
    <w:name w:val="Comment Text Char"/>
    <w:basedOn w:val="DefaultParagraphFont"/>
    <w:link w:val="CommentText"/>
    <w:uiPriority w:val="99"/>
    <w:rsid w:val="002F144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F1444"/>
    <w:rPr>
      <w:b/>
      <w:bCs/>
    </w:rPr>
  </w:style>
  <w:style w:type="character" w:customStyle="1" w:styleId="CommentSubjectChar">
    <w:name w:val="Comment Subject Char"/>
    <w:basedOn w:val="CommentTextChar"/>
    <w:link w:val="CommentSubject"/>
    <w:uiPriority w:val="99"/>
    <w:semiHidden/>
    <w:rsid w:val="002F1444"/>
    <w:rPr>
      <w:rFonts w:ascii="Times New Roman" w:hAnsi="Times New Roman" w:cs="Times New Roman"/>
      <w:b/>
      <w:bCs/>
      <w:sz w:val="20"/>
      <w:szCs w:val="20"/>
      <w:lang w:val="en-GB"/>
    </w:rPr>
  </w:style>
  <w:style w:type="paragraph" w:styleId="Header">
    <w:name w:val="header"/>
    <w:basedOn w:val="Normal"/>
    <w:link w:val="HeaderChar"/>
    <w:uiPriority w:val="99"/>
    <w:unhideWhenUsed/>
    <w:rsid w:val="00EC047C"/>
    <w:pPr>
      <w:tabs>
        <w:tab w:val="center" w:pos="4535"/>
        <w:tab w:val="right" w:pos="9071"/>
      </w:tabs>
      <w:spacing w:before="0"/>
    </w:pPr>
  </w:style>
  <w:style w:type="character" w:customStyle="1" w:styleId="HeaderChar">
    <w:name w:val="Header Char"/>
    <w:basedOn w:val="DefaultParagraphFont"/>
    <w:link w:val="Header"/>
    <w:uiPriority w:val="99"/>
    <w:rsid w:val="00EC047C"/>
    <w:rPr>
      <w:rFonts w:ascii="Times New Roman" w:hAnsi="Times New Roman" w:cs="Times New Roman"/>
      <w:sz w:val="24"/>
      <w:lang w:val="en-GB"/>
    </w:rPr>
  </w:style>
  <w:style w:type="paragraph" w:styleId="Footer">
    <w:name w:val="footer"/>
    <w:basedOn w:val="Normal"/>
    <w:link w:val="FooterChar"/>
    <w:uiPriority w:val="99"/>
    <w:unhideWhenUsed/>
    <w:rsid w:val="00EC047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C047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C047C"/>
    <w:pPr>
      <w:tabs>
        <w:tab w:val="center" w:pos="7285"/>
        <w:tab w:val="right" w:pos="14003"/>
      </w:tabs>
      <w:spacing w:before="0"/>
    </w:pPr>
  </w:style>
  <w:style w:type="paragraph" w:customStyle="1" w:styleId="FooterLandscape">
    <w:name w:val="FooterLandscape"/>
    <w:basedOn w:val="Normal"/>
    <w:rsid w:val="00EC047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C047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C047C"/>
    <w:pPr>
      <w:spacing w:before="0"/>
      <w:jc w:val="right"/>
    </w:pPr>
    <w:rPr>
      <w:sz w:val="28"/>
    </w:rPr>
  </w:style>
  <w:style w:type="paragraph" w:customStyle="1" w:styleId="FooterSensitivity">
    <w:name w:val="Footer Sensitivity"/>
    <w:basedOn w:val="Normal"/>
    <w:rsid w:val="00EC047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655A0"/>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A32000L0031" TargetMode="External"/><Relationship Id="rId2" Type="http://schemas.openxmlformats.org/officeDocument/2006/relationships/hyperlink" Target="https://eur-lex.europa.eu/eli/reg/2016/679/oj" TargetMode="External"/><Relationship Id="rId1" Type="http://schemas.openxmlformats.org/officeDocument/2006/relationships/hyperlink" Target="https://eur-lex.europa.eu/legal-content/AUTO/?uri=CELEX:32021R1232&amp;qid=1636576483536&amp;rid=1" TargetMode="External"/><Relationship Id="rId6" Type="http://schemas.openxmlformats.org/officeDocument/2006/relationships/hyperlink" Target="http://data.europa.eu/eli/reg/2021/1232/oj" TargetMode="External"/><Relationship Id="rId5" Type="http://schemas.openxmlformats.org/officeDocument/2006/relationships/hyperlink" Target="https://eur-lex.europa.eu/legal-content/EN/TXT/?uri=celex%3A32022R2065" TargetMode="External"/><Relationship Id="rId4" Type="http://schemas.openxmlformats.org/officeDocument/2006/relationships/hyperlink" Target="https://eur-lex.europa.eu/legal-content/EN/ALL/?uri=CELEX%3A32002L0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95A3-6411-427C-B676-7684F48D3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E4B32-0291-46B1-B09F-13FC69600186}">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29DFC84F-0DD1-4BAE-9C42-F53280E3C920}">
  <ds:schemaRefs>
    <ds:schemaRef ds:uri="http://schemas.microsoft.com/sharepoint/v3/contenttype/forms"/>
  </ds:schemaRefs>
</ds:datastoreItem>
</file>

<file path=customXml/itemProps4.xml><?xml version="1.0" encoding="utf-8"?>
<ds:datastoreItem xmlns:ds="http://schemas.openxmlformats.org/officeDocument/2006/customXml" ds:itemID="{AF674385-5F2E-42C5-89A5-99B45887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1885</Words>
  <Characters>10487</Characters>
  <Application>Microsoft Office Word</Application>
  <DocSecurity>0</DocSecurity>
  <Lines>180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38</cp:revision>
  <dcterms:created xsi:type="dcterms:W3CDTF">2023-11-30T10:35:00Z</dcterms:created>
  <dcterms:modified xsi:type="dcterms:W3CDTF">2023-11-30T14:04:00Z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2023-10-25T07:44:25Z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c986392c-07fd-4fd6-953d-9904a65e2116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